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B" w:rsidRDefault="00D83A5B" w:rsidP="00D83A5B">
      <w:pPr>
        <w:jc w:val="both"/>
      </w:pPr>
      <w:r>
        <w:t>Перечень оснований для отказа в приеме документов, необходимых для предоставления государственной услуги, а также для приостановления или отказа в предоставлении государственной услуги</w:t>
      </w:r>
    </w:p>
    <w:p w:rsidR="00D83A5B" w:rsidRDefault="00D83A5B" w:rsidP="00D83A5B">
      <w:pPr>
        <w:tabs>
          <w:tab w:val="left" w:pos="3765"/>
        </w:tabs>
        <w:jc w:val="both"/>
      </w:pPr>
      <w:r>
        <w:tab/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34. Согласно Федеральному закону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государственная регистрация акта гражданского состояния противоречит Федеральному закону;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 xml:space="preserve">Не допускается государственная регистрация заключения брака </w:t>
      </w:r>
      <w:proofErr w:type="gramStart"/>
      <w:r>
        <w:t>между</w:t>
      </w:r>
      <w:proofErr w:type="gramEnd"/>
      <w:r>
        <w:t>: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лицами, из которых хотя бы одно лицо уже состоит в другом зарегистрированном браке;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усыновителями и усыновленными;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лицами, из которых хотя бы одно лицо признано судом недееспособным вследствие психического расстройства.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35.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пунктом 3 статьи 17 Федерального закона.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36. Не производится государственная регистрация перемены имени в отношении лиц, не достигших возраста 14 лет.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 xml:space="preserve">Изменение имени лица, не достигшего возраста 14 лет, а также изменение присвоенной ему фамилии на фамилию другого родителя производится на основании решения органа </w:t>
      </w:r>
      <w:r>
        <w:lastRenderedPageBreak/>
        <w:t>опеки и попечительства в порядке, установленном статьей 59 Семейного кодекса Российской Федерации. На основании решения органа опеки и попечительства вносятся соответствующие изменения в запись акта о рождении ребенка в порядке, установленном Федеральным законом для внесения исправлений и изменений в записи актов гражданского состояния.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37.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переменой имени, до решения вопроса о восстановлении либо об исправлении или изменении записи акта гражданского состояния.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38. 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органа, осуществляющего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39. 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 по форме, утвержденной постановлением Правительства Российской Федерации от 31.10.1998 N 1274.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40. Не допускается выдача повторных свидетельств о государственной регистрации актов гражданского состояния: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- лицам, расторгнувшим брак, и лицам, брак которых признан недействительным, - свидетельства о заключении брака.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  <w:r>
        <w:t>По просьбе указанных лиц им выдается справка установленной формы, подтверждающая факт государственной регистрации рождения ребенка или заключения брака.</w:t>
      </w: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</w:p>
    <w:p w:rsidR="00D83A5B" w:rsidRDefault="00D83A5B" w:rsidP="00D83A5B">
      <w:pPr>
        <w:jc w:val="both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D83A5B" w:rsidRDefault="00D83A5B" w:rsidP="00D83A5B">
      <w:pPr>
        <w:jc w:val="center"/>
      </w:pPr>
    </w:p>
    <w:p w:rsidR="00C91801" w:rsidRDefault="00C91801">
      <w:bookmarkStart w:id="0" w:name="_GoBack"/>
      <w:bookmarkEnd w:id="0"/>
    </w:p>
    <w:sectPr w:rsidR="00C9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4"/>
    <w:rsid w:val="005A5F74"/>
    <w:rsid w:val="00C91801"/>
    <w:rsid w:val="00D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2014-11-14T06:12:00Z</dcterms:created>
  <dcterms:modified xsi:type="dcterms:W3CDTF">2014-11-14T06:12:00Z</dcterms:modified>
</cp:coreProperties>
</file>