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7C" w:rsidRDefault="009F4C7C" w:rsidP="00DD679D">
      <w:pPr>
        <w:pStyle w:val="ConsPlusTitle"/>
      </w:pPr>
    </w:p>
    <w:p w:rsidR="009F4C7C" w:rsidRDefault="009F4C7C" w:rsidP="009F4C7C">
      <w:pPr>
        <w:pStyle w:val="ConsPlusTitle"/>
        <w:jc w:val="center"/>
      </w:pPr>
      <w:r>
        <w:t>ИЗМЕНЕНИЕ N 1 ГОСТ 12.4.026-2015</w:t>
      </w:r>
    </w:p>
    <w:p w:rsidR="009F4C7C" w:rsidRDefault="009F4C7C" w:rsidP="009F4C7C">
      <w:pPr>
        <w:pStyle w:val="ConsPlusTitle"/>
        <w:jc w:val="center"/>
      </w:pPr>
      <w:r>
        <w:t>СИСТЕМА СТАНДАРТОВ БЕЗОПАСНОСТИ ТРУДА. ЦВЕТА СИГНАЛЬНЫЕ,</w:t>
      </w:r>
    </w:p>
    <w:p w:rsidR="009F4C7C" w:rsidRDefault="009F4C7C" w:rsidP="009F4C7C">
      <w:pPr>
        <w:pStyle w:val="ConsPlusTitle"/>
        <w:jc w:val="center"/>
      </w:pPr>
      <w:r>
        <w:t>ЗНАКИ БЕЗОПАСНОСТИ И РАЗМЕТКА СИГНАЛЬНАЯ. НАЗНАЧЕНИЕ</w:t>
      </w:r>
    </w:p>
    <w:p w:rsidR="009F4C7C" w:rsidRDefault="009F4C7C" w:rsidP="009F4C7C">
      <w:pPr>
        <w:pStyle w:val="ConsPlusTitle"/>
        <w:jc w:val="center"/>
      </w:pPr>
      <w:r>
        <w:t>И ПРАВИЛА ПРИМЕНЕНИЯ. ОБЩИЕ ТЕХНИЧЕСКИЕ ТРЕБОВАНИЯ</w:t>
      </w:r>
    </w:p>
    <w:p w:rsidR="009F4C7C" w:rsidRDefault="009F4C7C" w:rsidP="009F4C7C">
      <w:pPr>
        <w:pStyle w:val="ConsPlusTitle"/>
        <w:jc w:val="center"/>
      </w:pPr>
      <w:r>
        <w:t>И ХАРАКТЕРИСТИКИ. МЕТОДЫ ИСПЫТАНИЙ</w:t>
      </w:r>
    </w:p>
    <w:p w:rsidR="009F4C7C" w:rsidRDefault="009F4C7C" w:rsidP="009F4C7C">
      <w:pPr>
        <w:pStyle w:val="ConsPlusNormal"/>
        <w:ind w:firstLine="540"/>
        <w:jc w:val="both"/>
      </w:pPr>
    </w:p>
    <w:p w:rsidR="009F4C7C" w:rsidRDefault="009F4C7C" w:rsidP="009F4C7C">
      <w:pPr>
        <w:pStyle w:val="ConsPlusNormal"/>
        <w:ind w:firstLine="540"/>
        <w:jc w:val="both"/>
      </w:pPr>
      <w:r>
        <w:t>Зарегистрировано Бюро по стандартам МГС N 14414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За принятие изменения проголосовали национальные органы по стандартизации следующих государств: BY, AM, KG, RU [коды альфа-2 по МК (ИСО 3166) 004]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Дату введения в действие настоящего изменения устанавливают указанные национальные органы по стандартизации &lt;*&gt;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&lt;*&gt; Дата введения в действие на территории Российской Федерации - 2019-10-01.</w:t>
      </w:r>
    </w:p>
    <w:p w:rsidR="009F4C7C" w:rsidRDefault="009F4C7C" w:rsidP="009F4C7C">
      <w:pPr>
        <w:pStyle w:val="ConsPlusNormal"/>
        <w:ind w:firstLine="540"/>
        <w:jc w:val="both"/>
      </w:pPr>
    </w:p>
    <w:p w:rsidR="009F4C7C" w:rsidRDefault="009F4C7C" w:rsidP="009F4C7C">
      <w:pPr>
        <w:pStyle w:val="ConsPlusNormal"/>
        <w:ind w:firstLine="540"/>
        <w:jc w:val="both"/>
      </w:pPr>
      <w:r>
        <w:t>Раздел 1. Второй абзац. Второе - пятое перечисление дополнить словом: "на".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Раздел 2. Заменить ссылку: ГОСТ 24940-96 на ГОСТ 24940-2016;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ГОСТ 17677-82 (МЭК 598-1-86, МЭК 598-2-1-79, МЭК 598-2-2-79, МЭК 598-2-4-79, МЭК 598-2-19-81) дополнить знаком сноски - &lt;1&gt;;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дополнить сноской: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" &lt;1&gt; На территории Российской Федерации действует ГОСТ </w:t>
      </w:r>
      <w:proofErr w:type="gramStart"/>
      <w:r>
        <w:t>Р</w:t>
      </w:r>
      <w:proofErr w:type="gramEnd"/>
      <w:r>
        <w:t xml:space="preserve"> 54350-2015 "Приборы осветительные. Светотехнические требования и методы испытаний";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proofErr w:type="gramStart"/>
      <w:r>
        <w:t>для ГОСТ 427-75 наименование после слова "измерительные" дополнить словом: "металлические";</w:t>
      </w:r>
      <w:proofErr w:type="gramEnd"/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для ГОСТ 23216-78 в наименовании заменить слова: "защита и упаковка" </w:t>
      </w:r>
      <w:proofErr w:type="gramStart"/>
      <w:r>
        <w:t>на</w:t>
      </w:r>
      <w:proofErr w:type="gramEnd"/>
      <w:r>
        <w:t xml:space="preserve"> "защита, упаковка".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Пункты 3.5, 3.6, 3.10 - исключить.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3.9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"3.9 фотолюминесценция: Фосфоресценция (люминесценция), вызванная поглощением оптического излучения, характеризуется яркостью, цветом и длительностью послесвечения".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4.2 после слов "по охране труда" дополнить словами: "и пожарной безопасности".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Подпункт 5.1.1.1. Таблица 1. Сигнальный цвет "Зеленый", смысловое значение "Помощь, спасение", графа "Область применения". Исключить слово: "медицинской".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6.2.2. Второй абзац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"Размещение знаков безопасности на воротах над дверями и дверях следует выполнять таким образом, чтобы зрительное восприятие знака не зависело от положения </w:t>
      </w:r>
      <w:r>
        <w:lastRenderedPageBreak/>
        <w:t>ворот или дверей (открыто, закрыто). Эвакуационные знаки безопасности Е 22 "Выход" и</w:t>
      </w:r>
      <w:proofErr w:type="gramStart"/>
      <w:r>
        <w:t xml:space="preserve"> Е</w:t>
      </w:r>
      <w:proofErr w:type="gramEnd"/>
      <w:r>
        <w:t xml:space="preserve"> 23 "Аварийный выход" (таблица Л.1) следует размещать только над дверями, ведущими к выходу, или в составе указательных комбинированных знаков, в качестве дополнительных пояснений".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6.3.2. Таблица 2. Сноска &lt;*&gt;. Первое перечисление после слов "открытым огнем" дополнить словами: "и курить";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заменить слово: "(или)" </w:t>
      </w:r>
      <w:proofErr w:type="gramStart"/>
      <w:r>
        <w:t>на</w:t>
      </w:r>
      <w:proofErr w:type="gramEnd"/>
      <w:r>
        <w:t xml:space="preserve"> "и/или".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Подпункт 6.3.3.1. Рисунок 1. Заменить значение: "0,8d" на "0,08d".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Подпункт 6.3.3.3. Последний абзац. Заменить слова: "в приложении</w:t>
      </w:r>
      <w:proofErr w:type="gramStart"/>
      <w:r>
        <w:t xml:space="preserve"> Е</w:t>
      </w:r>
      <w:proofErr w:type="gramEnd"/>
      <w:r>
        <w:t>" на "в приложении И".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8.1.8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"8.1.8 Фотолюминесцентные материалы для изготовления знаков безопасности должны иметь маркировку с указанием: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- наименования и/или торгового знака изготовителя;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- даты изготовления (год);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- яркости свечения в </w:t>
      </w:r>
      <w:proofErr w:type="spellStart"/>
      <w:r>
        <w:t>мкд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  <w:r>
        <w:t xml:space="preserve"> через 10 и 60 мин после отключения источников освещения;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- длительности послесвечения в минутах.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Дополнительно, при необходимости, маркировка может содержать: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- цвет послесвечения: желто-зеленый (ЖЗ) или белый (Б);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- обозначение настоящего стандарта.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Маркировка гибких фотолюминесцентных материалов (пленки) с указанием яркости свечения в </w:t>
      </w:r>
      <w:proofErr w:type="spellStart"/>
      <w:r>
        <w:t>мкд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  <w:r>
        <w:t xml:space="preserve"> через 10 мин после отключения источников освещения должна наноситься на внутренний слой фотолюминесцентного материала, быть заметной с лицевой стороны и не препятствовать восприятию знака безопасности. Маркировку следует наносить таким образом, чтобы на любом участке гибкого фотолюминесцентного материала размером 10 </w:t>
      </w:r>
      <w:proofErr w:type="spellStart"/>
      <w:r>
        <w:t>x</w:t>
      </w:r>
      <w:proofErr w:type="spellEnd"/>
      <w:r>
        <w:t xml:space="preserve"> 10 см был хотя бы один ее элемент.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Маркировку фотолюминесцентных знаков безопасности, изготовленных из твердых материалов (металл, стекло, керамика, твердые пластики), допускается выполнять на лицевой или оборотной поверхности знака".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8.2.9 - исключить.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Подпункт 8.2.10.1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"8.2.10.1 Фотометрические характеристики фотолюминесцентных знаков безопасности, а также фотометрические характеристики фотолюминесцентных материалов для их изготовления должны соответствовать следующим требованиям: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- яркость свечения через 10 мин после отключения источников освещения - не менее </w:t>
      </w:r>
      <w:r>
        <w:lastRenderedPageBreak/>
        <w:t xml:space="preserve">140 </w:t>
      </w:r>
      <w:proofErr w:type="spellStart"/>
      <w:r>
        <w:t>мкд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- яркость свечения через 60 мин после отключения источников освещения - не менее 20 </w:t>
      </w:r>
      <w:proofErr w:type="spellStart"/>
      <w:r>
        <w:t>мкд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- длительность послесвечения - не менее 1800 мин.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Примечание - В международной стандартизации [7] установлены аналогичные требования к фотометрическим характеристикам фотолюминесцентных знаков безопасности";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таблицу 5 - исключить.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Подпункт 8.2.10.2 - исключить.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Подпункт 8.2.10.5. Первый абзац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"Допускается контроль фотометрических характеристик фотолюминесцентных знаков безопасности на стадии эксплуатации проводить визуально путем сравнения яркости свечения знака безопасности с яркостью свечения эталонного (контрольного) образца фотолюминесцентного материала";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второй абзац. Заменить слова: "Яркость элементов" на "Яркость фотолюминесцентных знаков безопасности".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Подпункт 8.2.10.6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"8.2.10.6 Эталонный (контрольный) образец должен быть изготовлен из фотолюминесцентного материала и иметь фотометрические характеристики, соответствующие требованиям, установленным в 8.2.10.1".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8.3.1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"8.3.1 Знаки безопасности и сигнальная разметка должны быть выполнены в климатическом исполнении УХЛ (умеренно холодный климат) по ГОСТ 15150 в диапазоне температур: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proofErr w:type="gramStart"/>
      <w:r>
        <w:t>- от плюс 40 °C до минус 60 °C - для наружного размещения (категория 1);</w:t>
      </w:r>
      <w:proofErr w:type="gramEnd"/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от</w:t>
      </w:r>
      <w:proofErr w:type="gramEnd"/>
      <w:r>
        <w:t xml:space="preserve"> плюс 35 °C до плюс 1 °C - для внутреннего размещения (категория 4)".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10.5 - исключить.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12.4.3. Заменить значение: "45" на "45%".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Приложение А. Второй абзац. Заменить значения: "(25 + 10) °C" на "(25 </w:t>
      </w:r>
      <w:r>
        <w:rPr>
          <w:noProof/>
          <w:position w:val="-2"/>
        </w:rPr>
        <w:drawing>
          <wp:inline distT="0" distB="0" distL="0" distR="0">
            <wp:extent cx="171450" cy="180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10) °C"; "45 - 80%" на "от 45% до 80%"; "84 - 107 </w:t>
      </w:r>
      <w:proofErr w:type="spellStart"/>
      <w:r>
        <w:t>кП</w:t>
      </w:r>
      <w:proofErr w:type="spellEnd"/>
      <w:r>
        <w:t>" на "84 - 107 кПа".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Приложение Б. Третий абзац. Заменить значение: "45 - 80%" на "от 45% до 80%";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Б.3.1. Первый абзац. Заменить ссылку: "Б.4" на "Б.2";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таблица Б.2. Название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"Таблица Б.2 - Значения координат цветности угловых точек </w:t>
      </w:r>
      <w:proofErr w:type="spellStart"/>
      <w:r>
        <w:t>x</w:t>
      </w:r>
      <w:proofErr w:type="spellEnd"/>
      <w:r>
        <w:t xml:space="preserve">, </w:t>
      </w:r>
      <w:proofErr w:type="spellStart"/>
      <w:r>
        <w:t>y</w:t>
      </w:r>
      <w:proofErr w:type="spellEnd"/>
      <w:r>
        <w:t xml:space="preserve"> малых цветовых </w:t>
      </w:r>
      <w:r>
        <w:lastRenderedPageBreak/>
        <w:t>областей фотолюминесцентных знаков безопасности и фотолюминесцентной сигнальной разметки".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Приложение Г. Первый, второй абзацы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"Приложение применимо к измерению фотометрических характеристик фотолюминесцентных знаков безопасности и сигнальной разметки на стадии эксплуатации.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Точки измерения освещенности, в которых проводят измерения фотометрических характеристик, должны быть репрезентативны и охватывать все используемые на объекте типы источников света и виды фотолюминесцентных материалов";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третий абзац - исключить.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Г.1.2. Второй абзац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"Фотометрические характеристики эталонных (контрольных) образцов должны соответствовать требованиям, установленным в 8.2.10.1";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третий абзац. Заменить ссылку: "7.6" на "8.2.10.7".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Г.2.1 после слова "сигнальной" дополнить словом: "разметки".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Г.2.2. Исключить ссылки: (7.8), (7.5).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Г.2.3. Седьмой абзац - исключить.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Приложение Д. Первый абзац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"Приложение применимо к измерению в лаборатории фотометрических характеристик фотолюминесцентных материалов, на основе которых изготовлены фотолюминесцентные знаки безопасности и сигнальная разметка, а также для проверки и аттестации эталонных (контрольных) образцов фотолюминесцентных материалов; в других случаях, когда возникает необходимость в измерении фотометрических характеристик в лаборатории";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второй абзац. Заменить значение "45 - 80%" </w:t>
      </w:r>
      <w:proofErr w:type="gramStart"/>
      <w:r>
        <w:t>на</w:t>
      </w:r>
      <w:proofErr w:type="gramEnd"/>
      <w:r>
        <w:t xml:space="preserve"> "от 45% до 80%".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Д.4.3.2 изложить в новой редакции: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"Д.4.3.2 Для определения длительности </w:t>
      </w:r>
      <w:proofErr w:type="gramStart"/>
      <w:r>
        <w:t>послесвечения</w:t>
      </w:r>
      <w:proofErr w:type="gramEnd"/>
      <w:r>
        <w:t xml:space="preserve"> засвеченные образцы оставляют после засветки по Д.3 на 1800 мин и измеряют яркость послесвечения. Если среднее значение яркости трех образцов более 0,3 </w:t>
      </w:r>
      <w:proofErr w:type="spellStart"/>
      <w:r>
        <w:t>мкд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  <w:r>
        <w:t>, то значение длительности послесвечения фотолюминесцентного материала принимают "более 1800 мин".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Пункт Д.4.3.3. Заменить значение: "1440" на "1800".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Приложение И. Таблица И.1. Строку с кодом знака M15 - исключить.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Приложение К. Пункт К.1. Первое перечисление после слов "открытым огнем" дополнить словами: "и курить";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второе перечисление. Заменить обозначения: "W1" на "W11"; "Д" на "Ж";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lastRenderedPageBreak/>
        <w:t>третье перечисление. Заменить обозначение: "И.1" на "Л.1".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 xml:space="preserve">Приложение Л. </w:t>
      </w:r>
      <w:proofErr w:type="spellStart"/>
      <w:r>
        <w:t>Цветографическое</w:t>
      </w:r>
      <w:proofErr w:type="spellEnd"/>
      <w:r>
        <w:t xml:space="preserve"> изображение знака E10 заменить новым:</w:t>
      </w:r>
    </w:p>
    <w:p w:rsidR="009F4C7C" w:rsidRDefault="009F4C7C" w:rsidP="009F4C7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2551"/>
        <w:gridCol w:w="283"/>
      </w:tblGrid>
      <w:tr w:rsidR="009F4C7C" w:rsidTr="003D5F01">
        <w:tc>
          <w:tcPr>
            <w:tcW w:w="283" w:type="dxa"/>
          </w:tcPr>
          <w:p w:rsidR="009F4C7C" w:rsidRDefault="009F4C7C" w:rsidP="003D5F0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2551" w:type="dxa"/>
          </w:tcPr>
          <w:p w:rsidR="009F4C7C" w:rsidRDefault="009F4C7C" w:rsidP="003D5F01">
            <w:pPr>
              <w:pStyle w:val="ConsPlusNormal"/>
              <w:jc w:val="center"/>
            </w:pPr>
            <w:r>
              <w:rPr>
                <w:noProof/>
                <w:position w:val="-43"/>
              </w:rPr>
              <w:drawing>
                <wp:inline distT="0" distB="0" distL="0" distR="0">
                  <wp:extent cx="1304925" cy="7048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bottom"/>
          </w:tcPr>
          <w:p w:rsidR="009F4C7C" w:rsidRDefault="009F4C7C" w:rsidP="003D5F01">
            <w:pPr>
              <w:pStyle w:val="ConsPlusNormal"/>
            </w:pPr>
            <w:r>
              <w:t>";</w:t>
            </w:r>
          </w:p>
        </w:tc>
      </w:tr>
    </w:tbl>
    <w:p w:rsidR="009F4C7C" w:rsidRDefault="009F4C7C" w:rsidP="009F4C7C">
      <w:pPr>
        <w:pStyle w:val="ConsPlusNormal"/>
        <w:ind w:firstLine="540"/>
        <w:jc w:val="both"/>
      </w:pPr>
    </w:p>
    <w:p w:rsidR="009F4C7C" w:rsidRDefault="009F4C7C" w:rsidP="009F4C7C">
      <w:pPr>
        <w:pStyle w:val="ConsPlusNormal"/>
        <w:ind w:firstLine="540"/>
        <w:jc w:val="both"/>
      </w:pPr>
      <w:proofErr w:type="spellStart"/>
      <w:r>
        <w:t>цветографическое</w:t>
      </w:r>
      <w:proofErr w:type="spellEnd"/>
      <w:r>
        <w:t xml:space="preserve"> изображение знака E23 заменить новым:</w:t>
      </w:r>
    </w:p>
    <w:p w:rsidR="009F4C7C" w:rsidRDefault="009F4C7C" w:rsidP="009F4C7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2551"/>
        <w:gridCol w:w="283"/>
      </w:tblGrid>
      <w:tr w:rsidR="009F4C7C" w:rsidTr="003D5F01">
        <w:tc>
          <w:tcPr>
            <w:tcW w:w="283" w:type="dxa"/>
          </w:tcPr>
          <w:p w:rsidR="009F4C7C" w:rsidRDefault="009F4C7C" w:rsidP="003D5F0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2551" w:type="dxa"/>
          </w:tcPr>
          <w:p w:rsidR="009F4C7C" w:rsidRDefault="009F4C7C" w:rsidP="003D5F01">
            <w:pPr>
              <w:pStyle w:val="ConsPlusNormal"/>
              <w:jc w:val="center"/>
            </w:pPr>
            <w:r>
              <w:rPr>
                <w:noProof/>
                <w:position w:val="-45"/>
              </w:rPr>
              <w:drawing>
                <wp:inline distT="0" distB="0" distL="0" distR="0">
                  <wp:extent cx="1533525" cy="7239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bottom"/>
          </w:tcPr>
          <w:p w:rsidR="009F4C7C" w:rsidRDefault="009F4C7C" w:rsidP="003D5F01">
            <w:pPr>
              <w:pStyle w:val="ConsPlusNormal"/>
            </w:pPr>
            <w:r>
              <w:t>".</w:t>
            </w:r>
          </w:p>
        </w:tc>
      </w:tr>
    </w:tbl>
    <w:p w:rsidR="009F4C7C" w:rsidRDefault="009F4C7C" w:rsidP="009F4C7C">
      <w:pPr>
        <w:pStyle w:val="ConsPlusNormal"/>
        <w:ind w:firstLine="540"/>
        <w:jc w:val="both"/>
      </w:pPr>
    </w:p>
    <w:p w:rsidR="009F4C7C" w:rsidRDefault="009F4C7C" w:rsidP="009F4C7C">
      <w:pPr>
        <w:pStyle w:val="ConsPlusNormal"/>
        <w:ind w:firstLine="540"/>
        <w:jc w:val="both"/>
      </w:pPr>
      <w:r>
        <w:t>Приложение М. Таблица М.1. Код знака D03. Графа "Место размещения (установки) и рекомендации по применению". Исключить слова: "на общественных объектах".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Приложение П. Рисунок П.3. Знак "M 15" - исключить;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>
        <w:t>рисунок П.5. Изображение знака "E 23" заменить новым:</w:t>
      </w:r>
    </w:p>
    <w:p w:rsidR="009F4C7C" w:rsidRDefault="009F4C7C" w:rsidP="009F4C7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2551"/>
        <w:gridCol w:w="283"/>
      </w:tblGrid>
      <w:tr w:rsidR="009F4C7C" w:rsidTr="003D5F01">
        <w:tc>
          <w:tcPr>
            <w:tcW w:w="283" w:type="dxa"/>
          </w:tcPr>
          <w:p w:rsidR="009F4C7C" w:rsidRDefault="009F4C7C" w:rsidP="003D5F0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2551" w:type="dxa"/>
          </w:tcPr>
          <w:p w:rsidR="009F4C7C" w:rsidRDefault="009F4C7C" w:rsidP="003D5F01">
            <w:pPr>
              <w:pStyle w:val="ConsPlusNormal"/>
              <w:jc w:val="center"/>
            </w:pPr>
            <w:r>
              <w:rPr>
                <w:noProof/>
                <w:position w:val="-106"/>
              </w:rPr>
              <w:drawing>
                <wp:inline distT="0" distB="0" distL="0" distR="0">
                  <wp:extent cx="1352550" cy="15049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bottom"/>
          </w:tcPr>
          <w:p w:rsidR="009F4C7C" w:rsidRDefault="009F4C7C" w:rsidP="003D5F01">
            <w:pPr>
              <w:pStyle w:val="ConsPlusNormal"/>
            </w:pPr>
            <w:r>
              <w:t>".</w:t>
            </w:r>
          </w:p>
        </w:tc>
      </w:tr>
    </w:tbl>
    <w:p w:rsidR="009F4C7C" w:rsidRDefault="009F4C7C" w:rsidP="009F4C7C">
      <w:pPr>
        <w:pStyle w:val="ConsPlusNormal"/>
        <w:ind w:firstLine="540"/>
        <w:jc w:val="both"/>
      </w:pPr>
    </w:p>
    <w:p w:rsidR="009F4C7C" w:rsidRDefault="009F4C7C" w:rsidP="009F4C7C">
      <w:pPr>
        <w:pStyle w:val="ConsPlusNormal"/>
        <w:ind w:firstLine="540"/>
        <w:jc w:val="both"/>
      </w:pPr>
      <w:r>
        <w:t>Элемент "Библиография" дополнить позицией [7]:</w:t>
      </w:r>
    </w:p>
    <w:p w:rsidR="009F4C7C" w:rsidRDefault="009F4C7C" w:rsidP="009F4C7C">
      <w:pPr>
        <w:pStyle w:val="ConsPlusNormal"/>
        <w:spacing w:before="240"/>
        <w:ind w:firstLine="540"/>
        <w:jc w:val="both"/>
      </w:pPr>
      <w:r w:rsidRPr="009F4C7C">
        <w:rPr>
          <w:lang w:val="en-US"/>
        </w:rPr>
        <w:t>"[7] ISO 16069:2017 Graphical symbols - Safety signs - Safety way guidance systems (SWGS) (</w:t>
      </w:r>
      <w:r>
        <w:t>Графические</w:t>
      </w:r>
      <w:r w:rsidRPr="009F4C7C">
        <w:rPr>
          <w:lang w:val="en-US"/>
        </w:rPr>
        <w:t xml:space="preserve"> </w:t>
      </w:r>
      <w:r>
        <w:t>символы</w:t>
      </w:r>
      <w:r w:rsidRPr="009F4C7C">
        <w:rPr>
          <w:lang w:val="en-US"/>
        </w:rPr>
        <w:t xml:space="preserve">. </w:t>
      </w:r>
      <w:r>
        <w:t xml:space="preserve">Знаки безопасности. </w:t>
      </w:r>
      <w:proofErr w:type="gramStart"/>
      <w:r>
        <w:t>Системы обеспечения безопасности (SWGS))".</w:t>
      </w:r>
      <w:proofErr w:type="gramEnd"/>
    </w:p>
    <w:p w:rsidR="009F4C7C" w:rsidRDefault="009F4C7C" w:rsidP="009F4C7C">
      <w:pPr>
        <w:pStyle w:val="ConsPlusNormal"/>
        <w:jc w:val="both"/>
      </w:pPr>
    </w:p>
    <w:p w:rsidR="009F4C7C" w:rsidRDefault="009F4C7C" w:rsidP="009F4C7C">
      <w:pPr>
        <w:pStyle w:val="ConsPlusNormal"/>
        <w:jc w:val="both"/>
      </w:pPr>
    </w:p>
    <w:p w:rsidR="009F4C7C" w:rsidRDefault="009F4C7C" w:rsidP="009F4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402" w:rsidRDefault="00A52402"/>
    <w:sectPr w:rsidR="00A52402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5EB"/>
    <w:multiLevelType w:val="multilevel"/>
    <w:tmpl w:val="16F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73504A"/>
    <w:rsid w:val="00093479"/>
    <w:rsid w:val="00113283"/>
    <w:rsid w:val="00417C99"/>
    <w:rsid w:val="0054414C"/>
    <w:rsid w:val="00602370"/>
    <w:rsid w:val="006467B1"/>
    <w:rsid w:val="0073504A"/>
    <w:rsid w:val="007B518A"/>
    <w:rsid w:val="00857AF3"/>
    <w:rsid w:val="008C5343"/>
    <w:rsid w:val="008D1303"/>
    <w:rsid w:val="00937F48"/>
    <w:rsid w:val="009F4C7C"/>
    <w:rsid w:val="00A52402"/>
    <w:rsid w:val="00C577DE"/>
    <w:rsid w:val="00D600B7"/>
    <w:rsid w:val="00DD679D"/>
    <w:rsid w:val="00E143CB"/>
    <w:rsid w:val="00E71C3C"/>
    <w:rsid w:val="00F1323C"/>
    <w:rsid w:val="00F5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350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04A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50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504A"/>
    <w:pPr>
      <w:spacing w:before="100" w:beforeAutospacing="1" w:after="100" w:afterAutospacing="1"/>
    </w:pPr>
  </w:style>
  <w:style w:type="paragraph" w:customStyle="1" w:styleId="ConsPlusNormal">
    <w:name w:val="ConsPlusNormal"/>
    <w:rsid w:val="009F4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F4C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4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RePack by SPecialiST</cp:lastModifiedBy>
  <cp:revision>3</cp:revision>
  <dcterms:created xsi:type="dcterms:W3CDTF">2019-09-30T00:48:00Z</dcterms:created>
  <dcterms:modified xsi:type="dcterms:W3CDTF">2019-09-30T02:43:00Z</dcterms:modified>
</cp:coreProperties>
</file>