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5B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 w:rsidR="009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 закрытого аукциона на</w:t>
      </w:r>
      <w:r w:rsidR="00E5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</w:t>
      </w:r>
    </w:p>
    <w:p w:rsidR="00E5465B" w:rsidRDefault="00973B8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46FA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E54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46FA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2746FA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7BA5" w:rsidRPr="00A32488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973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1F30F4" w:rsidRPr="00A32488" w:rsidRDefault="009C729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2/19 от 25.01</w:t>
      </w:r>
      <w:r w:rsidR="001F30F4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F30F4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2D81" w:rsidRPr="00A42D81" w:rsidRDefault="00E36C8D" w:rsidP="00A4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постановлением администрации Дальнегорского городского округа от 24.01.2019 № 49-па, отдел</w:t>
      </w:r>
      <w:r w:rsidR="00A42D81"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экономики и поддержки предпринимательства администрации Дальнегорского городского округа сообщает о проведении закрытого аукциона (далее – аукцион) на право включения в схему размещения нестационарных торговых объектов на территории Дальнегорского городского округа по следующим лотам:</w:t>
      </w:r>
    </w:p>
    <w:p w:rsidR="00A42D81" w:rsidRPr="00A42D81" w:rsidRDefault="00A42D81" w:rsidP="00A42D81">
      <w:pPr>
        <w:pStyle w:val="a3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1: право на заключение договора на размещение нестационарного торгового объекта (далее – НТО), местоположение которого установлено: г. Дальнегорск, примерно в 12 м по направлению на север от северного угла здания № 32 по проспекту 50 лет Октября.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объект передвижной торговли.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цветы.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площадь места размещения НТО: 4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мест размещения, площадь НТО: 1 место, 4 кв. м. 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договора: 214 (Двести четырнадцать) рублей 00 копеек. 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42 (Сорок два) рубля 80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 (для сезонного (временного) размещения): с 5 по 8 марта 2019 года.</w:t>
      </w:r>
    </w:p>
    <w:p w:rsidR="00A42D81" w:rsidRPr="00A42D81" w:rsidRDefault="00A42D81" w:rsidP="00A42D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2: право на заключение договора на размещение нестационарного торгового объекта (далее – НТО), местоположение которого установлено: г. Дальнегорск, примерно в 33,5 м по направлению на запад от здания № 34 по проспекту 50 лет Октября.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объект передвижной торговли.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цветы.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площадь места размещения НТО: 37,5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мест размещения НТО, площадь: 5 мест по 6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одно место размещения НТО: 321 (Триста двадцать один) рубль 00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 одного места размещения НТО: 64 (Шестьдесят четыре) рубля 20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 (для сезонного (временного) размещения): с 5 по 8 марта 2019 года.</w:t>
      </w:r>
    </w:p>
    <w:p w:rsidR="00A42D81" w:rsidRPr="00A42D81" w:rsidRDefault="00A42D81" w:rsidP="00A42D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3</w:t>
      </w:r>
      <w:r w:rsidR="005652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 на заключение договора на размещение нестационарного торгового объекта (далее – НТО), местоположение которого установлено: г. Дальнегорск, между домами № 51 и № 53 </w:t>
      </w:r>
      <w:proofErr w:type="gramStart"/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proofErr w:type="gramEnd"/>
      <w:r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проспекту 50 лет Октября.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объект передвижной торговли.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цветы.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площадь места размещения НТО: 37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мест размещения НТО, площадь: 2 места по 6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одно место размещения НТО: 321 (Триста двадцать один) рубль 00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 одного места размещения НТО: 64 (Шестьдесят четыре) рубля 20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Период размещения НТО (для сезонного (временного) размещения): с 5 </w:t>
      </w:r>
      <w:r w:rsidR="003863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8 марта 2019 года.</w:t>
      </w:r>
    </w:p>
    <w:p w:rsidR="00A42D81" w:rsidRPr="00A42D81" w:rsidRDefault="00565225" w:rsidP="00A42D8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4:</w:t>
      </w:r>
      <w:r w:rsidR="00A42D81" w:rsidRPr="00A42D8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 на заключение договора на размещение нестационарного торгового объекта (далее – НТО), местоположение которого установлено: г. Дальнегорск, на расстоянии 15 м от угла дома № 57 по проспекту 50 лет Октября, в северо-восточном направлении.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киоск.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площадь места размещения НТО: 7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Начальная (минимальная) цена договора, в год: 8 324 (Восемь тысяч триста двадцать четыре) рубля 00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в размере 20% от начальной (минимальной) цены за право включения хозяйствующего субъекта в Схему: 1 664 (Одна тысяча шестьсот шестьдесят четыре) рубля 80 копеек. 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A42D81" w:rsidRPr="00500CF5" w:rsidRDefault="00A42D81" w:rsidP="00500CF5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00CF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5</w:t>
      </w:r>
      <w:r w:rsidR="0056522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500CF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право на заключение договора на размещение нестационарного торгового объекта (далее – НТО), местоположение которого установлено: г. Дальнегорск, примерно в 30 м по направлению на юг от дома № 1 по ул. 8 Марта.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объект передвижной торговли.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цветы.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Общая площадь места размещения НТО: 7 кв. м. 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мест размещения НТО, площадь: 2 места по 3,5 кв. м.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одно место размещения НТО: 187 (Сто восемьдесят семь) рублей 50 копеек.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в размере 20% от начальной (минимальной) цены за право включения хозяйствующего субъекта в Схему одного места размещения НТО: 37 (Тридцать семь) рублей 50 копеек. </w:t>
      </w:r>
    </w:p>
    <w:p w:rsidR="00A42D81" w:rsidRPr="00A42D81" w:rsidRDefault="00A42D81" w:rsidP="00A42D81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42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 (для сезонного (временного) размещения): с 5 по 8 марта 2019 года.</w:t>
      </w:r>
    </w:p>
    <w:p w:rsidR="00A42D81" w:rsidRDefault="00A42D81" w:rsidP="005A6F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56EA" w:rsidRPr="00B156EA" w:rsidRDefault="00B156EA" w:rsidP="00B15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торгов –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АУКЦИОН</w:t>
      </w:r>
    </w:p>
    <w:p w:rsidR="00B156EA" w:rsidRPr="00B156EA" w:rsidRDefault="00B156EA" w:rsidP="00B15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подачи предложений о цене –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ЗАКРЫТАЯ (В ЗАПЕЧАТАННЫХ КОНВЕРТАХ)</w:t>
      </w:r>
    </w:p>
    <w:p w:rsidR="00B156EA" w:rsidRPr="00B156EA" w:rsidRDefault="00B156EA" w:rsidP="00B15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Аукцион состоится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14 февраля 2019 года в 10:00 часов по адресу: г. Дальнегорск, проспект 50 лет Октября, д.125, </w:t>
      </w:r>
      <w:proofErr w:type="spellStart"/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каб</w:t>
      </w:r>
      <w:proofErr w:type="spellEnd"/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21.</w:t>
      </w:r>
    </w:p>
    <w:p w:rsidR="00B156EA" w:rsidRPr="00B156EA" w:rsidRDefault="00B156EA" w:rsidP="00B15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начинается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 января 2019 года.</w:t>
      </w:r>
    </w:p>
    <w:p w:rsidR="00B156EA" w:rsidRPr="00B156EA" w:rsidRDefault="00B156EA" w:rsidP="00B15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Последний день приема заявок и задатка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 февраля 2019 года.</w:t>
      </w:r>
    </w:p>
    <w:p w:rsidR="00B156EA" w:rsidRPr="00B156EA" w:rsidRDefault="00B156EA" w:rsidP="00B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Рассмотрение заявок, документов претендентов и допуск их к участию в аукционе </w:t>
      </w:r>
      <w:r w:rsidR="00A74BD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B156E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 февраля 2019 года.</w:t>
      </w:r>
    </w:p>
    <w:p w:rsidR="00B156EA" w:rsidRPr="00B156EA" w:rsidRDefault="00B156EA" w:rsidP="00B156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B156EA">
        <w:rPr>
          <w:rFonts w:ascii="Times New Roman" w:eastAsia="Times New Roman" w:hAnsi="Times New Roman" w:cs="Times New Roman"/>
          <w:sz w:val="23"/>
          <w:szCs w:val="23"/>
          <w:lang w:eastAsia="ru-RU"/>
        </w:rPr>
        <w:t>. 16, тел. 84237332140, по рабочим дням с 09-00 до 13-00 и с 14-00 по 17-00 (в понедельник до 18-00). Контактное лицо – Константинова Татьяна Витальевна.</w:t>
      </w:r>
    </w:p>
    <w:p w:rsidR="006D2443" w:rsidRDefault="00B16D59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Задаток вносится по следующим реквизитам: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Получатель: Финансовое управление администрации Дальнегорского городского округа Примор</w:t>
      </w:r>
      <w:r w:rsidR="006D244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ского края лицевой счет 02410051047</w:t>
      </w:r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ИНН 2505003840, КПП 250501001, р/</w:t>
      </w:r>
      <w:proofErr w:type="spellStart"/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сч</w:t>
      </w:r>
      <w:proofErr w:type="spellEnd"/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</w:t>
      </w:r>
      <w:r w:rsidR="006D2443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00000000000000140 «</w:t>
      </w:r>
      <w:r w:rsidR="006D2443" w:rsidRPr="004C68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за участие в аукционе на право включения в Схему НТО, дату аукциона, № извещения</w:t>
      </w:r>
      <w:r w:rsidR="006D244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280933" w:rsidRPr="005F2978" w:rsidRDefault="00280933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="00ED331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орма заяв</w:t>
      </w:r>
      <w:r w:rsidR="007E67E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ED331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к на участие в аукционе,</w:t>
      </w:r>
      <w:r w:rsidR="007E67E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331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типовой договор на размещение </w:t>
      </w:r>
      <w:r w:rsidR="00071C8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нестационарного торгового объекта</w:t>
      </w:r>
      <w:r w:rsidR="006A49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71C8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размещены на официальном сайте администрации Дальнегорского городского </w:t>
      </w:r>
      <w:r w:rsidR="00ED3316" w:rsidRPr="004C6861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округа</w:t>
      </w:r>
      <w:r w:rsidR="004C68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hyperlink r:id="rId5" w:history="1">
        <w:r w:rsidR="00315A18" w:rsidRPr="009B62ED">
          <w:rPr>
            <w:rStyle w:val="a6"/>
            <w:rFonts w:ascii="Times New Roman" w:eastAsia="Times New Roman" w:hAnsi="Times New Roman" w:cs="Times New Roman"/>
            <w:sz w:val="23"/>
            <w:szCs w:val="23"/>
            <w:lang w:eastAsia="ru-RU"/>
          </w:rPr>
          <w:t>http://dalnegorsk-mo.ru/economy/business/</w:t>
        </w:r>
      </w:hyperlink>
      <w:r w:rsidR="00315A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262A" w:rsidRPr="005F2978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Представление документов для</w:t>
      </w:r>
      <w:r w:rsidR="002F5B27"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участи</w:t>
      </w: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</w:t>
      </w:r>
      <w:r w:rsidR="002F5B27"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аукционе</w:t>
      </w:r>
    </w:p>
    <w:p w:rsidR="00BB3A1E" w:rsidRPr="005F2978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5F2978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информационном сообщении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проведении аукциона срок следующие документы</w:t>
      </w:r>
      <w:r w:rsidR="009F269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0805B7" w:rsidRPr="000805B7" w:rsidRDefault="000805B7" w:rsidP="000805B7">
      <w:pPr>
        <w:pStyle w:val="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805B7">
        <w:rPr>
          <w:rFonts w:ascii="Times New Roman" w:hAnsi="Times New Roman" w:cs="Times New Roman"/>
          <w:sz w:val="23"/>
          <w:szCs w:val="23"/>
          <w:lang w:eastAsia="ru-RU"/>
        </w:rPr>
        <w:t xml:space="preserve"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</w:t>
      </w:r>
      <w:r w:rsidRPr="000805B7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bookmarkStart w:id="1" w:name="pr_2057_135"/>
      <w:bookmarkStart w:id="2" w:name="bssPhr128"/>
      <w:bookmarkStart w:id="3" w:name="dfasyrgex8"/>
      <w:bookmarkStart w:id="4" w:name="pr_2057_133"/>
      <w:bookmarkStart w:id="5" w:name="bssPhr126"/>
      <w:bookmarkStart w:id="6" w:name="dfaswk55cu"/>
      <w:bookmarkEnd w:id="1"/>
      <w:bookmarkEnd w:id="2"/>
      <w:bookmarkEnd w:id="3"/>
      <w:bookmarkEnd w:id="4"/>
      <w:bookmarkEnd w:id="5"/>
      <w:bookmarkEnd w:id="6"/>
      <w:r w:rsidRPr="000805B7">
        <w:rPr>
          <w:sz w:val="23"/>
          <w:szCs w:val="23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r w:rsidRPr="000805B7">
        <w:rPr>
          <w:sz w:val="23"/>
          <w:szCs w:val="23"/>
        </w:rPr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r w:rsidRPr="000805B7">
        <w:rPr>
          <w:sz w:val="23"/>
          <w:szCs w:val="23"/>
        </w:rPr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r w:rsidRPr="000805B7">
        <w:rPr>
          <w:sz w:val="23"/>
          <w:szCs w:val="23"/>
        </w:rPr>
        <w:t>для юридических лиц – копии учредительных документов.</w:t>
      </w:r>
    </w:p>
    <w:p w:rsidR="000805B7" w:rsidRPr="000805B7" w:rsidRDefault="000805B7" w:rsidP="000805B7">
      <w:pPr>
        <w:pStyle w:val="20"/>
        <w:tabs>
          <w:tab w:val="left" w:pos="993"/>
        </w:tabs>
        <w:spacing w:before="0" w:after="0"/>
        <w:ind w:firstLine="709"/>
        <w:jc w:val="both"/>
        <w:rPr>
          <w:sz w:val="23"/>
          <w:szCs w:val="23"/>
        </w:rPr>
      </w:pPr>
      <w:r w:rsidRPr="000805B7">
        <w:rPr>
          <w:sz w:val="23"/>
          <w:szCs w:val="23"/>
        </w:rPr>
        <w:t xml:space="preserve">Документы, </w:t>
      </w:r>
      <w:proofErr w:type="spellStart"/>
      <w:r w:rsidRPr="000805B7">
        <w:rPr>
          <w:sz w:val="23"/>
          <w:szCs w:val="23"/>
        </w:rPr>
        <w:t>истребуемые</w:t>
      </w:r>
      <w:proofErr w:type="spellEnd"/>
      <w:r w:rsidRPr="000805B7">
        <w:rPr>
          <w:sz w:val="23"/>
          <w:szCs w:val="23"/>
        </w:rPr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r w:rsidRPr="000805B7">
        <w:rPr>
          <w:sz w:val="23"/>
          <w:szCs w:val="23"/>
        </w:rPr>
        <w:t>для юридических лиц – копию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0805B7" w:rsidRPr="000805B7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sz w:val="23"/>
          <w:szCs w:val="23"/>
        </w:rPr>
      </w:pPr>
      <w:bookmarkStart w:id="7" w:name="pr_2057_134"/>
      <w:bookmarkStart w:id="8" w:name="bssPhr127"/>
      <w:bookmarkStart w:id="9" w:name="dfas7aaqeo"/>
      <w:bookmarkEnd w:id="7"/>
      <w:bookmarkEnd w:id="8"/>
      <w:bookmarkEnd w:id="9"/>
      <w:r w:rsidRPr="000805B7">
        <w:rPr>
          <w:sz w:val="23"/>
          <w:szCs w:val="23"/>
        </w:rPr>
        <w:t>для индивидуальных предпринимателей – копию свидетельства о государственной регистрации физического лица в качестве индивидуального предпринимателя, копию свидетельства о постановке на налоговый учет, копию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личность.</w:t>
      </w:r>
    </w:p>
    <w:p w:rsidR="00176D97" w:rsidRPr="005F2978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5F2978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D1E95" w:rsidRPr="005F2978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5F2978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 имеет право отозвать поданную </w:t>
      </w:r>
      <w:r w:rsidR="00D6574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заявку </w:t>
      </w:r>
      <w:r w:rsidR="00D6574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D6574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43269A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65742" w:rsidRPr="005F2978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Допуск претендентов к участию в аукционе</w:t>
      </w:r>
    </w:p>
    <w:p w:rsidR="00626C45" w:rsidRPr="005F2978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оценки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заявок.</w:t>
      </w:r>
    </w:p>
    <w:p w:rsidR="00D65742" w:rsidRPr="005F2978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аукционной комиссии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5F2978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Организатор аукциона обязан в</w:t>
      </w:r>
      <w:r w:rsidR="007E67E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ернуть претенденту, не допущенного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участию в аукционе, внесенный им задаток </w:t>
      </w:r>
      <w:r w:rsidR="006D66E4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5F2978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Претендент не допускается к участию в аукционе в следующих случаях:</w:t>
      </w:r>
    </w:p>
    <w:p w:rsidR="002F3149" w:rsidRPr="005F2978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поступление задатка на дату рассмотрения заявок на участие в аукционе;</w:t>
      </w:r>
    </w:p>
    <w:p w:rsidR="002F3149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023F1" w:rsidRPr="005F2978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Порядок проведения аукциона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5F2978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5F2978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ност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ь, что фиксируется в протоколе об итогах аукциона;</w:t>
      </w:r>
    </w:p>
    <w:p w:rsidR="00066F0E" w:rsidRPr="005F2978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5F2978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5F2978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5F2978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рганизатора аукциона</w:t>
      </w:r>
      <w:r w:rsidR="00A36BFB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269A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6F0E" w:rsidRPr="005F2978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Заключение договора по итогам аукциона</w:t>
      </w:r>
    </w:p>
    <w:p w:rsidR="00066F0E" w:rsidRPr="005F2978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С победителем аукциона заключается д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размещение </w:t>
      </w:r>
      <w:r w:rsidR="00467697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нестационарного торгового объекта</w:t>
      </w:r>
      <w:r w:rsidR="009F6219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договор)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течение 5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со дня подписания протокола об итогах аукциона.</w:t>
      </w:r>
    </w:p>
    <w:p w:rsidR="00066F0E" w:rsidRPr="005F2978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hAnsi="Times New Roman" w:cs="Times New Roman"/>
          <w:sz w:val="23"/>
          <w:szCs w:val="23"/>
          <w:lang w:eastAsia="ru-RU"/>
        </w:rPr>
        <w:t>В случае отказа поб</w:t>
      </w:r>
      <w:r w:rsidR="00506ACC" w:rsidRPr="005F2978">
        <w:rPr>
          <w:rFonts w:ascii="Times New Roman" w:hAnsi="Times New Roman" w:cs="Times New Roman"/>
          <w:sz w:val="23"/>
          <w:szCs w:val="23"/>
          <w:lang w:eastAsia="ru-RU"/>
        </w:rPr>
        <w:t>едителя аукциона от заключения д</w:t>
      </w:r>
      <w:r w:rsidRPr="005F2978">
        <w:rPr>
          <w:rFonts w:ascii="Times New Roman" w:hAnsi="Times New Roman" w:cs="Times New Roman"/>
          <w:sz w:val="23"/>
          <w:szCs w:val="23"/>
          <w:lang w:eastAsia="ru-RU"/>
        </w:rPr>
        <w:t xml:space="preserve">оговора в течение 3 рабочих дней, </w:t>
      </w:r>
      <w:r w:rsidR="00506ACC" w:rsidRPr="005F2978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Pr="005F2978">
        <w:rPr>
          <w:rFonts w:ascii="Times New Roman" w:hAnsi="Times New Roman" w:cs="Times New Roman"/>
          <w:sz w:val="23"/>
          <w:szCs w:val="23"/>
          <w:lang w:eastAsia="ru-RU"/>
        </w:rPr>
        <w:t xml:space="preserve">рганизатор аукциона вправе заключить </w:t>
      </w:r>
      <w:r w:rsidR="00506ACC" w:rsidRPr="005F2978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hAnsi="Times New Roman" w:cs="Times New Roman"/>
          <w:sz w:val="23"/>
          <w:szCs w:val="23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5F2978">
        <w:rPr>
          <w:rFonts w:ascii="Times New Roman" w:hAnsi="Times New Roman" w:cs="Times New Roman"/>
          <w:sz w:val="23"/>
          <w:szCs w:val="23"/>
          <w:lang w:eastAsia="ru-RU"/>
        </w:rPr>
        <w:t>д</w:t>
      </w:r>
      <w:r w:rsidR="00EB4832" w:rsidRPr="005F2978">
        <w:rPr>
          <w:rFonts w:ascii="Times New Roman" w:hAnsi="Times New Roman" w:cs="Times New Roman"/>
          <w:sz w:val="23"/>
          <w:szCs w:val="23"/>
          <w:lang w:eastAsia="ru-RU"/>
        </w:rPr>
        <w:t>оговора, з</w:t>
      </w:r>
      <w:r w:rsidR="00066F0E" w:rsidRPr="005F2978">
        <w:rPr>
          <w:rFonts w:ascii="Times New Roman" w:hAnsi="Times New Roman" w:cs="Times New Roman"/>
          <w:sz w:val="23"/>
          <w:szCs w:val="23"/>
          <w:lang w:eastAsia="ru-RU"/>
        </w:rPr>
        <w:t>адаток, внесенный победителем аукциона, не возвращается.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оговору.</w:t>
      </w:r>
    </w:p>
    <w:p w:rsidR="0043269A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66F0E" w:rsidRPr="005F2978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Признание аукциона несостоявшимся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Аукцион признается несостоявшимся, если:</w:t>
      </w:r>
    </w:p>
    <w:p w:rsidR="00066F0E" w:rsidRPr="005F2978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FB1DAB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подано ни одной заявки;</w:t>
      </w:r>
    </w:p>
    <w:p w:rsidR="00066F0E" w:rsidRPr="005F2978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5F2978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066F0E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5F2978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рганизатор аукциона в течение </w:t>
      </w:r>
      <w:r w:rsidR="005F2978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5 рабочих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оговора. При этом </w:t>
      </w:r>
      <w:r w:rsidR="000E54A0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3 рабочих дней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 дня направления ему </w:t>
      </w:r>
      <w:r w:rsidR="00EB483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договора,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подписал и не представил </w:t>
      </w:r>
      <w:r w:rsidR="00EB483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рганизатору аукциона указанный </w:t>
      </w:r>
      <w:r w:rsidR="00EB4832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оговор. При этом условия повторного аукциона могут быть изменены.</w:t>
      </w:r>
    </w:p>
    <w:p w:rsidR="00DD36D5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237" w:rsidRDefault="00172237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Главы Дальнегорского </w:t>
      </w:r>
    </w:p>
    <w:p w:rsidR="00172237" w:rsidRPr="008A6EE2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округа                                                                                                           В.Н. Колосков</w:t>
      </w:r>
    </w:p>
    <w:sectPr w:rsidR="00172237" w:rsidRPr="008A6EE2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8"/>
  </w:num>
  <w:num w:numId="5">
    <w:abstractNumId w:val="20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9E2"/>
    <w:rsid w:val="001F0B07"/>
    <w:rsid w:val="001F30F4"/>
    <w:rsid w:val="002232DC"/>
    <w:rsid w:val="00250FA7"/>
    <w:rsid w:val="002746FA"/>
    <w:rsid w:val="00280933"/>
    <w:rsid w:val="00281EE7"/>
    <w:rsid w:val="002F3149"/>
    <w:rsid w:val="002F5B27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A14E3"/>
    <w:rsid w:val="004C6861"/>
    <w:rsid w:val="004E11F5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A49C6"/>
    <w:rsid w:val="006A7740"/>
    <w:rsid w:val="006B113D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73B85"/>
    <w:rsid w:val="0098411F"/>
    <w:rsid w:val="00990C62"/>
    <w:rsid w:val="009A4C37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C0262A"/>
    <w:rsid w:val="00C12BF3"/>
    <w:rsid w:val="00C433D8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77A7"/>
    <w:rsid w:val="00E81237"/>
    <w:rsid w:val="00E84FF2"/>
    <w:rsid w:val="00EA0383"/>
    <w:rsid w:val="00EB4832"/>
    <w:rsid w:val="00ED3316"/>
    <w:rsid w:val="00EF68C3"/>
    <w:rsid w:val="00F023F1"/>
    <w:rsid w:val="00F02508"/>
    <w:rsid w:val="00F23AF4"/>
    <w:rsid w:val="00F6668A"/>
    <w:rsid w:val="00F771D4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41</cp:revision>
  <cp:lastPrinted>2018-12-21T01:23:00Z</cp:lastPrinted>
  <dcterms:created xsi:type="dcterms:W3CDTF">2018-11-22T23:27:00Z</dcterms:created>
  <dcterms:modified xsi:type="dcterms:W3CDTF">2019-01-25T00:27:00Z</dcterms:modified>
</cp:coreProperties>
</file>