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C74CE0">
        <w:rPr>
          <w:rFonts w:ascii="Times New Roman" w:hAnsi="Times New Roman"/>
          <w:sz w:val="24"/>
          <w:szCs w:val="24"/>
        </w:rPr>
        <w:t>28</w:t>
      </w:r>
      <w:r w:rsidRPr="00F032D5">
        <w:rPr>
          <w:rFonts w:ascii="Times New Roman" w:hAnsi="Times New Roman"/>
          <w:sz w:val="24"/>
          <w:szCs w:val="24"/>
        </w:rPr>
        <w:t>.</w:t>
      </w:r>
      <w:r w:rsidR="0087540E">
        <w:rPr>
          <w:rFonts w:ascii="Times New Roman" w:hAnsi="Times New Roman"/>
          <w:sz w:val="24"/>
          <w:szCs w:val="24"/>
        </w:rPr>
        <w:t>0</w:t>
      </w:r>
      <w:r w:rsidR="00C74CE0">
        <w:rPr>
          <w:rFonts w:ascii="Times New Roman" w:hAnsi="Times New Roman"/>
          <w:sz w:val="24"/>
          <w:szCs w:val="24"/>
        </w:rPr>
        <w:t>7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990A7B">
        <w:rPr>
          <w:rFonts w:ascii="Times New Roman" w:hAnsi="Times New Roman"/>
          <w:sz w:val="24"/>
          <w:szCs w:val="24"/>
        </w:rPr>
        <w:t>1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>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физической культуры и массового спорта на территории Дальнегорского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</w:t>
            </w:r>
            <w:proofErr w:type="gramStart"/>
            <w:r w:rsidRPr="00990A7B">
              <w:rPr>
                <w:sz w:val="26"/>
                <w:szCs w:val="26"/>
              </w:rPr>
              <w:t>в</w:t>
            </w:r>
            <w:proofErr w:type="gramEnd"/>
            <w:r w:rsidRPr="00990A7B">
              <w:rPr>
                <w:sz w:val="26"/>
                <w:szCs w:val="26"/>
              </w:rPr>
              <w:t xml:space="preserve"> </w:t>
            </w:r>
            <w:proofErr w:type="gramStart"/>
            <w:r w:rsidRPr="00990A7B">
              <w:rPr>
                <w:sz w:val="26"/>
                <w:szCs w:val="26"/>
              </w:rPr>
              <w:t>Дальнегорском</w:t>
            </w:r>
            <w:proofErr w:type="gramEnd"/>
            <w:r w:rsidRPr="00990A7B">
              <w:rPr>
                <w:sz w:val="26"/>
                <w:szCs w:val="26"/>
              </w:rPr>
              <w:t xml:space="preserve"> городском округе»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утверждены </w:t>
            </w:r>
            <w:r w:rsidRPr="00555956">
              <w:rPr>
                <w:sz w:val="26"/>
                <w:szCs w:val="26"/>
              </w:rPr>
              <w:lastRenderedPageBreak/>
              <w:t>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 xml:space="preserve">- Федеральный закон </w:t>
            </w:r>
            <w:r w:rsidR="00290713">
              <w:rPr>
                <w:i w:val="0"/>
                <w:szCs w:val="26"/>
              </w:rPr>
              <w:t>«</w:t>
            </w:r>
            <w:r w:rsidRPr="00555956">
              <w:rPr>
                <w:i w:val="0"/>
                <w:szCs w:val="26"/>
              </w:rPr>
              <w:t>О физической культуре и спорте в Российской Федерации</w:t>
            </w:r>
            <w:r w:rsidR="00290713">
              <w:rPr>
                <w:i w:val="0"/>
                <w:szCs w:val="26"/>
              </w:rPr>
              <w:t>»</w:t>
            </w:r>
            <w:r w:rsidRPr="00555956">
              <w:rPr>
                <w:i w:val="0"/>
                <w:szCs w:val="26"/>
              </w:rPr>
              <w:t xml:space="preserve"> от 04.12.2007 № 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r w:rsidRPr="00904981">
              <w:rPr>
                <w:bCs/>
                <w:sz w:val="26"/>
                <w:szCs w:val="26"/>
              </w:rPr>
              <w:t>Дальнегорского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уровень обеспеченности граждан спортивными сооружениями, исходя из единовременной </w:t>
            </w:r>
            <w:r w:rsidRPr="00C539D4">
              <w:rPr>
                <w:sz w:val="26"/>
                <w:szCs w:val="26"/>
              </w:rPr>
              <w:lastRenderedPageBreak/>
              <w:t>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0C3778">
              <w:rPr>
                <w:rFonts w:ascii="Times New Roman" w:hAnsi="Times New Roman"/>
                <w:sz w:val="26"/>
                <w:szCs w:val="26"/>
              </w:rPr>
              <w:t>526 670,8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356D62">
              <w:rPr>
                <w:rFonts w:ascii="Times New Roman" w:hAnsi="Times New Roman"/>
                <w:sz w:val="26"/>
                <w:szCs w:val="26"/>
              </w:rPr>
              <w:t>84 632,5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541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A2FFB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356D62">
              <w:rPr>
                <w:rFonts w:ascii="Times New Roman" w:hAnsi="Times New Roman"/>
                <w:sz w:val="26"/>
                <w:szCs w:val="26"/>
              </w:rPr>
              <w:t>318 605,4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356D62">
              <w:rPr>
                <w:rFonts w:ascii="Times New Roman" w:hAnsi="Times New Roman"/>
                <w:sz w:val="26"/>
                <w:szCs w:val="26"/>
              </w:rPr>
              <w:t>64639,0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58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73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356D62">
              <w:rPr>
                <w:rFonts w:ascii="Times New Roman" w:hAnsi="Times New Roman"/>
                <w:sz w:val="26"/>
                <w:szCs w:val="26"/>
              </w:rPr>
              <w:t>172 717,3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356D62">
              <w:rPr>
                <w:rFonts w:ascii="Times New Roman" w:hAnsi="Times New Roman"/>
                <w:sz w:val="26"/>
                <w:szCs w:val="26"/>
              </w:rPr>
              <w:t>13 190,6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356D62">
              <w:rPr>
                <w:rFonts w:ascii="Times New Roman" w:hAnsi="Times New Roman"/>
                <w:sz w:val="26"/>
                <w:szCs w:val="26"/>
              </w:rPr>
              <w:t>3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5 348,2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B975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</w:t>
            </w:r>
            <w:r w:rsidR="00EF7B28">
              <w:rPr>
                <w:sz w:val="26"/>
                <w:szCs w:val="26"/>
              </w:rPr>
              <w:t>6</w:t>
            </w:r>
            <w:r w:rsidR="002124C4">
              <w:rPr>
                <w:sz w:val="26"/>
                <w:szCs w:val="26"/>
              </w:rPr>
              <w:t>,</w:t>
            </w:r>
            <w:r w:rsidR="00EF7B28">
              <w:rPr>
                <w:sz w:val="26"/>
                <w:szCs w:val="26"/>
              </w:rPr>
              <w:t>49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</w:t>
            </w:r>
            <w:r w:rsidR="00E465A3">
              <w:rPr>
                <w:sz w:val="26"/>
                <w:szCs w:val="26"/>
              </w:rPr>
              <w:t>6</w:t>
            </w:r>
            <w:r w:rsidR="00875DE1">
              <w:rPr>
                <w:sz w:val="26"/>
                <w:szCs w:val="26"/>
              </w:rPr>
              <w:t>,</w:t>
            </w:r>
            <w:r w:rsidR="00E465A3">
              <w:rPr>
                <w:sz w:val="26"/>
                <w:szCs w:val="26"/>
              </w:rPr>
              <w:t>7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</w:t>
      </w:r>
      <w:r>
        <w:rPr>
          <w:rFonts w:ascii="Times New Roman" w:hAnsi="Times New Roman"/>
          <w:sz w:val="26"/>
          <w:szCs w:val="26"/>
        </w:rPr>
        <w:lastRenderedPageBreak/>
        <w:t xml:space="preserve">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</w:t>
      </w:r>
      <w:proofErr w:type="gramStart"/>
      <w:r w:rsidRPr="006E6BF1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proofErr w:type="gramEnd"/>
      <w:r w:rsidRPr="006E6BF1">
        <w:rPr>
          <w:sz w:val="26"/>
          <w:szCs w:val="26"/>
        </w:rPr>
        <w:t xml:space="preserve"> </w:t>
      </w:r>
      <w:r w:rsidR="00290713">
        <w:rPr>
          <w:sz w:val="26"/>
          <w:szCs w:val="26"/>
        </w:rPr>
        <w:t>«</w:t>
      </w:r>
      <w:r w:rsidRPr="006E6BF1">
        <w:rPr>
          <w:sz w:val="26"/>
          <w:szCs w:val="26"/>
        </w:rPr>
        <w:t>О физической культуре и спорте в Росси</w:t>
      </w:r>
      <w:r w:rsidR="009B56F8">
        <w:rPr>
          <w:sz w:val="26"/>
          <w:szCs w:val="26"/>
        </w:rPr>
        <w:t>йской Федерации</w:t>
      </w:r>
      <w:r w:rsidR="00290713">
        <w:rPr>
          <w:sz w:val="26"/>
          <w:szCs w:val="26"/>
        </w:rPr>
        <w:t>»</w:t>
      </w:r>
      <w:r w:rsidR="009B56F8">
        <w:rPr>
          <w:sz w:val="26"/>
          <w:szCs w:val="26"/>
        </w:rPr>
        <w:t xml:space="preserve">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EF7B28">
        <w:rPr>
          <w:rFonts w:ascii="Times New Roman" w:hAnsi="Times New Roman"/>
          <w:sz w:val="26"/>
          <w:szCs w:val="26"/>
        </w:rPr>
        <w:t>46,49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</w:t>
      </w:r>
      <w:r w:rsidR="00E465A3">
        <w:rPr>
          <w:rFonts w:eastAsia="Calibri"/>
          <w:sz w:val="26"/>
          <w:szCs w:val="26"/>
          <w:lang w:eastAsia="en-US"/>
        </w:rPr>
        <w:t>6</w:t>
      </w:r>
      <w:r w:rsidR="003352B2">
        <w:rPr>
          <w:rFonts w:eastAsia="Calibri"/>
          <w:sz w:val="26"/>
          <w:szCs w:val="26"/>
          <w:lang w:eastAsia="en-US"/>
        </w:rPr>
        <w:t>,</w:t>
      </w:r>
      <w:r w:rsidR="00E465A3">
        <w:rPr>
          <w:rFonts w:eastAsia="Calibri"/>
          <w:sz w:val="26"/>
          <w:szCs w:val="26"/>
          <w:lang w:eastAsia="en-US"/>
        </w:rPr>
        <w:t>7</w:t>
      </w:r>
      <w:r w:rsidR="003352B2">
        <w:rPr>
          <w:rFonts w:eastAsia="Calibri"/>
          <w:sz w:val="26"/>
          <w:szCs w:val="26"/>
          <w:lang w:eastAsia="en-US"/>
        </w:rPr>
        <w:t>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lastRenderedPageBreak/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7971D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Дальнегорского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  Внедрение Всероссийского физкультурно-спортивного комплекса ГТО;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B426CD">
        <w:rPr>
          <w:sz w:val="26"/>
          <w:szCs w:val="26"/>
        </w:rPr>
        <w:t xml:space="preserve"> </w:t>
      </w:r>
      <w:proofErr w:type="gramStart"/>
      <w:r w:rsidRPr="00B426CD">
        <w:rPr>
          <w:sz w:val="26"/>
          <w:szCs w:val="26"/>
        </w:rPr>
        <w:t>Инициативное</w:t>
      </w:r>
      <w:proofErr w:type="gramEnd"/>
      <w:r w:rsidRPr="00B426CD">
        <w:rPr>
          <w:sz w:val="26"/>
          <w:szCs w:val="26"/>
        </w:rPr>
        <w:t xml:space="preserve"> бюджетирование по направлению "Твой проект"</w:t>
      </w:r>
      <w:r>
        <w:rPr>
          <w:sz w:val="26"/>
          <w:szCs w:val="26"/>
        </w:rPr>
        <w:t>: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1.5.1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Экстрим для молодежи (</w:t>
      </w:r>
      <w:proofErr w:type="spellStart"/>
      <w:r w:rsidRPr="00B426CD">
        <w:rPr>
          <w:sz w:val="26"/>
          <w:szCs w:val="26"/>
        </w:rPr>
        <w:t>скейт</w:t>
      </w:r>
      <w:proofErr w:type="spellEnd"/>
      <w:r w:rsidRPr="00B426CD">
        <w:rPr>
          <w:sz w:val="26"/>
          <w:szCs w:val="26"/>
        </w:rPr>
        <w:t>-парк)</w:t>
      </w:r>
      <w:r>
        <w:rPr>
          <w:sz w:val="26"/>
          <w:szCs w:val="26"/>
        </w:rPr>
        <w:t>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1.5.2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Благоустройство территории городской лыжной трассы Ключ "Резаный"</w:t>
      </w:r>
      <w:r>
        <w:rPr>
          <w:sz w:val="26"/>
          <w:szCs w:val="26"/>
        </w:rPr>
        <w:t>.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Краснореченский (МБУ КСЦ </w:t>
      </w:r>
      <w:r w:rsidR="00290713">
        <w:rPr>
          <w:sz w:val="26"/>
          <w:szCs w:val="26"/>
        </w:rPr>
        <w:t>«</w:t>
      </w:r>
      <w:r w:rsidRPr="00771158">
        <w:rPr>
          <w:sz w:val="26"/>
          <w:szCs w:val="26"/>
        </w:rPr>
        <w:t>Полиметалл</w:t>
      </w:r>
      <w:r w:rsidR="00290713">
        <w:rPr>
          <w:sz w:val="26"/>
          <w:szCs w:val="26"/>
        </w:rPr>
        <w:t>»</w:t>
      </w:r>
      <w:r w:rsidRPr="00771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</w:t>
      </w:r>
      <w:r w:rsidR="00290713">
        <w:rPr>
          <w:sz w:val="26"/>
          <w:szCs w:val="26"/>
        </w:rPr>
        <w:t>«</w:t>
      </w:r>
      <w:r w:rsidRPr="00E465A3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E465A3">
        <w:rPr>
          <w:sz w:val="26"/>
          <w:szCs w:val="26"/>
        </w:rPr>
        <w:t xml:space="preserve"> г.</w:t>
      </w:r>
      <w:r w:rsidR="00290713">
        <w:rPr>
          <w:sz w:val="26"/>
          <w:szCs w:val="26"/>
        </w:rPr>
        <w:t xml:space="preserve"> </w:t>
      </w:r>
      <w:r w:rsidRPr="00E465A3">
        <w:rPr>
          <w:sz w:val="26"/>
          <w:szCs w:val="26"/>
        </w:rPr>
        <w:t>Дальнегорска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lastRenderedPageBreak/>
        <w:t>2.1.10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E465A3">
        <w:rPr>
          <w:sz w:val="26"/>
          <w:szCs w:val="26"/>
        </w:rPr>
        <w:t>.</w:t>
      </w:r>
      <w:proofErr w:type="gramEnd"/>
      <w:r w:rsidRPr="00E465A3">
        <w:rPr>
          <w:sz w:val="26"/>
          <w:szCs w:val="26"/>
        </w:rPr>
        <w:t xml:space="preserve"> </w:t>
      </w:r>
      <w:proofErr w:type="gramStart"/>
      <w:r w:rsidRPr="00E465A3">
        <w:rPr>
          <w:sz w:val="26"/>
          <w:szCs w:val="26"/>
        </w:rPr>
        <w:t>с</w:t>
      </w:r>
      <w:proofErr w:type="gramEnd"/>
      <w:r w:rsidRPr="00E465A3">
        <w:rPr>
          <w:sz w:val="26"/>
          <w:szCs w:val="26"/>
        </w:rPr>
        <w:t xml:space="preserve">. Рудная </w:t>
      </w:r>
      <w:r>
        <w:rPr>
          <w:sz w:val="26"/>
          <w:szCs w:val="26"/>
        </w:rPr>
        <w:t>–</w:t>
      </w:r>
      <w:r w:rsidRPr="00E465A3">
        <w:rPr>
          <w:sz w:val="26"/>
          <w:szCs w:val="26"/>
        </w:rPr>
        <w:t xml:space="preserve"> Пристань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2.4.4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</w:t>
      </w:r>
      <w:r w:rsidR="00290713">
        <w:rPr>
          <w:sz w:val="26"/>
          <w:szCs w:val="26"/>
        </w:rPr>
        <w:t>«</w:t>
      </w:r>
      <w:r w:rsidRPr="00967DD1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967DD1">
        <w:rPr>
          <w:sz w:val="26"/>
          <w:szCs w:val="26"/>
        </w:rPr>
        <w:t xml:space="preserve">, расположенного по адресу г. Дальнегорск, ул. </w:t>
      </w:r>
      <w:proofErr w:type="gramStart"/>
      <w:r w:rsidRPr="00967DD1">
        <w:rPr>
          <w:sz w:val="26"/>
          <w:szCs w:val="26"/>
        </w:rPr>
        <w:t>Пионерская</w:t>
      </w:r>
      <w:proofErr w:type="gramEnd"/>
      <w:r w:rsidRPr="00967DD1">
        <w:rPr>
          <w:sz w:val="26"/>
          <w:szCs w:val="26"/>
        </w:rPr>
        <w:t>, д. 26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B426CD" w:rsidRDefault="00B426CD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B426CD">
        <w:rPr>
          <w:sz w:val="26"/>
          <w:szCs w:val="26"/>
        </w:rPr>
        <w:t xml:space="preserve">Приобретение </w:t>
      </w:r>
      <w:proofErr w:type="spellStart"/>
      <w:r w:rsidRPr="00B426CD">
        <w:rPr>
          <w:sz w:val="26"/>
          <w:szCs w:val="26"/>
        </w:rPr>
        <w:t>ледозаливочной</w:t>
      </w:r>
      <w:proofErr w:type="spellEnd"/>
      <w:r w:rsidRPr="00B426CD">
        <w:rPr>
          <w:sz w:val="26"/>
          <w:szCs w:val="26"/>
        </w:rPr>
        <w:t xml:space="preserve"> техники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lastRenderedPageBreak/>
        <w:t xml:space="preserve">5.2. </w:t>
      </w:r>
      <w:proofErr w:type="gramStart"/>
      <w:r w:rsidR="00241639" w:rsidRPr="006D2012">
        <w:rPr>
          <w:sz w:val="26"/>
          <w:szCs w:val="26"/>
        </w:rPr>
        <w:t xml:space="preserve">Мероприятия подпрограммы «Развитие </w:t>
      </w:r>
      <w:r w:rsidR="0098222B">
        <w:rPr>
          <w:sz w:val="26"/>
          <w:szCs w:val="26"/>
        </w:rPr>
        <w:t>физической культуры и массового</w:t>
      </w:r>
      <w:r w:rsidR="00241639" w:rsidRPr="006D2012">
        <w:rPr>
          <w:sz w:val="26"/>
          <w:szCs w:val="26"/>
        </w:rPr>
        <w:t xml:space="preserve"> спорта на территории Дальнегорского городского округа</w:t>
      </w:r>
      <w:r w:rsidR="00241639">
        <w:rPr>
          <w:sz w:val="26"/>
          <w:szCs w:val="26"/>
        </w:rPr>
        <w:t>»</w:t>
      </w:r>
      <w:r w:rsidR="0098222B">
        <w:rPr>
          <w:sz w:val="26"/>
          <w:szCs w:val="26"/>
        </w:rPr>
        <w:t xml:space="preserve"> </w:t>
      </w:r>
      <w:r w:rsidR="0098222B" w:rsidRPr="006D2012">
        <w:rPr>
          <w:sz w:val="26"/>
          <w:szCs w:val="26"/>
        </w:rPr>
        <w:t>осуществля</w:t>
      </w:r>
      <w:r w:rsidR="0098222B">
        <w:rPr>
          <w:sz w:val="26"/>
          <w:szCs w:val="26"/>
        </w:rPr>
        <w:t>ю</w:t>
      </w:r>
      <w:r w:rsidR="0098222B" w:rsidRPr="006D2012">
        <w:rPr>
          <w:sz w:val="26"/>
          <w:szCs w:val="26"/>
        </w:rPr>
        <w:t>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</w:t>
      </w:r>
      <w:r w:rsidR="0098222B">
        <w:rPr>
          <w:sz w:val="26"/>
          <w:szCs w:val="26"/>
        </w:rPr>
        <w:t xml:space="preserve"> и </w:t>
      </w:r>
      <w:r w:rsidRPr="006D2012">
        <w:rPr>
          <w:sz w:val="26"/>
          <w:szCs w:val="26"/>
        </w:rPr>
        <w:t>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</w:t>
      </w:r>
      <w:r w:rsidR="0098222B">
        <w:rPr>
          <w:color w:val="000000"/>
          <w:sz w:val="26"/>
          <w:szCs w:val="26"/>
        </w:rPr>
        <w:t>Правительством</w:t>
      </w:r>
      <w:r w:rsidRPr="006D2012">
        <w:rPr>
          <w:color w:val="000000"/>
          <w:sz w:val="26"/>
          <w:szCs w:val="26"/>
        </w:rPr>
        <w:t xml:space="preserve">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>дств кр</w:t>
      </w:r>
      <w:proofErr w:type="gramEnd"/>
      <w:r w:rsidRPr="006D2012">
        <w:rPr>
          <w:color w:val="000000"/>
          <w:sz w:val="26"/>
          <w:szCs w:val="26"/>
        </w:rPr>
        <w:t>аевого бюджета;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356D62" w:rsidRPr="00F52D5F" w:rsidRDefault="00356D62" w:rsidP="00356D6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526 670,8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84 632,5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65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541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318 605,4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64639,0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58 738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172 717,3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13 190,6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F52D5F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356D62" w:rsidRPr="00DF79D2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35 348,2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56D62" w:rsidRPr="00DF79D2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DF79D2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DF79D2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56D62" w:rsidRPr="00DF79D2" w:rsidRDefault="00356D62" w:rsidP="00356D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356D62" w:rsidRDefault="00356D62" w:rsidP="00356D6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356D62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lastRenderedPageBreak/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356D62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0713"/>
    <w:rsid w:val="00291D64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56D62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841F7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5E06-870E-49B4-B608-9B2C4FC3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3665</Words>
  <Characters>27292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8</cp:revision>
  <cp:lastPrinted>2021-07-27T03:31:00Z</cp:lastPrinted>
  <dcterms:created xsi:type="dcterms:W3CDTF">2021-03-12T07:34:00Z</dcterms:created>
  <dcterms:modified xsi:type="dcterms:W3CDTF">2021-07-27T04:47:00Z</dcterms:modified>
</cp:coreProperties>
</file>