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7" w:rsidRPr="002556CA" w:rsidRDefault="00C66227" w:rsidP="00141D59">
      <w:pPr>
        <w:tabs>
          <w:tab w:val="left" w:pos="851"/>
          <w:tab w:val="left" w:pos="993"/>
        </w:tabs>
        <w:ind w:left="5387"/>
        <w:jc w:val="center"/>
        <w:rPr>
          <w:bCs/>
          <w:sz w:val="26"/>
          <w:szCs w:val="26"/>
        </w:rPr>
      </w:pPr>
      <w:r w:rsidRPr="002556CA">
        <w:rPr>
          <w:bCs/>
          <w:sz w:val="26"/>
          <w:szCs w:val="26"/>
        </w:rPr>
        <w:t xml:space="preserve">Приложение № </w:t>
      </w:r>
      <w:r w:rsidR="00EB0CDA">
        <w:rPr>
          <w:bCs/>
          <w:sz w:val="26"/>
          <w:szCs w:val="26"/>
        </w:rPr>
        <w:t>9</w:t>
      </w:r>
    </w:p>
    <w:p w:rsidR="00C66227" w:rsidRPr="002556CA" w:rsidRDefault="00C66227" w:rsidP="0042340B">
      <w:pPr>
        <w:tabs>
          <w:tab w:val="left" w:pos="851"/>
          <w:tab w:val="left" w:pos="993"/>
        </w:tabs>
        <w:ind w:left="5670"/>
        <w:rPr>
          <w:bCs/>
          <w:sz w:val="26"/>
          <w:szCs w:val="26"/>
        </w:rPr>
      </w:pPr>
      <w:r w:rsidRPr="002556CA">
        <w:rPr>
          <w:bCs/>
          <w:sz w:val="26"/>
          <w:szCs w:val="26"/>
        </w:rPr>
        <w:t xml:space="preserve">к </w:t>
      </w:r>
      <w:r>
        <w:rPr>
          <w:bCs/>
          <w:sz w:val="26"/>
          <w:szCs w:val="26"/>
        </w:rPr>
        <w:t xml:space="preserve">муниципальной </w:t>
      </w:r>
      <w:r w:rsidRPr="002556CA">
        <w:rPr>
          <w:bCs/>
          <w:sz w:val="26"/>
          <w:szCs w:val="26"/>
        </w:rPr>
        <w:t xml:space="preserve">программе </w:t>
      </w:r>
      <w:r>
        <w:rPr>
          <w:bCs/>
          <w:sz w:val="26"/>
          <w:szCs w:val="26"/>
        </w:rPr>
        <w:t>«</w:t>
      </w:r>
      <w:r w:rsidRPr="002556CA">
        <w:rPr>
          <w:bCs/>
          <w:sz w:val="26"/>
          <w:szCs w:val="26"/>
        </w:rPr>
        <w:t>Обеспечение доступным жильем жителей Дальнегорского городского округа</w:t>
      </w:r>
      <w:r>
        <w:rPr>
          <w:bCs/>
          <w:sz w:val="26"/>
          <w:szCs w:val="26"/>
        </w:rPr>
        <w:t>»</w:t>
      </w:r>
    </w:p>
    <w:p w:rsidR="00C66227" w:rsidRPr="002556CA" w:rsidRDefault="00C66227" w:rsidP="00141D59">
      <w:pPr>
        <w:tabs>
          <w:tab w:val="left" w:pos="851"/>
          <w:tab w:val="left" w:pos="993"/>
        </w:tabs>
        <w:ind w:left="5387" w:firstLine="851"/>
        <w:rPr>
          <w:bCs/>
          <w:sz w:val="26"/>
          <w:szCs w:val="26"/>
        </w:rPr>
      </w:pPr>
    </w:p>
    <w:p w:rsidR="00C66227" w:rsidRPr="002556CA" w:rsidRDefault="00C66227" w:rsidP="00B0642B">
      <w:pPr>
        <w:tabs>
          <w:tab w:val="left" w:pos="851"/>
          <w:tab w:val="left" w:pos="993"/>
        </w:tabs>
        <w:jc w:val="center"/>
        <w:rPr>
          <w:b/>
          <w:bCs/>
          <w:sz w:val="26"/>
          <w:szCs w:val="26"/>
        </w:rPr>
      </w:pPr>
      <w:r w:rsidRPr="002556CA">
        <w:rPr>
          <w:b/>
          <w:bCs/>
          <w:sz w:val="26"/>
          <w:szCs w:val="26"/>
        </w:rPr>
        <w:t>ПАСПОРТ</w:t>
      </w:r>
    </w:p>
    <w:p w:rsidR="0042340B" w:rsidRDefault="00C66227" w:rsidP="00B0642B">
      <w:pPr>
        <w:tabs>
          <w:tab w:val="left" w:pos="851"/>
          <w:tab w:val="left" w:pos="993"/>
          <w:tab w:val="left" w:pos="5812"/>
        </w:tabs>
        <w:jc w:val="center"/>
        <w:rPr>
          <w:b/>
          <w:sz w:val="26"/>
          <w:szCs w:val="26"/>
        </w:rPr>
      </w:pPr>
      <w:r w:rsidRPr="002556CA">
        <w:rPr>
          <w:b/>
          <w:bCs/>
          <w:sz w:val="26"/>
          <w:szCs w:val="26"/>
        </w:rPr>
        <w:t xml:space="preserve">Подпрограммы </w:t>
      </w:r>
      <w:r>
        <w:rPr>
          <w:b/>
          <w:bCs/>
          <w:sz w:val="26"/>
          <w:szCs w:val="26"/>
        </w:rPr>
        <w:t>«</w:t>
      </w:r>
      <w:r w:rsidRPr="002556CA">
        <w:rPr>
          <w:b/>
          <w:sz w:val="26"/>
          <w:szCs w:val="26"/>
        </w:rPr>
        <w:t xml:space="preserve">Переселение граждан из аварийного жилищного фонда </w:t>
      </w:r>
    </w:p>
    <w:p w:rsidR="00C66227" w:rsidRPr="002556CA" w:rsidRDefault="00C66227" w:rsidP="00B0642B">
      <w:pPr>
        <w:tabs>
          <w:tab w:val="left" w:pos="851"/>
          <w:tab w:val="left" w:pos="993"/>
          <w:tab w:val="left" w:pos="5812"/>
        </w:tabs>
        <w:jc w:val="center"/>
        <w:rPr>
          <w:b/>
          <w:bCs/>
          <w:sz w:val="26"/>
          <w:szCs w:val="26"/>
        </w:rPr>
      </w:pPr>
      <w:r w:rsidRPr="002556CA">
        <w:rPr>
          <w:b/>
          <w:sz w:val="26"/>
          <w:szCs w:val="26"/>
        </w:rPr>
        <w:t>в Дальнегорском городском округе</w:t>
      </w:r>
      <w:r>
        <w:rPr>
          <w:b/>
          <w:bCs/>
          <w:sz w:val="26"/>
          <w:szCs w:val="26"/>
        </w:rPr>
        <w:t>»</w:t>
      </w:r>
    </w:p>
    <w:p w:rsidR="00C66227" w:rsidRPr="002556CA" w:rsidRDefault="00C66227" w:rsidP="00C66227">
      <w:pPr>
        <w:tabs>
          <w:tab w:val="left" w:pos="851"/>
          <w:tab w:val="left" w:pos="993"/>
        </w:tabs>
        <w:spacing w:line="360" w:lineRule="auto"/>
        <w:ind w:firstLine="851"/>
        <w:jc w:val="center"/>
        <w:rPr>
          <w:bCs/>
          <w:sz w:val="26"/>
          <w:szCs w:val="26"/>
        </w:rPr>
      </w:pPr>
    </w:p>
    <w:tbl>
      <w:tblPr>
        <w:tblW w:w="5000" w:type="pct"/>
        <w:tblLook w:val="00A0"/>
      </w:tblPr>
      <w:tblGrid>
        <w:gridCol w:w="3272"/>
        <w:gridCol w:w="6809"/>
      </w:tblGrid>
      <w:tr w:rsidR="00C66227" w:rsidRPr="00141D59" w:rsidTr="0042340B">
        <w:trPr>
          <w:trHeight w:val="1068"/>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Ответственный исполнитель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Отдел жизнеобеспечения администрации Дальнегорского городского округа</w:t>
            </w:r>
          </w:p>
        </w:tc>
      </w:tr>
      <w:tr w:rsidR="00C66227" w:rsidRPr="00141D59" w:rsidTr="0042340B">
        <w:trPr>
          <w:trHeight w:val="713"/>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Соисполнители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Управление муниципального имущества администрации Дальнегорского городского округа</w:t>
            </w:r>
          </w:p>
        </w:tc>
      </w:tr>
      <w:tr w:rsidR="00C66227" w:rsidRPr="00141D59" w:rsidTr="0042340B">
        <w:trPr>
          <w:trHeight w:val="682"/>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Структура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p>
        </w:tc>
      </w:tr>
      <w:tr w:rsidR="00C66227" w:rsidRPr="00141D59" w:rsidTr="0042340B">
        <w:trPr>
          <w:trHeight w:val="708"/>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Основное мероприятие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Переселение граждан из аварийного жилого фонда</w:t>
            </w:r>
            <w:r w:rsidR="003B6F10">
              <w:rPr>
                <w:sz w:val="26"/>
                <w:szCs w:val="26"/>
              </w:rPr>
              <w:t xml:space="preserve"> </w:t>
            </w:r>
            <w:proofErr w:type="gramStart"/>
            <w:r w:rsidR="003B6F10">
              <w:rPr>
                <w:sz w:val="26"/>
                <w:szCs w:val="26"/>
              </w:rPr>
              <w:t>в</w:t>
            </w:r>
            <w:proofErr w:type="gramEnd"/>
            <w:r w:rsidR="003B6F10">
              <w:rPr>
                <w:sz w:val="26"/>
                <w:szCs w:val="26"/>
              </w:rPr>
              <w:t xml:space="preserve"> </w:t>
            </w:r>
            <w:proofErr w:type="gramStart"/>
            <w:r w:rsidR="003B6F10">
              <w:rPr>
                <w:sz w:val="26"/>
                <w:szCs w:val="26"/>
              </w:rPr>
              <w:t>Дальнегорском</w:t>
            </w:r>
            <w:proofErr w:type="gramEnd"/>
            <w:r w:rsidR="003B6F10">
              <w:rPr>
                <w:sz w:val="26"/>
                <w:szCs w:val="26"/>
              </w:rPr>
              <w:t xml:space="preserve"> городском округе.</w:t>
            </w:r>
          </w:p>
        </w:tc>
      </w:tr>
      <w:tr w:rsidR="00C66227" w:rsidRPr="00141D59" w:rsidTr="0042340B">
        <w:trPr>
          <w:trHeight w:val="1967"/>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Реквизиты нормативных правовых актов, которыми утверждены государственные программы РФ, Приморского края</w:t>
            </w:r>
          </w:p>
        </w:tc>
        <w:tc>
          <w:tcPr>
            <w:tcW w:w="3377" w:type="pct"/>
            <w:tcBorders>
              <w:top w:val="single" w:sz="4" w:space="0" w:color="auto"/>
              <w:left w:val="single" w:sz="4" w:space="0" w:color="auto"/>
              <w:bottom w:val="single" w:sz="4" w:space="0" w:color="auto"/>
              <w:right w:val="single" w:sz="4" w:space="0" w:color="auto"/>
            </w:tcBorders>
          </w:tcPr>
          <w:p w:rsidR="00C66227" w:rsidRPr="007F015E" w:rsidRDefault="00C66227" w:rsidP="003B6F10">
            <w:pPr>
              <w:rPr>
                <w:sz w:val="26"/>
                <w:szCs w:val="26"/>
              </w:rPr>
            </w:pPr>
            <w:r w:rsidRPr="007F015E">
              <w:rPr>
                <w:sz w:val="26"/>
                <w:szCs w:val="26"/>
              </w:rPr>
              <w:t>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w:t>
            </w:r>
            <w:r w:rsidR="003B6F10" w:rsidRPr="007F015E">
              <w:rPr>
                <w:sz w:val="26"/>
                <w:szCs w:val="26"/>
              </w:rPr>
              <w:t>1</w:t>
            </w:r>
            <w:r w:rsidRPr="007F015E">
              <w:rPr>
                <w:sz w:val="26"/>
                <w:szCs w:val="26"/>
              </w:rPr>
              <w:t xml:space="preserve"> годы».</w:t>
            </w:r>
          </w:p>
        </w:tc>
      </w:tr>
      <w:tr w:rsidR="00C66227" w:rsidRPr="00141D59" w:rsidTr="0042340B">
        <w:trPr>
          <w:trHeight w:val="2264"/>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Цель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создание безопасных и благоприятных условий проживания граждан на территории Дальнегорского городского округа, путем обеспечения реализации комплекса мер, направленных на переселение жителей Дальнегорского городского округа, проживающих в многоквартирных домах, признанных аварийными и подлежащими сносу.</w:t>
            </w:r>
          </w:p>
        </w:tc>
      </w:tr>
      <w:tr w:rsidR="00C66227" w:rsidRPr="00141D59" w:rsidTr="00141D59">
        <w:trPr>
          <w:trHeight w:val="492"/>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Задачи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обеспечение реализации мероприятия по переселению граждан из многоквартирных домов, признанных аварийными и подлежащими сносу, в благоустроенные жилые помещения в многоквартирных, в том числе малоэтажных жилых домах;</w:t>
            </w:r>
          </w:p>
          <w:p w:rsidR="00C66227" w:rsidRPr="0042340B" w:rsidRDefault="00C66227" w:rsidP="0042340B">
            <w:pPr>
              <w:rPr>
                <w:sz w:val="26"/>
                <w:szCs w:val="26"/>
              </w:rPr>
            </w:pPr>
            <w:r w:rsidRPr="0042340B">
              <w:rPr>
                <w:sz w:val="26"/>
                <w:szCs w:val="26"/>
              </w:rPr>
              <w:t>реализация мероприятий по сносу многоквартирных домов, признанных аварийными и подлежащими сносу.</w:t>
            </w:r>
          </w:p>
          <w:p w:rsidR="00C66227" w:rsidRPr="0042340B" w:rsidRDefault="00C66227" w:rsidP="0042340B">
            <w:pPr>
              <w:rPr>
                <w:sz w:val="26"/>
                <w:szCs w:val="26"/>
              </w:rPr>
            </w:pPr>
          </w:p>
        </w:tc>
      </w:tr>
      <w:tr w:rsidR="00C66227" w:rsidRPr="00141D59" w:rsidTr="0042340B">
        <w:trPr>
          <w:trHeight w:val="1083"/>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Индикаторы и показатели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Индикаторы, характеризующие достижение цели подпрограммы:</w:t>
            </w:r>
          </w:p>
          <w:p w:rsidR="00C66227" w:rsidRPr="0042340B" w:rsidRDefault="00C66227" w:rsidP="0042340B">
            <w:pPr>
              <w:rPr>
                <w:sz w:val="26"/>
                <w:szCs w:val="26"/>
              </w:rPr>
            </w:pPr>
            <w:r w:rsidRPr="0042340B">
              <w:rPr>
                <w:sz w:val="26"/>
                <w:szCs w:val="26"/>
              </w:rPr>
              <w:t xml:space="preserve">- Количество граждан, переселенных из аварийных многоквартирных домов </w:t>
            </w:r>
          </w:p>
          <w:p w:rsidR="00C66227" w:rsidRPr="0042340B" w:rsidRDefault="00C66227" w:rsidP="0042340B">
            <w:pPr>
              <w:rPr>
                <w:sz w:val="26"/>
                <w:szCs w:val="26"/>
              </w:rPr>
            </w:pPr>
            <w:r w:rsidRPr="0042340B">
              <w:rPr>
                <w:sz w:val="26"/>
                <w:szCs w:val="26"/>
              </w:rPr>
              <w:t>Показатели, характеризующие решение задач подпрограммы:</w:t>
            </w:r>
          </w:p>
          <w:p w:rsidR="00C66227" w:rsidRPr="0042340B" w:rsidRDefault="00C66227" w:rsidP="0042340B">
            <w:pPr>
              <w:rPr>
                <w:sz w:val="26"/>
                <w:szCs w:val="26"/>
              </w:rPr>
            </w:pPr>
            <w:r w:rsidRPr="0042340B">
              <w:rPr>
                <w:sz w:val="26"/>
                <w:szCs w:val="26"/>
              </w:rPr>
              <w:lastRenderedPageBreak/>
              <w:t xml:space="preserve">- Площадь расселенного аварийного жилищного фонда </w:t>
            </w:r>
          </w:p>
        </w:tc>
      </w:tr>
      <w:tr w:rsidR="00C66227" w:rsidRPr="00141D59" w:rsidTr="00141D59">
        <w:trPr>
          <w:trHeight w:val="614"/>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lastRenderedPageBreak/>
              <w:t>Этапы и сроки реализации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Подпрограмма реализуется в 2015-2017 годах в один этап.</w:t>
            </w:r>
          </w:p>
        </w:tc>
      </w:tr>
      <w:tr w:rsidR="00C66227" w:rsidRPr="00141D59" w:rsidTr="0042340B">
        <w:trPr>
          <w:trHeight w:val="6465"/>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бюджета, средств краевого бюджета, иных внебюджетных источников в реализации программы (в текущих ценах каждого года)</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 xml:space="preserve">Общий объем финансирования подпрограммы составляет </w:t>
            </w:r>
          </w:p>
          <w:p w:rsidR="00C66227" w:rsidRPr="0042340B" w:rsidRDefault="00C66227" w:rsidP="0042340B">
            <w:pPr>
              <w:rPr>
                <w:sz w:val="26"/>
                <w:szCs w:val="26"/>
              </w:rPr>
            </w:pPr>
            <w:r w:rsidRPr="0042340B">
              <w:rPr>
                <w:sz w:val="26"/>
                <w:szCs w:val="26"/>
              </w:rPr>
              <w:t>22000,9 тыс. руб. в том числе:</w:t>
            </w:r>
          </w:p>
          <w:p w:rsidR="00C66227" w:rsidRPr="0042340B" w:rsidRDefault="00C66227" w:rsidP="0042340B">
            <w:pPr>
              <w:rPr>
                <w:sz w:val="26"/>
                <w:szCs w:val="26"/>
              </w:rPr>
            </w:pPr>
            <w:r w:rsidRPr="0042340B">
              <w:rPr>
                <w:sz w:val="26"/>
                <w:szCs w:val="26"/>
              </w:rPr>
              <w:t>2015 год –0,0 тыс. руб.</w:t>
            </w:r>
          </w:p>
          <w:p w:rsidR="00C66227" w:rsidRPr="0042340B" w:rsidRDefault="00C66227" w:rsidP="0042340B">
            <w:pPr>
              <w:rPr>
                <w:sz w:val="26"/>
                <w:szCs w:val="26"/>
              </w:rPr>
            </w:pPr>
            <w:r w:rsidRPr="0042340B">
              <w:rPr>
                <w:sz w:val="26"/>
                <w:szCs w:val="26"/>
              </w:rPr>
              <w:t>2016 год – 7906,3тыс. руб.</w:t>
            </w:r>
          </w:p>
          <w:p w:rsidR="00C66227" w:rsidRPr="0042340B" w:rsidRDefault="00C66227" w:rsidP="0042340B">
            <w:pPr>
              <w:rPr>
                <w:sz w:val="26"/>
                <w:szCs w:val="26"/>
              </w:rPr>
            </w:pPr>
            <w:r w:rsidRPr="0042340B">
              <w:rPr>
                <w:sz w:val="26"/>
                <w:szCs w:val="26"/>
              </w:rPr>
              <w:t>2017 год – 14094,6 тыс. руб.</w:t>
            </w:r>
          </w:p>
          <w:p w:rsidR="00C66227" w:rsidRPr="0042340B" w:rsidRDefault="00C66227" w:rsidP="0042340B">
            <w:pPr>
              <w:rPr>
                <w:sz w:val="26"/>
                <w:szCs w:val="26"/>
              </w:rPr>
            </w:pPr>
            <w:r w:rsidRPr="0042340B">
              <w:rPr>
                <w:sz w:val="26"/>
                <w:szCs w:val="26"/>
              </w:rPr>
              <w:t>в том числе:</w:t>
            </w:r>
          </w:p>
          <w:p w:rsidR="00C66227" w:rsidRPr="0042340B" w:rsidRDefault="00C66227" w:rsidP="0042340B">
            <w:pPr>
              <w:rPr>
                <w:sz w:val="26"/>
                <w:szCs w:val="26"/>
              </w:rPr>
            </w:pPr>
            <w:r w:rsidRPr="0042340B">
              <w:rPr>
                <w:sz w:val="26"/>
                <w:szCs w:val="26"/>
              </w:rPr>
              <w:t>Средства бюджета Дальнегорского городского округа составляют 3278,4 тыс. руб., в том числе по годам:</w:t>
            </w:r>
          </w:p>
          <w:p w:rsidR="00C66227" w:rsidRPr="0042340B" w:rsidRDefault="00C66227" w:rsidP="0042340B">
            <w:pPr>
              <w:rPr>
                <w:sz w:val="26"/>
                <w:szCs w:val="26"/>
              </w:rPr>
            </w:pPr>
            <w:r w:rsidRPr="0042340B">
              <w:rPr>
                <w:sz w:val="26"/>
                <w:szCs w:val="26"/>
              </w:rPr>
              <w:t>2015 год – 0,0 тыс. руб.</w:t>
            </w:r>
          </w:p>
          <w:p w:rsidR="00C66227" w:rsidRPr="0042340B" w:rsidRDefault="00C66227" w:rsidP="0042340B">
            <w:pPr>
              <w:rPr>
                <w:sz w:val="26"/>
                <w:szCs w:val="26"/>
              </w:rPr>
            </w:pPr>
            <w:r w:rsidRPr="0042340B">
              <w:rPr>
                <w:sz w:val="26"/>
                <w:szCs w:val="26"/>
              </w:rPr>
              <w:t>2016 год –395,3 тыс. руб.</w:t>
            </w:r>
          </w:p>
          <w:p w:rsidR="00C66227" w:rsidRPr="0042340B" w:rsidRDefault="00C66227" w:rsidP="0042340B">
            <w:pPr>
              <w:rPr>
                <w:sz w:val="26"/>
                <w:szCs w:val="26"/>
              </w:rPr>
            </w:pPr>
            <w:r w:rsidRPr="0042340B">
              <w:rPr>
                <w:sz w:val="26"/>
                <w:szCs w:val="26"/>
              </w:rPr>
              <w:t>2017 год – 2883,0 тыс. руб.</w:t>
            </w:r>
          </w:p>
          <w:p w:rsidR="00C66227" w:rsidRPr="0042340B" w:rsidRDefault="00C66227" w:rsidP="0042340B">
            <w:pPr>
              <w:rPr>
                <w:sz w:val="26"/>
                <w:szCs w:val="26"/>
              </w:rPr>
            </w:pPr>
            <w:r w:rsidRPr="0042340B">
              <w:rPr>
                <w:sz w:val="26"/>
                <w:szCs w:val="26"/>
              </w:rPr>
              <w:t>Средства краевого бюджета составляют 8290,8 тыс. руб., в том числе по годам:</w:t>
            </w:r>
          </w:p>
          <w:p w:rsidR="00C66227" w:rsidRPr="0042340B" w:rsidRDefault="00C66227" w:rsidP="0042340B">
            <w:pPr>
              <w:rPr>
                <w:sz w:val="26"/>
                <w:szCs w:val="26"/>
              </w:rPr>
            </w:pPr>
            <w:r w:rsidRPr="0042340B">
              <w:rPr>
                <w:sz w:val="26"/>
                <w:szCs w:val="26"/>
              </w:rPr>
              <w:t>2015 год – 0,0 тыс. руб.</w:t>
            </w:r>
          </w:p>
          <w:p w:rsidR="00C66227" w:rsidRPr="0042340B" w:rsidRDefault="00C66227" w:rsidP="0042340B">
            <w:pPr>
              <w:rPr>
                <w:sz w:val="26"/>
                <w:szCs w:val="26"/>
              </w:rPr>
            </w:pPr>
            <w:r w:rsidRPr="0042340B">
              <w:rPr>
                <w:sz w:val="26"/>
                <w:szCs w:val="26"/>
              </w:rPr>
              <w:t>2016 год – 3557,8 тыс. руб.</w:t>
            </w:r>
          </w:p>
          <w:p w:rsidR="00C66227" w:rsidRPr="0042340B" w:rsidRDefault="00C66227" w:rsidP="0042340B">
            <w:pPr>
              <w:rPr>
                <w:sz w:val="26"/>
                <w:szCs w:val="26"/>
              </w:rPr>
            </w:pPr>
            <w:r w:rsidRPr="0042340B">
              <w:rPr>
                <w:sz w:val="26"/>
                <w:szCs w:val="26"/>
              </w:rPr>
              <w:t>2017 год – 4733,0 тыс. руб.</w:t>
            </w:r>
          </w:p>
          <w:p w:rsidR="00C66227" w:rsidRPr="0042340B" w:rsidRDefault="00C66227" w:rsidP="0042340B">
            <w:pPr>
              <w:rPr>
                <w:sz w:val="26"/>
                <w:szCs w:val="26"/>
              </w:rPr>
            </w:pPr>
            <w:r w:rsidRPr="0042340B">
              <w:rPr>
                <w:sz w:val="26"/>
                <w:szCs w:val="26"/>
              </w:rPr>
              <w:t>Средства федерального бюджета составляют 10431,7 тыс. руб., в том числе по годам:</w:t>
            </w:r>
          </w:p>
          <w:p w:rsidR="00C66227" w:rsidRPr="0042340B" w:rsidRDefault="00C66227" w:rsidP="0042340B">
            <w:pPr>
              <w:rPr>
                <w:sz w:val="26"/>
                <w:szCs w:val="26"/>
              </w:rPr>
            </w:pPr>
            <w:r w:rsidRPr="0042340B">
              <w:rPr>
                <w:sz w:val="26"/>
                <w:szCs w:val="26"/>
              </w:rPr>
              <w:t>2015 год – 0,0 тыс. руб.</w:t>
            </w:r>
          </w:p>
          <w:p w:rsidR="00C66227" w:rsidRPr="0042340B" w:rsidRDefault="00C66227" w:rsidP="0042340B">
            <w:pPr>
              <w:rPr>
                <w:sz w:val="26"/>
                <w:szCs w:val="26"/>
              </w:rPr>
            </w:pPr>
            <w:r w:rsidRPr="0042340B">
              <w:rPr>
                <w:sz w:val="26"/>
                <w:szCs w:val="26"/>
              </w:rPr>
              <w:t>2016 год – 3953,2 тыс. руб.</w:t>
            </w:r>
          </w:p>
          <w:p w:rsidR="00C66227" w:rsidRPr="0042340B" w:rsidRDefault="00C66227" w:rsidP="0042340B">
            <w:pPr>
              <w:rPr>
                <w:sz w:val="26"/>
                <w:szCs w:val="26"/>
              </w:rPr>
            </w:pPr>
            <w:r w:rsidRPr="0042340B">
              <w:rPr>
                <w:sz w:val="26"/>
                <w:szCs w:val="26"/>
              </w:rPr>
              <w:t>2017 год – 6478,5 тыс. руб.</w:t>
            </w:r>
          </w:p>
        </w:tc>
      </w:tr>
      <w:tr w:rsidR="00C66227" w:rsidRPr="00141D59" w:rsidTr="0042340B">
        <w:trPr>
          <w:trHeight w:val="3099"/>
        </w:trPr>
        <w:tc>
          <w:tcPr>
            <w:tcW w:w="1623" w:type="pct"/>
            <w:tcBorders>
              <w:top w:val="single" w:sz="4" w:space="0" w:color="auto"/>
              <w:left w:val="single" w:sz="4" w:space="0" w:color="auto"/>
              <w:bottom w:val="single" w:sz="4" w:space="0" w:color="auto"/>
              <w:right w:val="single" w:sz="4" w:space="0" w:color="auto"/>
            </w:tcBorders>
            <w:vAlign w:val="center"/>
          </w:tcPr>
          <w:p w:rsidR="00C66227" w:rsidRPr="00141D59" w:rsidRDefault="00C66227" w:rsidP="00FF4CEB">
            <w:pPr>
              <w:tabs>
                <w:tab w:val="left" w:pos="851"/>
                <w:tab w:val="left" w:pos="993"/>
              </w:tabs>
              <w:rPr>
                <w:sz w:val="26"/>
                <w:szCs w:val="26"/>
              </w:rPr>
            </w:pPr>
            <w:r w:rsidRPr="00141D59">
              <w:rPr>
                <w:sz w:val="26"/>
                <w:szCs w:val="26"/>
              </w:rPr>
              <w:t>Ожидаемые результаты реализации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Реализация мероприятий подпрограммы в полном объеме будет способствовать:</w:t>
            </w:r>
          </w:p>
          <w:p w:rsidR="00C66227" w:rsidRPr="0042340B" w:rsidRDefault="00C66227" w:rsidP="0042340B">
            <w:pPr>
              <w:rPr>
                <w:sz w:val="26"/>
                <w:szCs w:val="26"/>
              </w:rPr>
            </w:pPr>
            <w:r w:rsidRPr="0042340B">
              <w:rPr>
                <w:sz w:val="26"/>
                <w:szCs w:val="26"/>
              </w:rPr>
              <w:t>- увеличению количества расселенных жилых помещений, расположенных в аварийных многоквартирных домах со 112 жилых помещений в 2014 году до 172 жилых помещений в 2017 году;</w:t>
            </w:r>
          </w:p>
          <w:p w:rsidR="00C66227" w:rsidRPr="0042340B" w:rsidRDefault="00C66227" w:rsidP="0042340B">
            <w:pPr>
              <w:rPr>
                <w:sz w:val="26"/>
                <w:szCs w:val="26"/>
              </w:rPr>
            </w:pPr>
            <w:r w:rsidRPr="0042340B">
              <w:rPr>
                <w:sz w:val="26"/>
                <w:szCs w:val="26"/>
              </w:rPr>
              <w:t>- переселению из аварийных многоквартирных домов с 232 граждан в 2014 году до 359 граждан в 2017 году;</w:t>
            </w:r>
          </w:p>
          <w:p w:rsidR="00C66227" w:rsidRPr="0042340B" w:rsidRDefault="00C66227" w:rsidP="0042340B">
            <w:pPr>
              <w:rPr>
                <w:sz w:val="26"/>
                <w:szCs w:val="26"/>
              </w:rPr>
            </w:pPr>
            <w:r w:rsidRPr="0042340B">
              <w:rPr>
                <w:sz w:val="26"/>
                <w:szCs w:val="26"/>
              </w:rPr>
              <w:t>- расселению аварийных домов с 28 ед. в 2014 году до 46 ед. в 2017 году.</w:t>
            </w:r>
          </w:p>
        </w:tc>
      </w:tr>
    </w:tbl>
    <w:p w:rsidR="00C66227" w:rsidRPr="002556CA" w:rsidRDefault="00C66227" w:rsidP="00C66227">
      <w:pPr>
        <w:widowControl/>
        <w:tabs>
          <w:tab w:val="left" w:pos="851"/>
          <w:tab w:val="left" w:pos="993"/>
        </w:tabs>
        <w:autoSpaceDE/>
        <w:autoSpaceDN/>
        <w:adjustRightInd/>
        <w:spacing w:after="160" w:line="360" w:lineRule="auto"/>
        <w:ind w:firstLine="851"/>
        <w:rPr>
          <w:bCs/>
          <w:sz w:val="26"/>
          <w:szCs w:val="26"/>
        </w:rPr>
      </w:pPr>
      <w:r w:rsidRPr="002556CA">
        <w:rPr>
          <w:bCs/>
          <w:sz w:val="26"/>
          <w:szCs w:val="26"/>
        </w:rPr>
        <w:br w:type="page"/>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sz w:val="26"/>
          <w:szCs w:val="26"/>
        </w:rPr>
        <w:lastRenderedPageBreak/>
        <w:t>Общая характеристика сферы реализации подпрограммы в том числе основных проблем в указанной сфере и прогноз ее развития</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Подпрограмма </w:t>
      </w:r>
      <w:r>
        <w:rPr>
          <w:sz w:val="26"/>
          <w:szCs w:val="26"/>
        </w:rPr>
        <w:t>«</w:t>
      </w:r>
      <w:r w:rsidRPr="002556CA">
        <w:rPr>
          <w:sz w:val="26"/>
          <w:szCs w:val="26"/>
        </w:rPr>
        <w:t>Переселение граждан из аварийного жилищного фонда в Дальнегорском городском округе</w:t>
      </w:r>
      <w:r>
        <w:rPr>
          <w:sz w:val="26"/>
          <w:szCs w:val="26"/>
        </w:rPr>
        <w:t>»</w:t>
      </w:r>
      <w:r w:rsidRPr="002556CA">
        <w:rPr>
          <w:sz w:val="26"/>
          <w:szCs w:val="26"/>
        </w:rPr>
        <w:t xml:space="preserve"> разработана в соответствии с Концепцией долгосрочного социально-экономического развития РФ на период до 2020 года, утвержденной постановлением </w:t>
      </w:r>
      <w:r>
        <w:rPr>
          <w:sz w:val="26"/>
          <w:szCs w:val="26"/>
        </w:rPr>
        <w:t>Правительства</w:t>
      </w:r>
      <w:r w:rsidRPr="002556CA">
        <w:rPr>
          <w:sz w:val="26"/>
          <w:szCs w:val="26"/>
        </w:rPr>
        <w:t xml:space="preserve"> РФ от 17 декабря 2010 года № 1050, Стратегией социально-экономического развития Приморского края до 2025 года, утвержденной </w:t>
      </w:r>
      <w:r>
        <w:rPr>
          <w:sz w:val="26"/>
          <w:szCs w:val="26"/>
        </w:rPr>
        <w:t>Законом</w:t>
      </w:r>
      <w:r w:rsidRPr="002556CA">
        <w:rPr>
          <w:sz w:val="26"/>
          <w:szCs w:val="26"/>
        </w:rPr>
        <w:t xml:space="preserve"> Приморского края от 20 октября 2008 года № 324-КЗ, </w:t>
      </w:r>
      <w:r>
        <w:rPr>
          <w:sz w:val="26"/>
          <w:szCs w:val="26"/>
        </w:rPr>
        <w:t>Законом</w:t>
      </w:r>
      <w:r w:rsidRPr="002556CA">
        <w:rPr>
          <w:sz w:val="26"/>
          <w:szCs w:val="26"/>
        </w:rPr>
        <w:t xml:space="preserve"> Приморского края от 22 декабря 2010 года № 721-КЗ </w:t>
      </w:r>
      <w:r>
        <w:rPr>
          <w:sz w:val="26"/>
          <w:szCs w:val="26"/>
        </w:rPr>
        <w:t>«</w:t>
      </w:r>
      <w:r w:rsidRPr="002556CA">
        <w:rPr>
          <w:sz w:val="26"/>
          <w:szCs w:val="26"/>
        </w:rPr>
        <w:t>О стратегическом планировании социально-экономического развития Приморского края</w:t>
      </w:r>
      <w:r>
        <w:rPr>
          <w:sz w:val="26"/>
          <w:szCs w:val="26"/>
        </w:rPr>
        <w:t>»</w:t>
      </w:r>
      <w:r w:rsidRPr="002556CA">
        <w:rPr>
          <w:sz w:val="26"/>
          <w:szCs w:val="26"/>
        </w:rPr>
        <w:t xml:space="preserve">, </w:t>
      </w:r>
      <w:r>
        <w:rPr>
          <w:sz w:val="26"/>
          <w:szCs w:val="26"/>
        </w:rPr>
        <w:t>«</w:t>
      </w:r>
      <w:r w:rsidRPr="002556CA">
        <w:rPr>
          <w:sz w:val="26"/>
          <w:szCs w:val="26"/>
        </w:rPr>
        <w:t>Порядком разработки, реализации и оценки эффективности государственных программ Приморского края</w:t>
      </w:r>
      <w:r>
        <w:rPr>
          <w:sz w:val="26"/>
          <w:szCs w:val="26"/>
        </w:rPr>
        <w:t>»</w:t>
      </w:r>
      <w:r w:rsidRPr="002556CA">
        <w:rPr>
          <w:sz w:val="26"/>
          <w:szCs w:val="26"/>
        </w:rPr>
        <w:t xml:space="preserve">, утвержденным постановлением Администрации Приморского края от 13 апреля 2012 года № 88-па, инвестиционным планом модернизации </w:t>
      </w:r>
      <w:proofErr w:type="spellStart"/>
      <w:r w:rsidRPr="002556CA">
        <w:rPr>
          <w:sz w:val="26"/>
          <w:szCs w:val="26"/>
        </w:rPr>
        <w:t>монопрофильного</w:t>
      </w:r>
      <w:proofErr w:type="spellEnd"/>
      <w:r w:rsidRPr="002556CA">
        <w:rPr>
          <w:sz w:val="26"/>
          <w:szCs w:val="26"/>
        </w:rPr>
        <w:t xml:space="preserve"> муниципального образования </w:t>
      </w:r>
      <w:proofErr w:type="spellStart"/>
      <w:r w:rsidRPr="002556CA">
        <w:rPr>
          <w:sz w:val="26"/>
          <w:szCs w:val="26"/>
        </w:rPr>
        <w:t>Да</w:t>
      </w:r>
      <w:r>
        <w:rPr>
          <w:sz w:val="26"/>
          <w:szCs w:val="26"/>
        </w:rPr>
        <w:t>льнегорский</w:t>
      </w:r>
      <w:proofErr w:type="spellEnd"/>
      <w:r>
        <w:rPr>
          <w:sz w:val="26"/>
          <w:szCs w:val="26"/>
        </w:rPr>
        <w:t xml:space="preserve"> городской округ (г. </w:t>
      </w:r>
      <w:r w:rsidRPr="002556CA">
        <w:rPr>
          <w:sz w:val="26"/>
          <w:szCs w:val="26"/>
        </w:rPr>
        <w:t>Дальнегорск) на 2010-2018 годы, утвержденный постановлением администрации Дальнегорского городского округа от 10 июля 2013 года № 590-па, иными нормативными правовыми актами РФ, Приморского края.</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Подпрограмма определяет цель, задачи и направления обеспечения жителей Дальнегорского городского округа доступным жильем, финансовое обеспечение и механизмы реализации предусмотренных мероприятий, показатели их результативности.</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Жилищная проблема в Дальнегорском городском округе, является одной из наиболее актуальных социальных проблем по следующим причинам:</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-наличие большого количества аварийного жилищного фонда;</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-наличие на территории Дальнегорского городского округа муниципального жилищного фонда, старых годов постройки, требующего проведения капитального ремонта.</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Для решения вопроса о ликвидации аварийных жилых домов, признанных в установленном порядке аварийными и подлежащими сносу до 01.01.2012 года в связи с физическим износом в процессе эксплуатации, удовлетворения существующей потребности в переселении граждан из вышеуказанных аварийных домов в благоустроенные жилые помещения, жилищный фонд необходимо увеличить на 6,4 тыс. кв. м.</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Переселение граждан из аварийного жилищного фонда является полномочием администрации Дальнегорского городского округа.</w:t>
      </w:r>
    </w:p>
    <w:p w:rsidR="00C66227" w:rsidRDefault="00C66227" w:rsidP="00141D59">
      <w:pPr>
        <w:tabs>
          <w:tab w:val="left" w:pos="851"/>
          <w:tab w:val="left" w:pos="993"/>
        </w:tabs>
        <w:spacing w:line="276" w:lineRule="auto"/>
        <w:ind w:firstLine="709"/>
        <w:jc w:val="both"/>
        <w:rPr>
          <w:sz w:val="26"/>
          <w:szCs w:val="26"/>
        </w:rPr>
      </w:pPr>
      <w:r w:rsidRPr="002556CA">
        <w:rPr>
          <w:sz w:val="26"/>
          <w:szCs w:val="26"/>
        </w:rPr>
        <w:t>Высокая стоимость строительства жилья и постоянный рост цен на жилую недвижимость на вторичном рынке делает для органов местного самоуправления и многих жителей Дальнегорского городского округа неразрешимой проблему по переселению граждан из аварийного жилищного фонда за счет собственных средств.</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141D59">
        <w:rPr>
          <w:b/>
          <w:sz w:val="26"/>
          <w:szCs w:val="26"/>
        </w:rPr>
        <w:t>Приоритеты</w:t>
      </w:r>
      <w:r w:rsidRPr="002556CA">
        <w:rPr>
          <w:b/>
          <w:bCs/>
          <w:sz w:val="26"/>
          <w:szCs w:val="26"/>
        </w:rPr>
        <w:t xml:space="preserve"> муниципальной политики Дальнегорского городского округа в сфере реализации подпрограммы, цели и задачи подпрограммы</w:t>
      </w:r>
    </w:p>
    <w:p w:rsidR="00C66227" w:rsidRPr="002556CA" w:rsidRDefault="00C66227" w:rsidP="00141D59">
      <w:pPr>
        <w:tabs>
          <w:tab w:val="num" w:pos="-108"/>
          <w:tab w:val="left" w:pos="851"/>
          <w:tab w:val="left" w:pos="993"/>
        </w:tabs>
        <w:spacing w:line="276" w:lineRule="auto"/>
        <w:ind w:firstLine="709"/>
        <w:jc w:val="both"/>
        <w:rPr>
          <w:sz w:val="26"/>
          <w:szCs w:val="26"/>
        </w:rPr>
      </w:pPr>
      <w:r w:rsidRPr="002556CA">
        <w:rPr>
          <w:sz w:val="26"/>
          <w:szCs w:val="26"/>
        </w:rPr>
        <w:t xml:space="preserve">Приоритеты муниципальной политики, в рамках которой реализуется подпрограмма – переселение граждан из аварийного жилищного фонда, ликвидация </w:t>
      </w:r>
      <w:r w:rsidRPr="002556CA">
        <w:rPr>
          <w:sz w:val="26"/>
          <w:szCs w:val="26"/>
        </w:rPr>
        <w:lastRenderedPageBreak/>
        <w:t xml:space="preserve">аварийного жилищного фонда указываются в соответствии с </w:t>
      </w:r>
      <w:hyperlink r:id="rId7" w:history="1">
        <w:r w:rsidRPr="002556CA">
          <w:rPr>
            <w:sz w:val="26"/>
            <w:szCs w:val="26"/>
          </w:rPr>
          <w:t>Концепцией</w:t>
        </w:r>
      </w:hyperlink>
      <w:r w:rsidRPr="002556CA">
        <w:rPr>
          <w:sz w:val="26"/>
          <w:szCs w:val="26"/>
        </w:rPr>
        <w:t xml:space="preserve"> долгосрочного социально-экономического развития РФ на период до 2020 года, утвержденной </w:t>
      </w:r>
      <w:r>
        <w:rPr>
          <w:sz w:val="26"/>
          <w:szCs w:val="26"/>
        </w:rPr>
        <w:t>Распоряжением</w:t>
      </w:r>
      <w:r w:rsidRPr="002556CA">
        <w:rPr>
          <w:sz w:val="26"/>
          <w:szCs w:val="26"/>
        </w:rPr>
        <w:t xml:space="preserve"> </w:t>
      </w:r>
      <w:r>
        <w:rPr>
          <w:sz w:val="26"/>
          <w:szCs w:val="26"/>
        </w:rPr>
        <w:t>Правительства</w:t>
      </w:r>
      <w:r w:rsidRPr="002556CA">
        <w:rPr>
          <w:sz w:val="26"/>
          <w:szCs w:val="26"/>
        </w:rPr>
        <w:t xml:space="preserve"> РФ от 17.11.2008 № 1662-р, ежегодными посланиями Президента РФ Федеральному Собранию РФ, </w:t>
      </w:r>
      <w:hyperlink r:id="rId8" w:history="1">
        <w:r w:rsidRPr="002556CA">
          <w:rPr>
            <w:sz w:val="26"/>
            <w:szCs w:val="26"/>
          </w:rPr>
          <w:t>Стратегией</w:t>
        </w:r>
      </w:hyperlink>
      <w:r w:rsidRPr="002556CA">
        <w:rPr>
          <w:sz w:val="26"/>
          <w:szCs w:val="26"/>
        </w:rPr>
        <w:t xml:space="preserve"> социально-экономического развития Дальнего Востока и Байкальского региона на период до 2025 года, утвержденной </w:t>
      </w:r>
      <w:r>
        <w:rPr>
          <w:sz w:val="26"/>
          <w:szCs w:val="26"/>
        </w:rPr>
        <w:t>Распоряжением</w:t>
      </w:r>
      <w:r w:rsidRPr="002556CA">
        <w:rPr>
          <w:sz w:val="26"/>
          <w:szCs w:val="26"/>
        </w:rPr>
        <w:t xml:space="preserve"> </w:t>
      </w:r>
      <w:r>
        <w:rPr>
          <w:sz w:val="26"/>
          <w:szCs w:val="26"/>
        </w:rPr>
        <w:t>Правительства</w:t>
      </w:r>
      <w:r w:rsidRPr="002556CA">
        <w:rPr>
          <w:sz w:val="26"/>
          <w:szCs w:val="26"/>
        </w:rPr>
        <w:t xml:space="preserve"> РФ от 28.12.2009 № 2094-р, </w:t>
      </w:r>
      <w:hyperlink r:id="rId9" w:history="1">
        <w:r w:rsidRPr="002556CA">
          <w:rPr>
            <w:sz w:val="26"/>
            <w:szCs w:val="26"/>
          </w:rPr>
          <w:t>Стратегией</w:t>
        </w:r>
      </w:hyperlink>
      <w:r w:rsidRPr="002556CA">
        <w:rPr>
          <w:sz w:val="26"/>
          <w:szCs w:val="26"/>
        </w:rPr>
        <w:t xml:space="preserve"> социально-экономического развития Приморского края до 2025 года, утвержденной </w:t>
      </w:r>
      <w:r>
        <w:rPr>
          <w:sz w:val="26"/>
          <w:szCs w:val="26"/>
        </w:rPr>
        <w:t>Законом</w:t>
      </w:r>
      <w:r w:rsidRPr="002556CA">
        <w:rPr>
          <w:sz w:val="26"/>
          <w:szCs w:val="26"/>
        </w:rPr>
        <w:t xml:space="preserve"> Приморского края от 20.10.2008 № 324-КЗ, постановлением Администрации Приморского края от 07.12.2012 № 398-па </w:t>
      </w:r>
      <w:r>
        <w:rPr>
          <w:sz w:val="26"/>
          <w:szCs w:val="26"/>
        </w:rPr>
        <w:t>«</w:t>
      </w:r>
      <w:r w:rsidRPr="002556CA">
        <w:rPr>
          <w:sz w:val="26"/>
          <w:szCs w:val="26"/>
        </w:rPr>
        <w:t xml:space="preserve">Об утверждении государственной программы Приморского края </w:t>
      </w:r>
      <w:r>
        <w:rPr>
          <w:sz w:val="26"/>
          <w:szCs w:val="26"/>
        </w:rPr>
        <w:t>«</w:t>
      </w:r>
      <w:r w:rsidRPr="002556CA">
        <w:rPr>
          <w:sz w:val="26"/>
          <w:szCs w:val="26"/>
        </w:rPr>
        <w:t>Обеспечение доступным жильем и качественными услугами жилищно-коммунального хозяйства населения Приморского края</w:t>
      </w:r>
      <w:r>
        <w:rPr>
          <w:sz w:val="26"/>
          <w:szCs w:val="26"/>
        </w:rPr>
        <w:t>»</w:t>
      </w:r>
      <w:r w:rsidRPr="002556CA">
        <w:rPr>
          <w:sz w:val="26"/>
          <w:szCs w:val="26"/>
        </w:rPr>
        <w:t xml:space="preserve"> на 2013-2020 годы</w:t>
      </w:r>
      <w:r>
        <w:rPr>
          <w:sz w:val="26"/>
          <w:szCs w:val="26"/>
        </w:rPr>
        <w:t>»</w:t>
      </w:r>
      <w:r w:rsidRPr="002556CA">
        <w:rPr>
          <w:sz w:val="26"/>
          <w:szCs w:val="26"/>
        </w:rPr>
        <w:t xml:space="preserve">. </w:t>
      </w:r>
    </w:p>
    <w:p w:rsidR="00C66227" w:rsidRPr="002556CA" w:rsidRDefault="00C66227" w:rsidP="00141D59">
      <w:pPr>
        <w:spacing w:line="276" w:lineRule="auto"/>
        <w:ind w:firstLine="709"/>
        <w:jc w:val="both"/>
        <w:rPr>
          <w:sz w:val="26"/>
          <w:szCs w:val="26"/>
        </w:rPr>
      </w:pPr>
      <w:proofErr w:type="gramStart"/>
      <w:r w:rsidRPr="002556CA">
        <w:rPr>
          <w:sz w:val="26"/>
          <w:szCs w:val="26"/>
        </w:rPr>
        <w:t>Мероприятия подпрограммы направлены на осуществление предусмотренных Жилищным кодексом РФ</w:t>
      </w:r>
      <w:hyperlink r:id="rId10" w:history="1"/>
      <w:r w:rsidRPr="002556CA">
        <w:rPr>
          <w:sz w:val="26"/>
          <w:szCs w:val="26"/>
        </w:rPr>
        <w:t xml:space="preserve"> полномочий органов местного самоуправления по обеспечению условий для осуществления гражданами права на жилище, его безопасность и на реализацию </w:t>
      </w:r>
      <w:hyperlink r:id="rId11" w:history="1">
        <w:r w:rsidRPr="002556CA">
          <w:rPr>
            <w:rStyle w:val="a4"/>
            <w:color w:val="000000" w:themeColor="text1"/>
            <w:sz w:val="26"/>
            <w:szCs w:val="26"/>
          </w:rPr>
          <w:t>Стратегии социально-экономического развития Приморского края до 2025 года</w:t>
        </w:r>
      </w:hyperlink>
      <w:r w:rsidRPr="002556CA">
        <w:rPr>
          <w:sz w:val="26"/>
          <w:szCs w:val="26"/>
        </w:rPr>
        <w:t xml:space="preserve">, утвержденной </w:t>
      </w:r>
      <w:hyperlink r:id="rId12" w:history="1">
        <w:r>
          <w:rPr>
            <w:rStyle w:val="a4"/>
            <w:color w:val="000000" w:themeColor="text1"/>
            <w:sz w:val="26"/>
            <w:szCs w:val="26"/>
          </w:rPr>
          <w:t>Законом</w:t>
        </w:r>
        <w:r w:rsidRPr="002556CA">
          <w:rPr>
            <w:rStyle w:val="a4"/>
            <w:color w:val="000000" w:themeColor="text1"/>
            <w:sz w:val="26"/>
            <w:szCs w:val="26"/>
          </w:rPr>
          <w:t xml:space="preserve"> Приморского края от 20.10.2008 </w:t>
        </w:r>
        <w:r w:rsidR="0042340B">
          <w:rPr>
            <w:rStyle w:val="a4"/>
            <w:color w:val="000000" w:themeColor="text1"/>
            <w:sz w:val="26"/>
            <w:szCs w:val="26"/>
          </w:rPr>
          <w:t>№</w:t>
        </w:r>
        <w:r w:rsidRPr="002556CA">
          <w:rPr>
            <w:rStyle w:val="a4"/>
            <w:color w:val="000000" w:themeColor="text1"/>
            <w:sz w:val="26"/>
            <w:szCs w:val="26"/>
          </w:rPr>
          <w:t xml:space="preserve"> 324-КЗ</w:t>
        </w:r>
      </w:hyperlink>
      <w:r w:rsidRPr="002556CA">
        <w:rPr>
          <w:sz w:val="26"/>
          <w:szCs w:val="26"/>
        </w:rPr>
        <w:t>.</w:t>
      </w:r>
      <w:proofErr w:type="gramEnd"/>
    </w:p>
    <w:p w:rsidR="00C66227" w:rsidRPr="002556CA" w:rsidRDefault="00C66227" w:rsidP="00141D59">
      <w:pPr>
        <w:spacing w:line="276" w:lineRule="auto"/>
        <w:ind w:firstLine="709"/>
        <w:jc w:val="both"/>
        <w:rPr>
          <w:sz w:val="26"/>
          <w:szCs w:val="26"/>
        </w:rPr>
      </w:pPr>
      <w:r w:rsidRPr="002556CA">
        <w:rPr>
          <w:sz w:val="26"/>
          <w:szCs w:val="26"/>
        </w:rPr>
        <w:t>В связи с вышеизложенным целью подпрограммы является создание безопасных и благоприятных условий проживания граждан на территории Дальнегорского городского округа путем обеспечения реализации комплекса мер, направленных на переселение жителей Дальнегорского городского округа, проживающих в многоквартирных домах, признанных аварийными и подлежащими сносу.</w:t>
      </w:r>
    </w:p>
    <w:p w:rsidR="00C66227" w:rsidRPr="002556CA" w:rsidRDefault="00C66227" w:rsidP="00141D59">
      <w:pPr>
        <w:spacing w:line="276" w:lineRule="auto"/>
        <w:ind w:firstLine="709"/>
        <w:jc w:val="both"/>
        <w:rPr>
          <w:sz w:val="26"/>
          <w:szCs w:val="26"/>
        </w:rPr>
      </w:pPr>
      <w:r w:rsidRPr="002556CA">
        <w:rPr>
          <w:sz w:val="26"/>
          <w:szCs w:val="26"/>
        </w:rPr>
        <w:t>Для достижения поставленной цели предполагается решение следующих задач:</w:t>
      </w:r>
    </w:p>
    <w:p w:rsidR="00C66227" w:rsidRPr="002556CA" w:rsidRDefault="00C66227" w:rsidP="00141D59">
      <w:pPr>
        <w:spacing w:line="276" w:lineRule="auto"/>
        <w:ind w:firstLine="709"/>
        <w:jc w:val="both"/>
        <w:rPr>
          <w:sz w:val="26"/>
          <w:szCs w:val="26"/>
        </w:rPr>
      </w:pPr>
      <w:r w:rsidRPr="002556CA">
        <w:rPr>
          <w:sz w:val="26"/>
          <w:szCs w:val="26"/>
        </w:rPr>
        <w:t>- обеспечение реализации мероприятия по переселению граждан из многоквартирных домов, признанных аварийными и подлежащими сносу, в благоустроенные жилые помещения в многоквартирных, в том числе малоэтажных жилых домах;</w:t>
      </w:r>
    </w:p>
    <w:p w:rsidR="00C66227" w:rsidRDefault="00C66227" w:rsidP="00141D59">
      <w:pPr>
        <w:spacing w:line="276" w:lineRule="auto"/>
        <w:ind w:firstLine="709"/>
        <w:jc w:val="both"/>
        <w:rPr>
          <w:sz w:val="26"/>
          <w:szCs w:val="26"/>
        </w:rPr>
      </w:pPr>
      <w:r w:rsidRPr="002556CA">
        <w:rPr>
          <w:sz w:val="26"/>
          <w:szCs w:val="26"/>
        </w:rPr>
        <w:t>- реализация мероприятий по сносу многоквартирных домов, признанных аварийными и подлежащими сносу.</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bCs/>
          <w:sz w:val="26"/>
          <w:szCs w:val="26"/>
        </w:rPr>
        <w:t xml:space="preserve"> Индикаторы, показатели подпрограммы, реализующие достижение цели и показатели, характеризующие решение задач</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Степень достижения запланированных результатов и намеченных целей подпрограммы определяется целевыми индикаторами, показателями: </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Индикаторы, характеризующие достижение цели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 Количество граждан, переселенных из аварийных многоквартирных домов </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Показатели, характеризующие решение задач подпрограммы:</w:t>
      </w:r>
    </w:p>
    <w:p w:rsidR="00C66227" w:rsidRDefault="00C66227" w:rsidP="00141D59">
      <w:pPr>
        <w:tabs>
          <w:tab w:val="left" w:pos="851"/>
          <w:tab w:val="left" w:pos="993"/>
        </w:tabs>
        <w:spacing w:line="276" w:lineRule="auto"/>
        <w:ind w:firstLine="709"/>
        <w:rPr>
          <w:sz w:val="26"/>
          <w:szCs w:val="26"/>
        </w:rPr>
      </w:pPr>
      <w:r w:rsidRPr="002556CA">
        <w:rPr>
          <w:sz w:val="26"/>
          <w:szCs w:val="26"/>
        </w:rPr>
        <w:t>- Площадь расселенного аварийного жилищного фонда.</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bCs/>
          <w:sz w:val="26"/>
          <w:szCs w:val="26"/>
        </w:rPr>
        <w:t>Описание основных мероприятий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Основным мероприятием подпрограммы является переселение граждан из аварийного жилого фонда. В рамках основного мероприятия осуществляются следующие мероприятия:</w:t>
      </w:r>
      <w:r w:rsidRPr="002556CA">
        <w:rPr>
          <w:sz w:val="26"/>
          <w:szCs w:val="26"/>
        </w:rPr>
        <w:tab/>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-приобретение благоустроенных жилых помещений за счёт средств </w:t>
      </w:r>
      <w:r w:rsidRPr="002556CA">
        <w:rPr>
          <w:sz w:val="26"/>
          <w:szCs w:val="26"/>
        </w:rPr>
        <w:lastRenderedPageBreak/>
        <w:t xml:space="preserve">государственной корпорации Фонда содействия реформированию жилищно-коммунального хозяйства, краевого бюджета, бюджета муниципального образования Дальнегорский городской округ; </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переселение граждан из аварийных жилых домов в благоустроенные жилые помещения;</w:t>
      </w:r>
    </w:p>
    <w:p w:rsidR="00C66227" w:rsidRDefault="00C66227" w:rsidP="00141D59">
      <w:pPr>
        <w:tabs>
          <w:tab w:val="left" w:pos="851"/>
          <w:tab w:val="left" w:pos="993"/>
        </w:tabs>
        <w:spacing w:line="276" w:lineRule="auto"/>
        <w:ind w:firstLine="709"/>
        <w:jc w:val="both"/>
        <w:rPr>
          <w:sz w:val="26"/>
          <w:szCs w:val="26"/>
        </w:rPr>
      </w:pPr>
      <w:r w:rsidRPr="002556CA">
        <w:rPr>
          <w:sz w:val="26"/>
          <w:szCs w:val="26"/>
        </w:rPr>
        <w:t>- снос аварийных домов.</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bCs/>
          <w:sz w:val="26"/>
          <w:szCs w:val="26"/>
        </w:rPr>
        <w:t>Механизм реализации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Управление подпрограммой осуществляется ответственным исполнителем – отделом жизнеобеспечения администрации Дальнегорского городского округа и соисполнителем – Управление муниципального имущества администрации Дальнегорского городского округа.</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Ответственный исполнитель осуществляет следующие полномочия:</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организует работу по приобретению жилых помещений путем размещения муниципальных заказов и заключения муниципальных контрактов.</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организует работу по переселению граждан из аварийных домов в многоквартирные дома в соответствии с жилищным законодательством путем предоставления благоустроенных жилых помещений.</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 xml:space="preserve">несет ответственность по реализации подпрограммы. </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готовит предложения о внесении изменений в подпрограмму по согласованию с соисполнителями;</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проводит оценку эффективности подпрограммы на этапе реализации;</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запрашивает у соисполнителей сведения, необходимые для подготовки годового отчета о ходе реализации и об оценке эффективности подпрограммы (далее – годовой отчет);</w:t>
      </w:r>
    </w:p>
    <w:p w:rsidR="00C66227" w:rsidRPr="002556CA" w:rsidRDefault="00C66227" w:rsidP="00141D59">
      <w:pPr>
        <w:pStyle w:val="a3"/>
        <w:numPr>
          <w:ilvl w:val="0"/>
          <w:numId w:val="5"/>
        </w:numPr>
        <w:tabs>
          <w:tab w:val="left" w:pos="851"/>
          <w:tab w:val="left" w:pos="993"/>
        </w:tabs>
        <w:spacing w:line="276" w:lineRule="auto"/>
        <w:ind w:left="0" w:firstLine="709"/>
        <w:jc w:val="both"/>
        <w:rPr>
          <w:sz w:val="26"/>
          <w:szCs w:val="26"/>
        </w:rPr>
      </w:pPr>
      <w:r w:rsidRPr="002556CA">
        <w:rPr>
          <w:sz w:val="26"/>
          <w:szCs w:val="26"/>
        </w:rPr>
        <w:t xml:space="preserve">готовит годовой отчет. </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Соисполнитель подпрограммы осуществляет:</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работу по сносу аварийных домов за счет средств бюджета Дальнегорского городского округа.</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готовит предложения о внесении изменений в подпрограмму и, по согласованию с ответственным исполнителем программы, вносит изменения в подпрограмму (мероприятие);</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представляет ответственному исполнителю сведения, необходимые для подготовки квартальных и годового отчетов;</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проводит оценку эффективности подпрограммы (мероприятия) на этапе реализации;</w:t>
      </w:r>
    </w:p>
    <w:p w:rsidR="00C66227"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 xml:space="preserve">представляет ответственному исполнителю нормативно правовые акты по </w:t>
      </w:r>
      <w:r w:rsidRPr="002556CA">
        <w:rPr>
          <w:sz w:val="26"/>
          <w:szCs w:val="26"/>
        </w:rPr>
        <w:lastRenderedPageBreak/>
        <w:t>проведенным мероприятиям в рамках своих полномочий.</w:t>
      </w:r>
    </w:p>
    <w:p w:rsidR="00141D59" w:rsidRPr="002556CA" w:rsidRDefault="00141D59" w:rsidP="00141D59">
      <w:pPr>
        <w:pStyle w:val="a3"/>
        <w:tabs>
          <w:tab w:val="left" w:pos="851"/>
          <w:tab w:val="left" w:pos="993"/>
        </w:tabs>
        <w:spacing w:line="276" w:lineRule="auto"/>
        <w:ind w:left="709"/>
        <w:jc w:val="both"/>
        <w:rPr>
          <w:sz w:val="26"/>
          <w:szCs w:val="26"/>
        </w:rPr>
      </w:pP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C66227" w:rsidRDefault="00C66227" w:rsidP="00141D59">
      <w:pPr>
        <w:tabs>
          <w:tab w:val="left" w:pos="851"/>
          <w:tab w:val="left" w:pos="993"/>
        </w:tabs>
        <w:spacing w:line="276" w:lineRule="auto"/>
        <w:ind w:firstLine="709"/>
        <w:jc w:val="both"/>
        <w:rPr>
          <w:sz w:val="26"/>
          <w:szCs w:val="26"/>
        </w:rPr>
      </w:pPr>
      <w:r w:rsidRPr="002556CA">
        <w:rPr>
          <w:sz w:val="26"/>
          <w:szCs w:val="26"/>
        </w:rPr>
        <w:t>Меры налогового, тарифного, правового и иные меры государственного регулирования в сфере реализации подпрограммы не предусмотрены (приложение № 3, № 4 к Программе).</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sz w:val="26"/>
          <w:szCs w:val="26"/>
        </w:rPr>
        <w:t>Прогноз сводных показателей муниципальных заданий на оказание муниципальных услуг (выполнение работ) муниципальными бюджетными учреждениями Дальнегорского городского округа по подпрограмме</w:t>
      </w:r>
    </w:p>
    <w:p w:rsidR="00C66227" w:rsidRPr="002556CA" w:rsidRDefault="00C66227" w:rsidP="00141D59">
      <w:pPr>
        <w:spacing w:line="276" w:lineRule="auto"/>
        <w:ind w:firstLine="709"/>
        <w:jc w:val="both"/>
        <w:rPr>
          <w:sz w:val="26"/>
          <w:szCs w:val="26"/>
        </w:rPr>
      </w:pPr>
      <w:r w:rsidRPr="002556CA">
        <w:rPr>
          <w:sz w:val="26"/>
          <w:szCs w:val="26"/>
        </w:rPr>
        <w:t>Подведомственные муниципальные автономные и бюджетные учреждения отсутствуют. Муниципальные услуги в рамках подпрограммы не оказываются.</w:t>
      </w:r>
    </w:p>
    <w:p w:rsidR="00C66227" w:rsidRDefault="00C66227" w:rsidP="00141D59">
      <w:pPr>
        <w:spacing w:line="276" w:lineRule="auto"/>
        <w:ind w:firstLine="709"/>
        <w:jc w:val="both"/>
        <w:rPr>
          <w:sz w:val="26"/>
          <w:szCs w:val="26"/>
        </w:rPr>
      </w:pPr>
      <w:r w:rsidRPr="002556CA">
        <w:rPr>
          <w:sz w:val="26"/>
          <w:szCs w:val="26"/>
        </w:rPr>
        <w:t>Выполнение муниципальных заданий на оказание муниципальных услуг (выполнение работ) муниципальными бюджетными и автономными учреждениями Дальнегорского городского округа в рамках подпрограммы не предусмотрено (приложение № 5 к Программе)</w:t>
      </w:r>
      <w:r w:rsidR="00141D59">
        <w:rPr>
          <w:sz w:val="26"/>
          <w:szCs w:val="26"/>
        </w:rPr>
        <w:t>.</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sz w:val="26"/>
          <w:szCs w:val="26"/>
        </w:rPr>
        <w:t>Ресурсное обеспечение реализации 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C66227" w:rsidRPr="002556CA" w:rsidRDefault="00C66227" w:rsidP="00141D59">
      <w:pPr>
        <w:pStyle w:val="ConsPlusNormal"/>
        <w:widowControl w:val="0"/>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Общий объем финансирования подпрограммы составляет 22000,9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 7906,3тыс.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14094,6 тыс. руб.</w:t>
      </w:r>
    </w:p>
    <w:p w:rsidR="00C66227" w:rsidRPr="002556CA" w:rsidRDefault="00C66227" w:rsidP="00141D59">
      <w:pPr>
        <w:pStyle w:val="ConsPlusNormal"/>
        <w:widowControl w:val="0"/>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в том числе:</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Средства бюджета Дальнегорского городского округа составляют 3278,4 тыс. руб., в том числе по годам:</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–395,3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2883,0 тыс. руб.</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Средства краевого бюджета составляют 8290,8 тыс. руб., в том числе по годам:</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 3557,8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4733,0 тыс. руб.</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Средства федерального бюджета составляют 10431,7 тыс. руб., в том числе по годам:</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 3953,2 тыс. руб.</w:t>
      </w:r>
    </w:p>
    <w:p w:rsidR="00C66227"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6478,5 тыс. руб.</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bCs/>
          <w:sz w:val="26"/>
          <w:szCs w:val="26"/>
        </w:rPr>
        <w:t xml:space="preserve">Сроки и </w:t>
      </w:r>
      <w:r w:rsidRPr="00141D59">
        <w:rPr>
          <w:b/>
          <w:sz w:val="26"/>
          <w:szCs w:val="26"/>
        </w:rPr>
        <w:t>этапы</w:t>
      </w:r>
      <w:r w:rsidRPr="002556CA">
        <w:rPr>
          <w:b/>
          <w:bCs/>
          <w:sz w:val="26"/>
          <w:szCs w:val="26"/>
        </w:rPr>
        <w:t xml:space="preserve"> реализации подпрограммы     </w:t>
      </w:r>
    </w:p>
    <w:p w:rsidR="00C66227" w:rsidRPr="002556CA" w:rsidRDefault="00C66227" w:rsidP="00141D59">
      <w:pPr>
        <w:pStyle w:val="ConsPlusNormal"/>
        <w:widowControl w:val="0"/>
        <w:tabs>
          <w:tab w:val="left" w:pos="851"/>
          <w:tab w:val="left" w:pos="993"/>
        </w:tabs>
        <w:spacing w:line="360" w:lineRule="auto"/>
        <w:ind w:firstLine="709"/>
        <w:jc w:val="both"/>
        <w:rPr>
          <w:rFonts w:ascii="Times New Roman" w:hAnsi="Times New Roman" w:cs="Times New Roman"/>
          <w:bCs/>
          <w:sz w:val="26"/>
          <w:szCs w:val="26"/>
        </w:rPr>
      </w:pPr>
      <w:r w:rsidRPr="002556CA">
        <w:rPr>
          <w:rFonts w:ascii="Times New Roman" w:hAnsi="Times New Roman" w:cs="Times New Roman"/>
          <w:bCs/>
          <w:sz w:val="26"/>
          <w:szCs w:val="26"/>
        </w:rPr>
        <w:t>Подпрограмма реализуется в 2015-2017 годах в один этап.</w:t>
      </w:r>
    </w:p>
    <w:p w:rsidR="000D4DEA" w:rsidRDefault="000D4DEA"/>
    <w:p w:rsidR="0042340B" w:rsidRDefault="0042340B">
      <w:pPr>
        <w:pBdr>
          <w:bottom w:val="single" w:sz="6" w:space="1" w:color="auto"/>
        </w:pBdr>
      </w:pPr>
    </w:p>
    <w:p w:rsidR="0042340B" w:rsidRDefault="0042340B">
      <w:bookmarkStart w:id="0" w:name="_GoBack"/>
      <w:bookmarkEnd w:id="0"/>
    </w:p>
    <w:sectPr w:rsidR="0042340B" w:rsidSect="0042340B">
      <w:headerReference w:type="default" r:id="rId13"/>
      <w:pgSz w:w="11906" w:h="16838"/>
      <w:pgMar w:top="567" w:right="567" w:bottom="567" w:left="1474" w:header="709" w:footer="709"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62" w:rsidRDefault="00230A62" w:rsidP="00C66227">
      <w:r>
        <w:separator/>
      </w:r>
    </w:p>
  </w:endnote>
  <w:endnote w:type="continuationSeparator" w:id="0">
    <w:p w:rsidR="00230A62" w:rsidRDefault="00230A62" w:rsidP="00C66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62" w:rsidRDefault="00230A62" w:rsidP="00C66227">
      <w:r>
        <w:separator/>
      </w:r>
    </w:p>
  </w:footnote>
  <w:footnote w:type="continuationSeparator" w:id="0">
    <w:p w:rsidR="00230A62" w:rsidRDefault="00230A62" w:rsidP="00C66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27" w:rsidRDefault="00C66227">
    <w:pPr>
      <w:pStyle w:val="a6"/>
      <w:jc w:val="center"/>
    </w:pPr>
  </w:p>
  <w:p w:rsidR="00C66227" w:rsidRDefault="00C662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454C8"/>
    <w:multiLevelType w:val="hybridMultilevel"/>
    <w:tmpl w:val="87822106"/>
    <w:lvl w:ilvl="0" w:tplc="19AAF19E">
      <w:start w:val="1"/>
      <w:numFmt w:val="bullet"/>
      <w:lvlText w:val=""/>
      <w:lvlJc w:val="left"/>
      <w:pPr>
        <w:ind w:left="641" w:hanging="360"/>
      </w:pPr>
      <w:rPr>
        <w:rFonts w:ascii="Symbol" w:hAnsi="Symbol" w:hint="default"/>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1">
    <w:nsid w:val="2E570DB1"/>
    <w:multiLevelType w:val="hybridMultilevel"/>
    <w:tmpl w:val="CC86C2B2"/>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7CA62C4"/>
    <w:multiLevelType w:val="hybridMultilevel"/>
    <w:tmpl w:val="919ECBEC"/>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97072CE"/>
    <w:multiLevelType w:val="hybridMultilevel"/>
    <w:tmpl w:val="31EA2B7E"/>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FF30F33"/>
    <w:multiLevelType w:val="hybridMultilevel"/>
    <w:tmpl w:val="92FE918C"/>
    <w:lvl w:ilvl="0" w:tplc="F640B682">
      <w:start w:val="1"/>
      <w:numFmt w:val="decimal"/>
      <w:lvlText w:val="%1."/>
      <w:lvlJc w:val="left"/>
      <w:pPr>
        <w:ind w:left="5322" w:hanging="360"/>
      </w:pPr>
      <w:rPr>
        <w:rFonts w:hint="default"/>
        <w:b/>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6227"/>
    <w:rsid w:val="000D4DEA"/>
    <w:rsid w:val="00141D59"/>
    <w:rsid w:val="00230A62"/>
    <w:rsid w:val="00252A53"/>
    <w:rsid w:val="002B07DB"/>
    <w:rsid w:val="003B6F10"/>
    <w:rsid w:val="0042340B"/>
    <w:rsid w:val="00497871"/>
    <w:rsid w:val="004E3896"/>
    <w:rsid w:val="00746A43"/>
    <w:rsid w:val="007F015E"/>
    <w:rsid w:val="00926F6D"/>
    <w:rsid w:val="00A2548D"/>
    <w:rsid w:val="00B0642B"/>
    <w:rsid w:val="00B07E4E"/>
    <w:rsid w:val="00C4080C"/>
    <w:rsid w:val="00C66227"/>
    <w:rsid w:val="00EB0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227"/>
    <w:pPr>
      <w:ind w:left="708"/>
    </w:pPr>
  </w:style>
  <w:style w:type="character" w:styleId="a4">
    <w:name w:val="Hyperlink"/>
    <w:rsid w:val="00C66227"/>
    <w:rPr>
      <w:color w:val="0066CC"/>
      <w:u w:val="single"/>
    </w:rPr>
  </w:style>
  <w:style w:type="paragraph" w:customStyle="1" w:styleId="ConsPlusNormal">
    <w:name w:val="ConsPlusNormal"/>
    <w:uiPriority w:val="99"/>
    <w:rsid w:val="00C662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C66227"/>
    <w:pPr>
      <w:widowControl/>
      <w:autoSpaceDE/>
      <w:autoSpaceDN/>
      <w:adjustRightInd/>
      <w:spacing w:before="100" w:beforeAutospacing="1" w:after="100" w:afterAutospacing="1"/>
    </w:pPr>
    <w:rPr>
      <w:sz w:val="24"/>
      <w:szCs w:val="24"/>
    </w:rPr>
  </w:style>
  <w:style w:type="paragraph" w:styleId="a5">
    <w:name w:val="No Spacing"/>
    <w:uiPriority w:val="1"/>
    <w:qFormat/>
    <w:rsid w:val="00C66227"/>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styleId="a6">
    <w:name w:val="header"/>
    <w:basedOn w:val="a"/>
    <w:link w:val="a7"/>
    <w:uiPriority w:val="99"/>
    <w:unhideWhenUsed/>
    <w:rsid w:val="00C66227"/>
    <w:pPr>
      <w:tabs>
        <w:tab w:val="center" w:pos="4677"/>
        <w:tab w:val="right" w:pos="9355"/>
      </w:tabs>
    </w:pPr>
  </w:style>
  <w:style w:type="character" w:customStyle="1" w:styleId="a7">
    <w:name w:val="Верхний колонтитул Знак"/>
    <w:basedOn w:val="a0"/>
    <w:link w:val="a6"/>
    <w:uiPriority w:val="99"/>
    <w:rsid w:val="00C662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66227"/>
    <w:pPr>
      <w:tabs>
        <w:tab w:val="center" w:pos="4677"/>
        <w:tab w:val="right" w:pos="9355"/>
      </w:tabs>
    </w:pPr>
  </w:style>
  <w:style w:type="character" w:customStyle="1" w:styleId="a9">
    <w:name w:val="Нижний колонтитул Знак"/>
    <w:basedOn w:val="a0"/>
    <w:link w:val="a8"/>
    <w:uiPriority w:val="99"/>
    <w:rsid w:val="00C6622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718C13E0B9ABAC8BE7ACE22B445728E4407DA88C23B4F33EF726ECF0660E09AF3EFCBE620C3XEz0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DC718C13E0B9ABAC8BE7ACE22B445728E4204DD88C23B4F33EF726ECF0660E09AF3EFCBE620C2XEz8C" TargetMode="External"/><Relationship Id="rId12" Type="http://schemas.openxmlformats.org/officeDocument/2006/relationships/hyperlink" Target="http://docs.cntd.ru/document/494219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942194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consultantplus://offline/ref=BDC718C13E0B9ABAC8BE64C334D81B7D87495CD08BCF6F166FE925319F0035A0DAF5BA88A22DC3E03900F6XAz1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Ванюхина</dc:creator>
  <cp:keywords/>
  <dc:description/>
  <cp:lastModifiedBy>Аторина</cp:lastModifiedBy>
  <cp:revision>9</cp:revision>
  <cp:lastPrinted>2019-08-09T03:51:00Z</cp:lastPrinted>
  <dcterms:created xsi:type="dcterms:W3CDTF">2019-01-28T02:49:00Z</dcterms:created>
  <dcterms:modified xsi:type="dcterms:W3CDTF">2019-08-20T05:48:00Z</dcterms:modified>
</cp:coreProperties>
</file>