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F4" w:rsidRDefault="000621F4" w:rsidP="00C654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СУСУМАНСКОГО</w:t>
      </w:r>
    </w:p>
    <w:p w:rsidR="000621F4" w:rsidRDefault="000621F4" w:rsidP="00C654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0621F4" w:rsidRDefault="000621F4" w:rsidP="000621F4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0621F4" w:rsidRDefault="000621F4" w:rsidP="000621F4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0621F4" w:rsidRDefault="000621F4" w:rsidP="000621F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0621F4" w:rsidRDefault="000621F4" w:rsidP="000621F4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0621F4" w:rsidRDefault="000621F4" w:rsidP="000621F4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0621F4" w:rsidRDefault="003C4B79" w:rsidP="00062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0621F4">
        <w:rPr>
          <w:rFonts w:ascii="Times New Roman" w:hAnsi="Times New Roman"/>
          <w:sz w:val="24"/>
          <w:szCs w:val="24"/>
        </w:rPr>
        <w:t>.0</w:t>
      </w:r>
      <w:r w:rsidR="00235683">
        <w:rPr>
          <w:rFonts w:ascii="Times New Roman" w:hAnsi="Times New Roman"/>
          <w:sz w:val="24"/>
          <w:szCs w:val="24"/>
        </w:rPr>
        <w:t>4</w:t>
      </w:r>
      <w:r w:rsidR="000621F4">
        <w:rPr>
          <w:rFonts w:ascii="Times New Roman" w:hAnsi="Times New Roman"/>
          <w:sz w:val="24"/>
          <w:szCs w:val="24"/>
        </w:rPr>
        <w:t>.201</w:t>
      </w:r>
      <w:r w:rsidR="003F5051">
        <w:rPr>
          <w:rFonts w:ascii="Times New Roman" w:hAnsi="Times New Roman"/>
          <w:sz w:val="24"/>
          <w:szCs w:val="24"/>
        </w:rPr>
        <w:t>7 г.</w:t>
      </w:r>
      <w:r>
        <w:rPr>
          <w:rFonts w:ascii="Times New Roman" w:hAnsi="Times New Roman"/>
          <w:sz w:val="24"/>
          <w:szCs w:val="24"/>
        </w:rPr>
        <w:t xml:space="preserve">                           № 165</w:t>
      </w:r>
    </w:p>
    <w:p w:rsidR="003C4B79" w:rsidRDefault="003C4B79" w:rsidP="000621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0621F4" w:rsidRDefault="000621F4" w:rsidP="00062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478FA" w:rsidRDefault="006478FA" w:rsidP="00062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621F4" w:rsidTr="000621F4">
        <w:trPr>
          <w:trHeight w:val="337"/>
        </w:trPr>
        <w:tc>
          <w:tcPr>
            <w:tcW w:w="5920" w:type="dxa"/>
            <w:hideMark/>
          </w:tcPr>
          <w:p w:rsidR="000621F4" w:rsidRPr="004F5FFC" w:rsidRDefault="006478FA" w:rsidP="00962D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8FA">
              <w:rPr>
                <w:sz w:val="24"/>
                <w:szCs w:val="24"/>
              </w:rPr>
              <w:t>Об определении требований к отдельным видам товаров, работ, услуг</w:t>
            </w:r>
            <w:r w:rsidR="00E37FD4" w:rsidRPr="00E37FD4">
              <w:rPr>
                <w:sz w:val="24"/>
                <w:szCs w:val="24"/>
              </w:rPr>
              <w:t>(в том числе предельные цены товаров, работ, услуг)</w:t>
            </w:r>
            <w:r w:rsidRPr="006478FA">
              <w:rPr>
                <w:sz w:val="24"/>
                <w:szCs w:val="24"/>
              </w:rPr>
              <w:t>, закупаемым органами местного самоуправления, включая подведомственные казенные</w:t>
            </w:r>
            <w:r w:rsidR="00962D9A">
              <w:rPr>
                <w:sz w:val="24"/>
                <w:szCs w:val="24"/>
              </w:rPr>
              <w:t>,</w:t>
            </w:r>
            <w:r w:rsidRPr="006478FA">
              <w:rPr>
                <w:sz w:val="24"/>
                <w:szCs w:val="24"/>
              </w:rPr>
              <w:t xml:space="preserve"> бюджетные учреждения</w:t>
            </w:r>
            <w:r w:rsidR="00962D9A">
              <w:rPr>
                <w:sz w:val="24"/>
                <w:szCs w:val="24"/>
              </w:rPr>
              <w:t xml:space="preserve"> и унитарные</w:t>
            </w:r>
            <w:r w:rsidR="00191A60">
              <w:rPr>
                <w:sz w:val="24"/>
                <w:szCs w:val="24"/>
              </w:rPr>
              <w:t xml:space="preserve">  предприятия,</w:t>
            </w:r>
            <w:r w:rsidRPr="006478FA">
              <w:rPr>
                <w:sz w:val="24"/>
                <w:szCs w:val="24"/>
              </w:rPr>
              <w:t xml:space="preserve"> для обеспечения нужд Сусуманского городского округа</w:t>
            </w:r>
          </w:p>
        </w:tc>
      </w:tr>
    </w:tbl>
    <w:p w:rsidR="000621F4" w:rsidRDefault="000621F4" w:rsidP="000621F4">
      <w:pPr>
        <w:pStyle w:val="ConsPlusTitle"/>
        <w:jc w:val="center"/>
      </w:pPr>
    </w:p>
    <w:p w:rsidR="000621F4" w:rsidRDefault="000621F4" w:rsidP="000621F4">
      <w:pPr>
        <w:pStyle w:val="ConsPlusNormal"/>
        <w:ind w:firstLine="540"/>
        <w:jc w:val="both"/>
      </w:pPr>
    </w:p>
    <w:p w:rsidR="000621F4" w:rsidRDefault="004F5FFC" w:rsidP="004F5F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FC">
        <w:rPr>
          <w:rFonts w:ascii="Times New Roman" w:hAnsi="Times New Roman" w:cs="Times New Roman"/>
          <w:sz w:val="24"/>
          <w:szCs w:val="24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</w:t>
      </w:r>
      <w:r w:rsidR="009B0687">
        <w:rPr>
          <w:rFonts w:ascii="Times New Roman" w:hAnsi="Times New Roman" w:cs="Times New Roman"/>
          <w:sz w:val="24"/>
          <w:szCs w:val="24"/>
        </w:rPr>
        <w:t>Сусуманского</w:t>
      </w:r>
      <w:r w:rsidRPr="004F5FF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Pr="004F5FFC">
        <w:rPr>
          <w:rFonts w:ascii="Times New Roman" w:hAnsi="Times New Roman" w:cs="Times New Roman"/>
          <w:sz w:val="24"/>
          <w:szCs w:val="24"/>
        </w:rPr>
        <w:t xml:space="preserve">  от </w:t>
      </w:r>
      <w:r w:rsidR="009B0687">
        <w:rPr>
          <w:rFonts w:ascii="Times New Roman" w:hAnsi="Times New Roman" w:cs="Times New Roman"/>
          <w:sz w:val="24"/>
          <w:szCs w:val="24"/>
        </w:rPr>
        <w:t>28</w:t>
      </w:r>
      <w:r w:rsidRPr="004F5FFC">
        <w:rPr>
          <w:rFonts w:ascii="Times New Roman" w:hAnsi="Times New Roman" w:cs="Times New Roman"/>
          <w:sz w:val="24"/>
          <w:szCs w:val="24"/>
        </w:rPr>
        <w:t>.</w:t>
      </w:r>
      <w:r w:rsidR="009B0687">
        <w:rPr>
          <w:rFonts w:ascii="Times New Roman" w:hAnsi="Times New Roman" w:cs="Times New Roman"/>
          <w:sz w:val="24"/>
          <w:szCs w:val="24"/>
        </w:rPr>
        <w:t>04</w:t>
      </w:r>
      <w:r w:rsidRPr="004F5FFC">
        <w:rPr>
          <w:rFonts w:ascii="Times New Roman" w:hAnsi="Times New Roman" w:cs="Times New Roman"/>
          <w:sz w:val="24"/>
          <w:szCs w:val="24"/>
        </w:rPr>
        <w:t>.201</w:t>
      </w:r>
      <w:r w:rsidR="009B0687">
        <w:rPr>
          <w:rFonts w:ascii="Times New Roman" w:hAnsi="Times New Roman" w:cs="Times New Roman"/>
          <w:sz w:val="24"/>
          <w:szCs w:val="24"/>
        </w:rPr>
        <w:t>6</w:t>
      </w:r>
      <w:r w:rsidRPr="004F5FFC">
        <w:rPr>
          <w:rFonts w:ascii="Times New Roman" w:hAnsi="Times New Roman" w:cs="Times New Roman"/>
          <w:sz w:val="24"/>
          <w:szCs w:val="24"/>
        </w:rPr>
        <w:t xml:space="preserve">  № </w:t>
      </w:r>
      <w:r w:rsidR="009B0687">
        <w:rPr>
          <w:rFonts w:ascii="Times New Roman" w:hAnsi="Times New Roman" w:cs="Times New Roman"/>
          <w:sz w:val="24"/>
          <w:szCs w:val="24"/>
        </w:rPr>
        <w:t>228</w:t>
      </w:r>
      <w:r w:rsidRPr="004F5FFC">
        <w:rPr>
          <w:rFonts w:ascii="Times New Roman" w:hAnsi="Times New Roman" w:cs="Times New Roman"/>
          <w:sz w:val="24"/>
          <w:szCs w:val="24"/>
        </w:rPr>
        <w:t xml:space="preserve"> «Об утверждении  требований к порядку разработки</w:t>
      </w:r>
      <w:r w:rsidR="009B0687">
        <w:rPr>
          <w:rFonts w:ascii="Times New Roman" w:hAnsi="Times New Roman" w:cs="Times New Roman"/>
          <w:sz w:val="24"/>
          <w:szCs w:val="24"/>
        </w:rPr>
        <w:t xml:space="preserve">, </w:t>
      </w:r>
      <w:r w:rsidRPr="004F5FFC">
        <w:rPr>
          <w:rFonts w:ascii="Times New Roman" w:hAnsi="Times New Roman" w:cs="Times New Roman"/>
          <w:sz w:val="24"/>
          <w:szCs w:val="24"/>
        </w:rPr>
        <w:t>принятия</w:t>
      </w:r>
      <w:r w:rsidR="009B0687">
        <w:rPr>
          <w:rFonts w:ascii="Times New Roman" w:hAnsi="Times New Roman" w:cs="Times New Roman"/>
          <w:sz w:val="24"/>
          <w:szCs w:val="24"/>
        </w:rPr>
        <w:t xml:space="preserve"> и обеспечения исполнения муниципальных правовых актов </w:t>
      </w:r>
      <w:r w:rsidRPr="004F5FFC">
        <w:rPr>
          <w:rFonts w:ascii="Times New Roman" w:hAnsi="Times New Roman" w:cs="Times New Roman"/>
          <w:sz w:val="24"/>
          <w:szCs w:val="24"/>
        </w:rPr>
        <w:t>о нормировании в сфере закупок для обеспечения муниципальных нужд»</w:t>
      </w:r>
      <w:r w:rsidR="001D2BD6">
        <w:rPr>
          <w:rFonts w:ascii="Times New Roman" w:hAnsi="Times New Roman" w:cs="Times New Roman"/>
          <w:sz w:val="24"/>
          <w:szCs w:val="24"/>
        </w:rPr>
        <w:t>,</w:t>
      </w:r>
      <w:r w:rsidR="000621F4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D26048" w:rsidRDefault="00D26048" w:rsidP="00D26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21F4" w:rsidRDefault="000621F4" w:rsidP="00D260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0687" w:rsidRDefault="009B0687" w:rsidP="000621F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478FA" w:rsidRDefault="006478FA" w:rsidP="00E37FD4">
      <w:pPr>
        <w:pStyle w:val="ConsPlusNormal"/>
        <w:numPr>
          <w:ilvl w:val="0"/>
          <w:numId w:val="1"/>
        </w:numPr>
        <w:spacing w:after="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8FA">
        <w:rPr>
          <w:rFonts w:ascii="Times New Roman" w:hAnsi="Times New Roman" w:cs="Times New Roman"/>
          <w:sz w:val="24"/>
          <w:szCs w:val="24"/>
        </w:rPr>
        <w:t>Утвердить прилагаемые Правила определения требований к отдель</w:t>
      </w:r>
      <w:r>
        <w:rPr>
          <w:rFonts w:ascii="Times New Roman" w:hAnsi="Times New Roman" w:cs="Times New Roman"/>
          <w:sz w:val="24"/>
          <w:szCs w:val="24"/>
        </w:rPr>
        <w:t>ным видам товаров, работ, услуг</w:t>
      </w:r>
      <w:r w:rsidR="00E37FD4" w:rsidRPr="00E37FD4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  <w:r w:rsidRPr="006478FA">
        <w:rPr>
          <w:rFonts w:ascii="Times New Roman" w:hAnsi="Times New Roman" w:cs="Times New Roman"/>
          <w:sz w:val="24"/>
          <w:szCs w:val="24"/>
        </w:rPr>
        <w:t>, закупаемым органами местного самоуправления, вк</w:t>
      </w:r>
      <w:r w:rsidR="00191A60">
        <w:rPr>
          <w:rFonts w:ascii="Times New Roman" w:hAnsi="Times New Roman" w:cs="Times New Roman"/>
          <w:sz w:val="24"/>
          <w:szCs w:val="24"/>
        </w:rPr>
        <w:t>лючая подведомственные казенные,</w:t>
      </w:r>
      <w:r w:rsidRPr="006478FA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r w:rsidR="00191A60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 w:rsidRPr="00191A60">
        <w:rPr>
          <w:rFonts w:ascii="Times New Roman" w:hAnsi="Times New Roman" w:cs="Times New Roman"/>
          <w:sz w:val="24"/>
          <w:szCs w:val="24"/>
        </w:rPr>
        <w:t>,</w:t>
      </w:r>
      <w:r w:rsidRPr="006478FA">
        <w:rPr>
          <w:rFonts w:ascii="Times New Roman" w:hAnsi="Times New Roman" w:cs="Times New Roman"/>
          <w:sz w:val="24"/>
          <w:szCs w:val="24"/>
        </w:rPr>
        <w:t xml:space="preserve"> для обеспечения нужд Сусуманского городского округа.</w:t>
      </w:r>
    </w:p>
    <w:p w:rsidR="006478FA" w:rsidRDefault="006478FA" w:rsidP="00E37FD4">
      <w:pPr>
        <w:pStyle w:val="ConsPlusNormal"/>
        <w:numPr>
          <w:ilvl w:val="0"/>
          <w:numId w:val="1"/>
        </w:numPr>
        <w:spacing w:after="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8FA">
        <w:rPr>
          <w:rFonts w:ascii="Times New Roman" w:hAnsi="Times New Roman" w:cs="Times New Roman"/>
          <w:sz w:val="24"/>
          <w:szCs w:val="24"/>
        </w:rPr>
        <w:t>Органам местного самоуправления Сусуманского городского округа утвердить требования к закупаемым органами местного самоуправления Сусуманского городского округа, подведомственными  казенными учреждениями</w:t>
      </w:r>
      <w:r w:rsidR="00191A60">
        <w:rPr>
          <w:rFonts w:ascii="Times New Roman" w:hAnsi="Times New Roman" w:cs="Times New Roman"/>
          <w:sz w:val="24"/>
          <w:szCs w:val="24"/>
        </w:rPr>
        <w:t>,</w:t>
      </w:r>
      <w:r w:rsidRPr="006478FA">
        <w:rPr>
          <w:rFonts w:ascii="Times New Roman" w:hAnsi="Times New Roman" w:cs="Times New Roman"/>
          <w:sz w:val="24"/>
          <w:szCs w:val="24"/>
        </w:rPr>
        <w:t xml:space="preserve">  бюджетными </w:t>
      </w:r>
      <w:r w:rsidRPr="00191A60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191A60" w:rsidRPr="00191A60">
        <w:rPr>
          <w:rFonts w:ascii="Times New Roman" w:hAnsi="Times New Roman" w:cs="Times New Roman"/>
          <w:sz w:val="24"/>
          <w:szCs w:val="24"/>
        </w:rPr>
        <w:t>и унитарны</w:t>
      </w:r>
      <w:r w:rsidR="00191A60">
        <w:rPr>
          <w:rFonts w:ascii="Times New Roman" w:hAnsi="Times New Roman" w:cs="Times New Roman"/>
          <w:sz w:val="24"/>
          <w:szCs w:val="24"/>
        </w:rPr>
        <w:t>ми</w:t>
      </w:r>
      <w:r w:rsidR="00191A60" w:rsidRPr="00191A60">
        <w:rPr>
          <w:rFonts w:ascii="Times New Roman" w:hAnsi="Times New Roman" w:cs="Times New Roman"/>
          <w:sz w:val="24"/>
          <w:szCs w:val="24"/>
        </w:rPr>
        <w:t xml:space="preserve">  предприятия</w:t>
      </w:r>
      <w:r w:rsidR="00191A60">
        <w:rPr>
          <w:rFonts w:ascii="Times New Roman" w:hAnsi="Times New Roman" w:cs="Times New Roman"/>
          <w:sz w:val="24"/>
          <w:szCs w:val="24"/>
        </w:rPr>
        <w:t>ми</w:t>
      </w:r>
      <w:r w:rsidRPr="006478FA">
        <w:rPr>
          <w:rFonts w:ascii="Times New Roman" w:hAnsi="Times New Roman" w:cs="Times New Roman"/>
          <w:sz w:val="24"/>
          <w:szCs w:val="24"/>
        </w:rPr>
        <w:t>отдельны</w:t>
      </w:r>
      <w:r w:rsidR="00191A60">
        <w:rPr>
          <w:rFonts w:ascii="Times New Roman" w:hAnsi="Times New Roman" w:cs="Times New Roman"/>
          <w:sz w:val="24"/>
          <w:szCs w:val="24"/>
        </w:rPr>
        <w:t>х</w:t>
      </w:r>
      <w:r w:rsidRPr="006478FA">
        <w:rPr>
          <w:rFonts w:ascii="Times New Roman" w:hAnsi="Times New Roman" w:cs="Times New Roman"/>
          <w:sz w:val="24"/>
          <w:szCs w:val="24"/>
        </w:rPr>
        <w:t xml:space="preserve"> вид</w:t>
      </w:r>
      <w:r w:rsidR="00191A60">
        <w:rPr>
          <w:rFonts w:ascii="Times New Roman" w:hAnsi="Times New Roman" w:cs="Times New Roman"/>
          <w:sz w:val="24"/>
          <w:szCs w:val="24"/>
        </w:rPr>
        <w:t>ов</w:t>
      </w:r>
      <w:r w:rsidRPr="006478FA">
        <w:rPr>
          <w:rFonts w:ascii="Times New Roman" w:hAnsi="Times New Roman" w:cs="Times New Roman"/>
          <w:sz w:val="24"/>
          <w:szCs w:val="24"/>
        </w:rPr>
        <w:t xml:space="preserve"> товаров, работ, услу</w:t>
      </w:r>
      <w:proofErr w:type="gramStart"/>
      <w:r w:rsidRPr="006478FA">
        <w:rPr>
          <w:rFonts w:ascii="Times New Roman" w:hAnsi="Times New Roman" w:cs="Times New Roman"/>
          <w:sz w:val="24"/>
          <w:szCs w:val="24"/>
        </w:rPr>
        <w:t>г</w:t>
      </w:r>
      <w:r w:rsidR="00E37FD4" w:rsidRPr="00E37F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37FD4" w:rsidRPr="00E37FD4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</w:t>
      </w:r>
      <w:r w:rsidRPr="006478FA">
        <w:rPr>
          <w:rFonts w:ascii="Times New Roman" w:hAnsi="Times New Roman" w:cs="Times New Roman"/>
          <w:sz w:val="24"/>
          <w:szCs w:val="24"/>
        </w:rPr>
        <w:t xml:space="preserve"> в соответствии с Правилами, утвержденными настоящим постановлением.</w:t>
      </w:r>
    </w:p>
    <w:p w:rsidR="009B0687" w:rsidRDefault="005D0DE3" w:rsidP="006478FA">
      <w:pPr>
        <w:pStyle w:val="ConsPlusNormal"/>
        <w:numPr>
          <w:ilvl w:val="0"/>
          <w:numId w:val="1"/>
        </w:numPr>
        <w:spacing w:after="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9B0687">
        <w:rPr>
          <w:rFonts w:ascii="Times New Roman" w:hAnsi="Times New Roman" w:cs="Times New Roman"/>
          <w:sz w:val="24"/>
          <w:szCs w:val="24"/>
        </w:rPr>
        <w:t xml:space="preserve"> официальному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9B0687">
        <w:rPr>
          <w:rFonts w:ascii="Times New Roman" w:hAnsi="Times New Roman" w:cs="Times New Roman"/>
          <w:sz w:val="24"/>
          <w:szCs w:val="24"/>
        </w:rPr>
        <w:t xml:space="preserve"> и размещению на </w:t>
      </w:r>
      <w:r w:rsidR="006478F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B0687">
        <w:rPr>
          <w:rFonts w:ascii="Times New Roman" w:hAnsi="Times New Roman" w:cs="Times New Roman"/>
          <w:sz w:val="24"/>
          <w:szCs w:val="24"/>
        </w:rPr>
        <w:t>сайт</w:t>
      </w:r>
      <w:r w:rsidR="006478FA">
        <w:rPr>
          <w:rFonts w:ascii="Times New Roman" w:hAnsi="Times New Roman" w:cs="Times New Roman"/>
          <w:sz w:val="24"/>
          <w:szCs w:val="24"/>
        </w:rPr>
        <w:t>е</w:t>
      </w:r>
      <w:r w:rsidR="009B0687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и </w:t>
      </w:r>
      <w:r w:rsidR="006478FA">
        <w:rPr>
          <w:rFonts w:ascii="Times New Roman" w:hAnsi="Times New Roman" w:cs="Times New Roman"/>
          <w:sz w:val="24"/>
          <w:szCs w:val="24"/>
        </w:rPr>
        <w:t xml:space="preserve">в </w:t>
      </w:r>
      <w:r w:rsidR="009B0687">
        <w:rPr>
          <w:rFonts w:ascii="Times New Roman" w:hAnsi="Times New Roman" w:cs="Times New Roman"/>
          <w:sz w:val="24"/>
          <w:szCs w:val="24"/>
        </w:rPr>
        <w:t>Единой информационной системе в сфере закупок.</w:t>
      </w:r>
    </w:p>
    <w:p w:rsidR="005D0DE3" w:rsidRDefault="005D0DE3" w:rsidP="006478FA">
      <w:pPr>
        <w:pStyle w:val="ConsPlusNormal"/>
        <w:numPr>
          <w:ilvl w:val="0"/>
          <w:numId w:val="1"/>
        </w:numPr>
        <w:spacing w:after="6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</w:t>
      </w:r>
      <w:r w:rsidR="009B0687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</w:t>
      </w:r>
    </w:p>
    <w:p w:rsidR="005D0DE3" w:rsidRDefault="005D0DE3" w:rsidP="006478FA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</w:p>
    <w:p w:rsidR="006478FA" w:rsidRDefault="006478FA" w:rsidP="006478FA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</w:p>
    <w:p w:rsidR="00FB0EBE" w:rsidRDefault="005D0DE3" w:rsidP="000621F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0DE3" w:rsidRPr="005D0DE3" w:rsidRDefault="005D0DE3" w:rsidP="003C4B7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</w:t>
      </w:r>
      <w:r w:rsidR="009D0D5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9D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9D0D51" w:rsidRDefault="009D0D51" w:rsidP="00835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5510" w:rsidRPr="003C4B79" w:rsidRDefault="00835510" w:rsidP="00835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B79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9B0687" w:rsidRPr="003C4B79">
        <w:rPr>
          <w:rFonts w:ascii="Times New Roman" w:hAnsi="Times New Roman" w:cs="Times New Roman"/>
          <w:sz w:val="20"/>
          <w:szCs w:val="20"/>
        </w:rPr>
        <w:t>ы</w:t>
      </w:r>
    </w:p>
    <w:p w:rsidR="00835510" w:rsidRPr="003C4B79" w:rsidRDefault="00835510" w:rsidP="00835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B79">
        <w:rPr>
          <w:rFonts w:ascii="Times New Roman" w:hAnsi="Times New Roman" w:cs="Times New Roman"/>
          <w:sz w:val="20"/>
          <w:szCs w:val="20"/>
        </w:rPr>
        <w:t>постановлением админи</w:t>
      </w:r>
      <w:r w:rsidR="009B0687" w:rsidRPr="003C4B79">
        <w:rPr>
          <w:rFonts w:ascii="Times New Roman" w:hAnsi="Times New Roman" w:cs="Times New Roman"/>
          <w:sz w:val="20"/>
          <w:szCs w:val="20"/>
        </w:rPr>
        <w:t>с</w:t>
      </w:r>
      <w:r w:rsidRPr="003C4B79">
        <w:rPr>
          <w:rFonts w:ascii="Times New Roman" w:hAnsi="Times New Roman" w:cs="Times New Roman"/>
          <w:sz w:val="20"/>
          <w:szCs w:val="20"/>
        </w:rPr>
        <w:t xml:space="preserve">трации </w:t>
      </w:r>
    </w:p>
    <w:p w:rsidR="00835510" w:rsidRPr="003C4B79" w:rsidRDefault="00835510" w:rsidP="00835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B79">
        <w:rPr>
          <w:rFonts w:ascii="Times New Roman" w:hAnsi="Times New Roman" w:cs="Times New Roman"/>
          <w:sz w:val="20"/>
          <w:szCs w:val="20"/>
        </w:rPr>
        <w:t>Сусуманского  городского округа</w:t>
      </w:r>
    </w:p>
    <w:p w:rsidR="00835510" w:rsidRPr="003C4B79" w:rsidRDefault="003C4B79" w:rsidP="008355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B79">
        <w:rPr>
          <w:rFonts w:ascii="Times New Roman" w:hAnsi="Times New Roman" w:cs="Times New Roman"/>
          <w:sz w:val="20"/>
          <w:szCs w:val="20"/>
        </w:rPr>
        <w:t>от 03.04.2017№ 165</w:t>
      </w:r>
    </w:p>
    <w:p w:rsidR="00835510" w:rsidRPr="00FD5CE7" w:rsidRDefault="00835510" w:rsidP="00835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510" w:rsidRPr="00026500" w:rsidRDefault="00835510" w:rsidP="00B51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500">
        <w:rPr>
          <w:rFonts w:ascii="Times New Roman" w:hAnsi="Times New Roman" w:cs="Times New Roman"/>
          <w:sz w:val="24"/>
          <w:szCs w:val="24"/>
        </w:rPr>
        <w:t>ПРАВИЛА</w:t>
      </w:r>
    </w:p>
    <w:p w:rsidR="00517C74" w:rsidRDefault="00780A10" w:rsidP="00026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A10">
        <w:rPr>
          <w:rFonts w:ascii="Times New Roman" w:hAnsi="Times New Roman" w:cs="Times New Roman"/>
          <w:sz w:val="24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самоуправления, вк</w:t>
      </w:r>
      <w:r w:rsidR="00191A60">
        <w:rPr>
          <w:rFonts w:ascii="Times New Roman" w:hAnsi="Times New Roman" w:cs="Times New Roman"/>
          <w:sz w:val="24"/>
          <w:szCs w:val="24"/>
        </w:rPr>
        <w:t>лючая подведомственные казенные,</w:t>
      </w:r>
      <w:r w:rsidRPr="00780A10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191A60" w:rsidRPr="00F979A2">
        <w:rPr>
          <w:rFonts w:ascii="Times New Roman" w:hAnsi="Times New Roman" w:cs="Times New Roman"/>
          <w:sz w:val="24"/>
          <w:szCs w:val="24"/>
        </w:rPr>
        <w:t>и</w:t>
      </w:r>
      <w:r w:rsidR="00191A60">
        <w:rPr>
          <w:sz w:val="24"/>
          <w:szCs w:val="24"/>
        </w:rPr>
        <w:t xml:space="preserve"> </w:t>
      </w:r>
      <w:r w:rsidR="007E2BA6">
        <w:rPr>
          <w:rFonts w:ascii="Times New Roman" w:hAnsi="Times New Roman" w:cs="Times New Roman"/>
          <w:sz w:val="24"/>
          <w:szCs w:val="24"/>
        </w:rPr>
        <w:t>унитарные  предприятия</w:t>
      </w:r>
      <w:r w:rsidR="00191A60">
        <w:rPr>
          <w:rFonts w:ascii="Times New Roman" w:hAnsi="Times New Roman" w:cs="Times New Roman"/>
          <w:sz w:val="24"/>
          <w:szCs w:val="24"/>
        </w:rPr>
        <w:t xml:space="preserve">, </w:t>
      </w:r>
      <w:r w:rsidRPr="00780A10">
        <w:rPr>
          <w:rFonts w:ascii="Times New Roman" w:hAnsi="Times New Roman" w:cs="Times New Roman"/>
          <w:sz w:val="24"/>
          <w:szCs w:val="24"/>
        </w:rPr>
        <w:t xml:space="preserve"> для обеспечения нужд Сусуманского городского округа.</w:t>
      </w:r>
    </w:p>
    <w:p w:rsidR="00780A10" w:rsidRPr="00FD5CE7" w:rsidRDefault="00780A10" w:rsidP="00026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510" w:rsidRPr="00780A10" w:rsidRDefault="00D727F1" w:rsidP="00780A10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A10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835510" w:rsidRPr="00780A10">
        <w:rPr>
          <w:rFonts w:ascii="Times New Roman" w:hAnsi="Times New Roman" w:cs="Times New Roman"/>
          <w:sz w:val="24"/>
          <w:szCs w:val="24"/>
        </w:rPr>
        <w:t>Правила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780A10" w:rsidRPr="00780A10">
        <w:rPr>
          <w:rFonts w:ascii="Times New Roman" w:hAnsi="Times New Roman" w:cs="Times New Roman"/>
          <w:sz w:val="24"/>
          <w:szCs w:val="24"/>
        </w:rPr>
        <w:t>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самоуправления, включая подведомственные казенные</w:t>
      </w:r>
      <w:r w:rsidR="007E2BA6">
        <w:rPr>
          <w:rFonts w:ascii="Times New Roman" w:hAnsi="Times New Roman" w:cs="Times New Roman"/>
          <w:sz w:val="24"/>
          <w:szCs w:val="24"/>
        </w:rPr>
        <w:t xml:space="preserve">, </w:t>
      </w:r>
      <w:r w:rsidR="00780A10" w:rsidRPr="00780A10">
        <w:rPr>
          <w:rFonts w:ascii="Times New Roman" w:hAnsi="Times New Roman" w:cs="Times New Roman"/>
          <w:sz w:val="24"/>
          <w:szCs w:val="24"/>
        </w:rPr>
        <w:t>бюджетные учреждения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A30185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 w:rsidR="00780A10" w:rsidRPr="00780A10">
        <w:rPr>
          <w:rFonts w:ascii="Times New Roman" w:hAnsi="Times New Roman" w:cs="Times New Roman"/>
          <w:sz w:val="24"/>
          <w:szCs w:val="24"/>
        </w:rPr>
        <w:t>, для обеспечения нужд Сусуманского городского округа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Pr="00780A1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80A10" w:rsidRPr="00780A10">
        <w:rPr>
          <w:rFonts w:ascii="Times New Roman" w:hAnsi="Times New Roman" w:cs="Times New Roman"/>
          <w:sz w:val="24"/>
          <w:szCs w:val="24"/>
        </w:rPr>
        <w:t xml:space="preserve">- </w:t>
      </w:r>
      <w:r w:rsidRPr="00780A10">
        <w:rPr>
          <w:rFonts w:ascii="Times New Roman" w:hAnsi="Times New Roman" w:cs="Times New Roman"/>
          <w:sz w:val="24"/>
          <w:szCs w:val="24"/>
        </w:rPr>
        <w:t xml:space="preserve">Правила) устанавливают порядок </w:t>
      </w:r>
      <w:r w:rsidR="00835510" w:rsidRPr="00780A10">
        <w:rPr>
          <w:rFonts w:ascii="Times New Roman" w:hAnsi="Times New Roman" w:cs="Times New Roman"/>
          <w:sz w:val="24"/>
          <w:szCs w:val="24"/>
        </w:rPr>
        <w:t xml:space="preserve">определения требований к </w:t>
      </w:r>
      <w:r w:rsidR="00B51BFC" w:rsidRPr="00780A10">
        <w:rPr>
          <w:rFonts w:ascii="Times New Roman" w:hAnsi="Times New Roman" w:cs="Times New Roman"/>
          <w:sz w:val="24"/>
          <w:szCs w:val="24"/>
        </w:rPr>
        <w:t>закупаемым органами</w:t>
      </w:r>
      <w:r w:rsidR="003D22E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51BFC" w:rsidRPr="00780A10">
        <w:rPr>
          <w:rFonts w:ascii="Times New Roman" w:hAnsi="Times New Roman" w:cs="Times New Roman"/>
          <w:sz w:val="24"/>
          <w:szCs w:val="24"/>
        </w:rPr>
        <w:t>, их подведомственными казенными</w:t>
      </w:r>
      <w:r w:rsidR="00A30185">
        <w:rPr>
          <w:rFonts w:ascii="Times New Roman" w:hAnsi="Times New Roman" w:cs="Times New Roman"/>
          <w:sz w:val="24"/>
          <w:szCs w:val="24"/>
        </w:rPr>
        <w:t>,</w:t>
      </w:r>
      <w:r w:rsidR="00B51BFC" w:rsidRPr="00780A10">
        <w:rPr>
          <w:rFonts w:ascii="Times New Roman" w:hAnsi="Times New Roman" w:cs="Times New Roman"/>
          <w:sz w:val="24"/>
          <w:szCs w:val="24"/>
        </w:rPr>
        <w:t xml:space="preserve"> бюджетными учреждениями </w:t>
      </w:r>
      <w:r w:rsidR="00A30185" w:rsidRPr="00191A60">
        <w:rPr>
          <w:rFonts w:ascii="Times New Roman" w:hAnsi="Times New Roman" w:cs="Times New Roman"/>
          <w:sz w:val="24"/>
          <w:szCs w:val="24"/>
        </w:rPr>
        <w:t>и унитарны</w:t>
      </w:r>
      <w:r w:rsidR="00A30185">
        <w:rPr>
          <w:rFonts w:ascii="Times New Roman" w:hAnsi="Times New Roman" w:cs="Times New Roman"/>
          <w:sz w:val="24"/>
          <w:szCs w:val="24"/>
        </w:rPr>
        <w:t>ми</w:t>
      </w:r>
      <w:r w:rsidR="00A30185" w:rsidRPr="00191A60">
        <w:rPr>
          <w:rFonts w:ascii="Times New Roman" w:hAnsi="Times New Roman" w:cs="Times New Roman"/>
          <w:sz w:val="24"/>
          <w:szCs w:val="24"/>
        </w:rPr>
        <w:t xml:space="preserve">  предприятия</w:t>
      </w:r>
      <w:r w:rsidR="00A30185">
        <w:rPr>
          <w:rFonts w:ascii="Times New Roman" w:hAnsi="Times New Roman" w:cs="Times New Roman"/>
          <w:sz w:val="24"/>
          <w:szCs w:val="24"/>
        </w:rPr>
        <w:t>ми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B51BFC" w:rsidRPr="00780A10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proofErr w:type="gramEnd"/>
      <w:r w:rsidR="00B51BFC" w:rsidRPr="00780A10">
        <w:rPr>
          <w:rFonts w:ascii="Times New Roman" w:hAnsi="Times New Roman" w:cs="Times New Roman"/>
          <w:sz w:val="24"/>
          <w:szCs w:val="24"/>
        </w:rPr>
        <w:t xml:space="preserve">  (в том числе предельных цен товаров, работ, услуг)</w:t>
      </w:r>
      <w:r w:rsidRPr="00780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55A" w:rsidRPr="00780A10" w:rsidRDefault="004C79B4" w:rsidP="004C79B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A" w:rsidRPr="00780A10">
        <w:rPr>
          <w:rFonts w:ascii="Times New Roman" w:hAnsi="Times New Roman" w:cs="Times New Roman"/>
          <w:sz w:val="24"/>
          <w:szCs w:val="24"/>
        </w:rPr>
        <w:t>Под видом товаров, работ, услуг в целях настоящих Правил  понимаются виды товаров, работ, услуг, соответствующие 6-значному коду позиции по Общероссийскому классификатору продукции  по видам экономической деятельности.</w:t>
      </w:r>
    </w:p>
    <w:p w:rsidR="003D22E8" w:rsidRDefault="003D22E8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AD0D8A" w:rsidRPr="00780A10">
        <w:rPr>
          <w:rFonts w:ascii="Times New Roman" w:hAnsi="Times New Roman" w:cs="Times New Roman"/>
          <w:sz w:val="24"/>
          <w:szCs w:val="24"/>
        </w:rPr>
        <w:t xml:space="preserve">, подведомственные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AD0D8A" w:rsidRPr="00780A10">
        <w:rPr>
          <w:rFonts w:ascii="Times New Roman" w:hAnsi="Times New Roman" w:cs="Times New Roman"/>
          <w:sz w:val="24"/>
          <w:szCs w:val="24"/>
        </w:rPr>
        <w:t>казенные</w:t>
      </w:r>
      <w:r w:rsidR="00A30185">
        <w:rPr>
          <w:rFonts w:ascii="Times New Roman" w:hAnsi="Times New Roman" w:cs="Times New Roman"/>
          <w:sz w:val="24"/>
          <w:szCs w:val="24"/>
        </w:rPr>
        <w:t>,</w:t>
      </w:r>
      <w:r w:rsidR="00AD0D8A" w:rsidRPr="00780A10">
        <w:rPr>
          <w:rFonts w:ascii="Times New Roman" w:hAnsi="Times New Roman" w:cs="Times New Roman"/>
          <w:sz w:val="24"/>
          <w:szCs w:val="24"/>
        </w:rPr>
        <w:t xml:space="preserve">  бюджетные учреждения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A30185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 w:rsidR="00026500" w:rsidRPr="00780A10">
        <w:rPr>
          <w:rFonts w:ascii="Times New Roman" w:hAnsi="Times New Roman" w:cs="Times New Roman"/>
          <w:sz w:val="24"/>
          <w:szCs w:val="24"/>
        </w:rPr>
        <w:t>, осуществляющие муниципальные закупки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755A" w:rsidRPr="00780A10">
        <w:rPr>
          <w:rFonts w:ascii="Times New Roman" w:hAnsi="Times New Roman" w:cs="Times New Roman"/>
          <w:sz w:val="24"/>
          <w:szCs w:val="24"/>
        </w:rPr>
        <w:t xml:space="preserve"> утверждают определенные в соответствии с настоящими Правилами требования к закупаемым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="004C755A" w:rsidRPr="00780A10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(в том числе предельные цены товаров, работ, услуг) </w:t>
      </w:r>
      <w:r>
        <w:rPr>
          <w:rFonts w:ascii="Times New Roman" w:hAnsi="Times New Roman" w:cs="Times New Roman"/>
          <w:sz w:val="24"/>
          <w:szCs w:val="24"/>
        </w:rPr>
        <w:t>включающие</w:t>
      </w:r>
      <w:r w:rsidR="004C755A" w:rsidRPr="00780A10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755A" w:rsidRPr="00780A10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C755A" w:rsidRPr="00780A10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</w:t>
      </w:r>
      <w:r w:rsidR="00026500" w:rsidRPr="00780A10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 w:rsidR="004C755A" w:rsidRPr="00780A10">
        <w:rPr>
          <w:rFonts w:ascii="Times New Roman" w:hAnsi="Times New Roman" w:cs="Times New Roman"/>
          <w:sz w:val="24"/>
          <w:szCs w:val="24"/>
        </w:rPr>
        <w:t>качест</w:t>
      </w:r>
      <w:r w:rsidR="00F41BEB" w:rsidRPr="00780A10">
        <w:rPr>
          <w:rFonts w:ascii="Times New Roman" w:hAnsi="Times New Roman" w:cs="Times New Roman"/>
          <w:sz w:val="24"/>
          <w:szCs w:val="24"/>
        </w:rPr>
        <w:t>в</w:t>
      </w:r>
      <w:r w:rsidR="00026500" w:rsidRPr="00780A10">
        <w:rPr>
          <w:rFonts w:ascii="Times New Roman" w:hAnsi="Times New Roman" w:cs="Times New Roman"/>
          <w:sz w:val="24"/>
          <w:szCs w:val="24"/>
        </w:rPr>
        <w:t>а</w:t>
      </w:r>
      <w:r w:rsidR="00014D95" w:rsidRPr="00780A10">
        <w:rPr>
          <w:rFonts w:ascii="Times New Roman" w:hAnsi="Times New Roman" w:cs="Times New Roman"/>
          <w:sz w:val="24"/>
          <w:szCs w:val="24"/>
        </w:rPr>
        <w:t>) и иные характеристики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014D95" w:rsidRPr="00780A10">
        <w:rPr>
          <w:rFonts w:ascii="Times New Roman" w:hAnsi="Times New Roman" w:cs="Times New Roman"/>
          <w:sz w:val="24"/>
          <w:szCs w:val="24"/>
        </w:rPr>
        <w:t>(в том числе предельные</w:t>
      </w:r>
      <w:proofErr w:type="gramEnd"/>
      <w:r w:rsidR="00014D95" w:rsidRPr="00780A10">
        <w:rPr>
          <w:rFonts w:ascii="Times New Roman" w:hAnsi="Times New Roman" w:cs="Times New Roman"/>
          <w:sz w:val="24"/>
          <w:szCs w:val="24"/>
        </w:rPr>
        <w:t xml:space="preserve"> цены товаров, работ, услуг) </w:t>
      </w:r>
      <w:r w:rsidR="00F41BEB" w:rsidRPr="00780A10">
        <w:rPr>
          <w:rFonts w:ascii="Times New Roman" w:hAnsi="Times New Roman" w:cs="Times New Roman"/>
          <w:sz w:val="24"/>
          <w:szCs w:val="24"/>
        </w:rPr>
        <w:t xml:space="preserve">(далее – ведомственный перечень). </w:t>
      </w:r>
    </w:p>
    <w:p w:rsidR="003D22E8" w:rsidRDefault="001C44BE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E8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</w:t>
      </w:r>
      <w:r w:rsidR="00A02328" w:rsidRPr="003D22E8">
        <w:rPr>
          <w:rFonts w:ascii="Times New Roman" w:hAnsi="Times New Roman" w:cs="Times New Roman"/>
          <w:sz w:val="24"/>
          <w:szCs w:val="24"/>
        </w:rPr>
        <w:t>1 к</w:t>
      </w:r>
      <w:r w:rsidR="00F41BEB" w:rsidRPr="003D22E8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A02328" w:rsidRPr="003D22E8">
        <w:rPr>
          <w:rFonts w:ascii="Times New Roman" w:hAnsi="Times New Roman" w:cs="Times New Roman"/>
          <w:sz w:val="24"/>
          <w:szCs w:val="24"/>
        </w:rPr>
        <w:t>Правилам</w:t>
      </w:r>
      <w:r w:rsidRPr="003D22E8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3E44AE">
        <w:rPr>
          <w:rFonts w:ascii="Times New Roman" w:hAnsi="Times New Roman" w:cs="Times New Roman"/>
          <w:sz w:val="24"/>
          <w:szCs w:val="24"/>
        </w:rPr>
        <w:t>ые</w:t>
      </w:r>
      <w:r w:rsidRPr="003D22E8">
        <w:rPr>
          <w:rFonts w:ascii="Times New Roman" w:hAnsi="Times New Roman" w:cs="Times New Roman"/>
          <w:sz w:val="24"/>
          <w:szCs w:val="24"/>
        </w:rPr>
        <w:t xml:space="preserve"> приложением №</w:t>
      </w:r>
      <w:r w:rsidR="00A02328" w:rsidRPr="003D22E8">
        <w:rPr>
          <w:rFonts w:ascii="Times New Roman" w:hAnsi="Times New Roman" w:cs="Times New Roman"/>
          <w:sz w:val="24"/>
          <w:szCs w:val="24"/>
        </w:rPr>
        <w:t xml:space="preserve">2 к </w:t>
      </w:r>
      <w:r w:rsidR="003D22E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02328" w:rsidRPr="003D22E8">
        <w:rPr>
          <w:rFonts w:ascii="Times New Roman" w:hAnsi="Times New Roman" w:cs="Times New Roman"/>
          <w:sz w:val="24"/>
          <w:szCs w:val="24"/>
        </w:rPr>
        <w:t>Правилам</w:t>
      </w:r>
      <w:r w:rsidRPr="003D22E8">
        <w:rPr>
          <w:rFonts w:ascii="Times New Roman" w:hAnsi="Times New Roman" w:cs="Times New Roman"/>
          <w:sz w:val="24"/>
          <w:szCs w:val="24"/>
        </w:rPr>
        <w:t xml:space="preserve"> (далее – обязательный  перечень).</w:t>
      </w:r>
      <w:proofErr w:type="gramEnd"/>
    </w:p>
    <w:p w:rsidR="003D22E8" w:rsidRDefault="00AB3739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3D22E8">
        <w:rPr>
          <w:rFonts w:ascii="Times New Roman" w:hAnsi="Times New Roman" w:cs="Times New Roman"/>
          <w:sz w:val="24"/>
          <w:szCs w:val="24"/>
        </w:rPr>
        <w:t>В отношении отдельных видов т</w:t>
      </w:r>
      <w:r w:rsidR="00014D95" w:rsidRPr="003D22E8">
        <w:rPr>
          <w:rFonts w:ascii="Times New Roman" w:hAnsi="Times New Roman" w:cs="Times New Roman"/>
          <w:sz w:val="24"/>
          <w:szCs w:val="24"/>
        </w:rPr>
        <w:t>оваров, работ, услуг, включенных</w:t>
      </w:r>
      <w:r w:rsidRPr="003D22E8">
        <w:rPr>
          <w:rFonts w:ascii="Times New Roman" w:hAnsi="Times New Roman" w:cs="Times New Roman"/>
          <w:sz w:val="24"/>
          <w:szCs w:val="24"/>
        </w:rPr>
        <w:t xml:space="preserve"> в обязательный  перечень, в ведомственном перечне определяются их потребительские свойства (в том числе качество) и иные характеристики (в том числе предельные цены  указанных товаров</w:t>
      </w:r>
      <w:r w:rsidR="00AD0D8A" w:rsidRPr="003D22E8">
        <w:rPr>
          <w:rFonts w:ascii="Times New Roman" w:hAnsi="Times New Roman" w:cs="Times New Roman"/>
          <w:sz w:val="24"/>
          <w:szCs w:val="24"/>
        </w:rPr>
        <w:t xml:space="preserve">, </w:t>
      </w:r>
      <w:r w:rsidRPr="003D22E8">
        <w:rPr>
          <w:rFonts w:ascii="Times New Roman" w:hAnsi="Times New Roman" w:cs="Times New Roman"/>
          <w:sz w:val="24"/>
          <w:szCs w:val="24"/>
        </w:rPr>
        <w:t>работ, услуг), если указанные свойства и характеристики не определены  в обязательном перечне.</w:t>
      </w:r>
    </w:p>
    <w:p w:rsidR="003D22E8" w:rsidRDefault="003D22E8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3D22E8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22E8">
        <w:rPr>
          <w:rFonts w:ascii="Times New Roman" w:hAnsi="Times New Roman" w:cs="Times New Roman"/>
          <w:sz w:val="24"/>
          <w:szCs w:val="24"/>
        </w:rPr>
        <w:t xml:space="preserve"> местного самоуправления, включая подведомственные казенные</w:t>
      </w:r>
      <w:r w:rsidR="00A30185">
        <w:rPr>
          <w:rFonts w:ascii="Times New Roman" w:hAnsi="Times New Roman" w:cs="Times New Roman"/>
          <w:sz w:val="24"/>
          <w:szCs w:val="24"/>
        </w:rPr>
        <w:t>,</w:t>
      </w:r>
      <w:r w:rsidRPr="003D22E8">
        <w:rPr>
          <w:rFonts w:ascii="Times New Roman" w:hAnsi="Times New Roman" w:cs="Times New Roman"/>
          <w:sz w:val="24"/>
          <w:szCs w:val="24"/>
        </w:rPr>
        <w:t xml:space="preserve">  бюджетные учреждения</w:t>
      </w:r>
      <w:r w:rsidR="00A30185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 w:rsidR="00F41BEB" w:rsidRPr="003D22E8">
        <w:rPr>
          <w:rFonts w:ascii="Times New Roman" w:hAnsi="Times New Roman" w:cs="Times New Roman"/>
          <w:sz w:val="24"/>
          <w:szCs w:val="24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</w:t>
      </w:r>
      <w:r w:rsidR="006A0F68" w:rsidRPr="003D22E8">
        <w:rPr>
          <w:rFonts w:ascii="Times New Roman" w:hAnsi="Times New Roman" w:cs="Times New Roman"/>
          <w:sz w:val="24"/>
          <w:szCs w:val="24"/>
        </w:rPr>
        <w:t>включенных  в обязате</w:t>
      </w:r>
      <w:r w:rsidR="00E9646F" w:rsidRPr="003D22E8">
        <w:rPr>
          <w:rFonts w:ascii="Times New Roman" w:hAnsi="Times New Roman" w:cs="Times New Roman"/>
          <w:sz w:val="24"/>
          <w:szCs w:val="24"/>
        </w:rPr>
        <w:t>л</w:t>
      </w:r>
      <w:r w:rsidR="006A0F68" w:rsidRPr="003D22E8">
        <w:rPr>
          <w:rFonts w:ascii="Times New Roman" w:hAnsi="Times New Roman" w:cs="Times New Roman"/>
          <w:sz w:val="24"/>
          <w:szCs w:val="24"/>
        </w:rPr>
        <w:t>ьный перечень, в случае, если  в обязательном перечне не определены  значения таких характеристик (свойств) (в том числе предельные</w:t>
      </w:r>
      <w:r w:rsidR="0023555D" w:rsidRPr="003D22E8">
        <w:rPr>
          <w:rFonts w:ascii="Times New Roman" w:hAnsi="Times New Roman" w:cs="Times New Roman"/>
          <w:sz w:val="24"/>
          <w:szCs w:val="24"/>
        </w:rPr>
        <w:t xml:space="preserve"> цены товаров, работ, услуг).</w:t>
      </w:r>
      <w:proofErr w:type="gramEnd"/>
    </w:p>
    <w:p w:rsidR="003D22E8" w:rsidRDefault="00E87AEA" w:rsidP="002D48F6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E8">
        <w:rPr>
          <w:rFonts w:ascii="Times New Roman" w:hAnsi="Times New Roman" w:cs="Times New Roman"/>
          <w:sz w:val="24"/>
          <w:szCs w:val="24"/>
        </w:rPr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</w:t>
      </w:r>
      <w:r w:rsidR="003D22E8">
        <w:rPr>
          <w:rFonts w:ascii="Times New Roman" w:hAnsi="Times New Roman" w:cs="Times New Roman"/>
          <w:sz w:val="24"/>
          <w:szCs w:val="24"/>
        </w:rPr>
        <w:t>ведомствен</w:t>
      </w:r>
      <w:r w:rsidR="00FB0EBE" w:rsidRPr="003D22E8">
        <w:rPr>
          <w:rFonts w:ascii="Times New Roman" w:hAnsi="Times New Roman" w:cs="Times New Roman"/>
          <w:sz w:val="24"/>
          <w:szCs w:val="24"/>
        </w:rPr>
        <w:t>ный</w:t>
      </w:r>
      <w:r w:rsidRPr="003D22E8">
        <w:rPr>
          <w:rFonts w:ascii="Times New Roman" w:hAnsi="Times New Roman" w:cs="Times New Roman"/>
          <w:sz w:val="24"/>
          <w:szCs w:val="24"/>
        </w:rPr>
        <w:t xml:space="preserve"> перечень и закупаемых для руководителей </w:t>
      </w:r>
      <w:r w:rsidR="00A30185">
        <w:rPr>
          <w:rFonts w:ascii="Times New Roman" w:hAnsi="Times New Roman" w:cs="Times New Roman"/>
          <w:sz w:val="24"/>
          <w:szCs w:val="24"/>
        </w:rPr>
        <w:t>бюджетных,</w:t>
      </w:r>
      <w:r w:rsidR="00D6590F" w:rsidRPr="003D22E8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="00A30185" w:rsidRPr="00191A60">
        <w:rPr>
          <w:rFonts w:ascii="Times New Roman" w:hAnsi="Times New Roman" w:cs="Times New Roman"/>
          <w:sz w:val="24"/>
          <w:szCs w:val="24"/>
        </w:rPr>
        <w:t>и унитарны</w:t>
      </w:r>
      <w:r w:rsidR="00A30185">
        <w:rPr>
          <w:rFonts w:ascii="Times New Roman" w:hAnsi="Times New Roman" w:cs="Times New Roman"/>
          <w:sz w:val="24"/>
          <w:szCs w:val="24"/>
        </w:rPr>
        <w:t>х</w:t>
      </w:r>
      <w:r w:rsidR="00A30185" w:rsidRPr="00191A60">
        <w:rPr>
          <w:rFonts w:ascii="Times New Roman" w:hAnsi="Times New Roman" w:cs="Times New Roman"/>
          <w:sz w:val="24"/>
          <w:szCs w:val="24"/>
        </w:rPr>
        <w:t xml:space="preserve">  предприяти</w:t>
      </w:r>
      <w:r w:rsidR="00A30185">
        <w:rPr>
          <w:rFonts w:ascii="Times New Roman" w:hAnsi="Times New Roman" w:cs="Times New Roman"/>
          <w:sz w:val="24"/>
          <w:szCs w:val="24"/>
        </w:rPr>
        <w:t>й</w:t>
      </w:r>
      <w:r w:rsidR="00D6590F" w:rsidRPr="003D22E8">
        <w:rPr>
          <w:rFonts w:ascii="Times New Roman" w:hAnsi="Times New Roman" w:cs="Times New Roman"/>
          <w:sz w:val="24"/>
          <w:szCs w:val="24"/>
        </w:rPr>
        <w:t>, н</w:t>
      </w:r>
      <w:r w:rsidRPr="003D22E8">
        <w:rPr>
          <w:rFonts w:ascii="Times New Roman" w:hAnsi="Times New Roman" w:cs="Times New Roman"/>
          <w:sz w:val="24"/>
          <w:szCs w:val="24"/>
        </w:rPr>
        <w:t xml:space="preserve">е могут превышать </w:t>
      </w:r>
      <w:r w:rsidR="00D6590F" w:rsidRPr="003D22E8">
        <w:rPr>
          <w:rFonts w:ascii="Times New Roman" w:hAnsi="Times New Roman" w:cs="Times New Roman"/>
          <w:sz w:val="24"/>
          <w:szCs w:val="24"/>
        </w:rPr>
        <w:t>(если установлено верхнее предельное значение) значений характеристик (свойств) соответствующих отдельных видов товаров, работ, услуг (в том числе предельных цен товаров, работ, услуг), установленных настоящими Правилами для муниципального  служащего</w:t>
      </w:r>
      <w:proofErr w:type="gramEnd"/>
      <w:r w:rsidR="00D6590F" w:rsidRPr="003D22E8">
        <w:rPr>
          <w:rFonts w:ascii="Times New Roman" w:hAnsi="Times New Roman" w:cs="Times New Roman"/>
          <w:sz w:val="24"/>
          <w:szCs w:val="24"/>
        </w:rPr>
        <w:t xml:space="preserve">, замещающего должность руководителя (заместителя руководителя) органа местного самоуправления или структурного подразделения органа местного самоуправления Сусуманского городского округа, относящуюся к </w:t>
      </w:r>
      <w:r w:rsidR="003D22E8">
        <w:rPr>
          <w:rFonts w:ascii="Times New Roman" w:hAnsi="Times New Roman" w:cs="Times New Roman"/>
          <w:sz w:val="24"/>
          <w:szCs w:val="24"/>
        </w:rPr>
        <w:t>группе должностей</w:t>
      </w:r>
      <w:r w:rsidR="00D6590F" w:rsidRPr="003D22E8">
        <w:rPr>
          <w:rFonts w:ascii="Times New Roman" w:hAnsi="Times New Roman" w:cs="Times New Roman"/>
          <w:sz w:val="24"/>
          <w:szCs w:val="24"/>
        </w:rPr>
        <w:t xml:space="preserve"> «руководители».</w:t>
      </w:r>
    </w:p>
    <w:p w:rsidR="003D22E8" w:rsidRDefault="00020DEA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2E8">
        <w:rPr>
          <w:rFonts w:ascii="Times New Roman" w:hAnsi="Times New Roman" w:cs="Times New Roman"/>
          <w:sz w:val="24"/>
          <w:szCs w:val="24"/>
        </w:rPr>
        <w:lastRenderedPageBreak/>
        <w:t xml:space="preserve">Значения характеристик (свойств) отдельных видов товаров, работ, услуг (в том числе предельные цены товаров, работ, услуг), включенных в </w:t>
      </w:r>
      <w:r w:rsidR="0007521C">
        <w:rPr>
          <w:rFonts w:ascii="Times New Roman" w:hAnsi="Times New Roman" w:cs="Times New Roman"/>
          <w:sz w:val="24"/>
          <w:szCs w:val="24"/>
        </w:rPr>
        <w:t>ведомствен</w:t>
      </w:r>
      <w:r w:rsidR="00FB0EBE" w:rsidRPr="003D22E8">
        <w:rPr>
          <w:rFonts w:ascii="Times New Roman" w:hAnsi="Times New Roman" w:cs="Times New Roman"/>
          <w:sz w:val="24"/>
          <w:szCs w:val="24"/>
        </w:rPr>
        <w:t>ный</w:t>
      </w:r>
      <w:r w:rsidRPr="003D22E8">
        <w:rPr>
          <w:rFonts w:ascii="Times New Roman" w:hAnsi="Times New Roman" w:cs="Times New Roman"/>
          <w:sz w:val="24"/>
          <w:szCs w:val="24"/>
        </w:rPr>
        <w:t xml:space="preserve"> перечень, не могут превышать (если установлено верхнее предельное значение) значений характеристик (св</w:t>
      </w:r>
      <w:r w:rsidR="00FB0EBE" w:rsidRPr="003D22E8">
        <w:rPr>
          <w:rFonts w:ascii="Times New Roman" w:hAnsi="Times New Roman" w:cs="Times New Roman"/>
          <w:sz w:val="24"/>
          <w:szCs w:val="24"/>
        </w:rPr>
        <w:t>ойств) соответствующих отдельных видов</w:t>
      </w:r>
      <w:r w:rsidRPr="003D22E8">
        <w:rPr>
          <w:rFonts w:ascii="Times New Roman" w:hAnsi="Times New Roman" w:cs="Times New Roman"/>
          <w:sz w:val="24"/>
          <w:szCs w:val="24"/>
        </w:rPr>
        <w:t xml:space="preserve"> закупаемых товаров, работ, услуг (в том числе предельных цен товаров, работ, услуг), установленных настоящими Правилами для муниципального служащего, замещающего должность в органе местного самоуправления Сусуманского городского</w:t>
      </w:r>
      <w:proofErr w:type="gramEnd"/>
      <w:r w:rsidRPr="003D22E8">
        <w:rPr>
          <w:rFonts w:ascii="Times New Roman" w:hAnsi="Times New Roman" w:cs="Times New Roman"/>
          <w:sz w:val="24"/>
          <w:szCs w:val="24"/>
        </w:rPr>
        <w:t xml:space="preserve"> округа, </w:t>
      </w:r>
      <w:proofErr w:type="gramStart"/>
      <w:r w:rsidRPr="003D22E8">
        <w:rPr>
          <w:rFonts w:ascii="Times New Roman" w:hAnsi="Times New Roman" w:cs="Times New Roman"/>
          <w:sz w:val="24"/>
          <w:szCs w:val="24"/>
        </w:rPr>
        <w:t>относящуюся</w:t>
      </w:r>
      <w:proofErr w:type="gramEnd"/>
      <w:r w:rsidRPr="003D22E8">
        <w:rPr>
          <w:rFonts w:ascii="Times New Roman" w:hAnsi="Times New Roman" w:cs="Times New Roman"/>
          <w:sz w:val="24"/>
          <w:szCs w:val="24"/>
        </w:rPr>
        <w:t xml:space="preserve"> к </w:t>
      </w:r>
      <w:r w:rsidR="0007521C">
        <w:rPr>
          <w:rFonts w:ascii="Times New Roman" w:hAnsi="Times New Roman" w:cs="Times New Roman"/>
          <w:sz w:val="24"/>
          <w:szCs w:val="24"/>
        </w:rPr>
        <w:t>группе должностей</w:t>
      </w:r>
      <w:r w:rsidRPr="003D22E8">
        <w:rPr>
          <w:rFonts w:ascii="Times New Roman" w:hAnsi="Times New Roman" w:cs="Times New Roman"/>
          <w:sz w:val="24"/>
          <w:szCs w:val="24"/>
        </w:rPr>
        <w:t xml:space="preserve"> «специалисты», в </w:t>
      </w:r>
      <w:r w:rsidR="00463F29">
        <w:rPr>
          <w:rFonts w:ascii="Times New Roman" w:hAnsi="Times New Roman" w:cs="Times New Roman"/>
          <w:sz w:val="24"/>
          <w:szCs w:val="24"/>
        </w:rPr>
        <w:t>отношении работников бюджетных,</w:t>
      </w:r>
      <w:r w:rsidRPr="003D22E8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463F29" w:rsidRPr="00191A60">
        <w:rPr>
          <w:rFonts w:ascii="Times New Roman" w:hAnsi="Times New Roman" w:cs="Times New Roman"/>
          <w:sz w:val="24"/>
          <w:szCs w:val="24"/>
        </w:rPr>
        <w:t>и унитарны</w:t>
      </w:r>
      <w:r w:rsidR="00463F29">
        <w:rPr>
          <w:rFonts w:ascii="Times New Roman" w:hAnsi="Times New Roman" w:cs="Times New Roman"/>
          <w:sz w:val="24"/>
          <w:szCs w:val="24"/>
        </w:rPr>
        <w:t>х</w:t>
      </w:r>
      <w:r w:rsidR="00463F29" w:rsidRPr="00191A60">
        <w:rPr>
          <w:rFonts w:ascii="Times New Roman" w:hAnsi="Times New Roman" w:cs="Times New Roman"/>
          <w:sz w:val="24"/>
          <w:szCs w:val="24"/>
        </w:rPr>
        <w:t xml:space="preserve">  предприяти</w:t>
      </w:r>
      <w:r w:rsidR="00463F29">
        <w:rPr>
          <w:rFonts w:ascii="Times New Roman" w:hAnsi="Times New Roman" w:cs="Times New Roman"/>
          <w:sz w:val="24"/>
          <w:szCs w:val="24"/>
        </w:rPr>
        <w:t>й</w:t>
      </w:r>
      <w:r w:rsidRPr="003D22E8">
        <w:rPr>
          <w:rFonts w:ascii="Times New Roman" w:hAnsi="Times New Roman" w:cs="Times New Roman"/>
          <w:sz w:val="24"/>
          <w:szCs w:val="24"/>
        </w:rPr>
        <w:t>, не относящихся к руководителям.</w:t>
      </w:r>
    </w:p>
    <w:p w:rsidR="003D22E8" w:rsidRDefault="008B0036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3D22E8">
        <w:rPr>
          <w:rFonts w:ascii="Times New Roman" w:hAnsi="Times New Roman" w:cs="Times New Roman"/>
          <w:sz w:val="24"/>
          <w:szCs w:val="24"/>
        </w:rPr>
        <w:t xml:space="preserve">Предельные цены товаров, работ, услуг, установленные </w:t>
      </w:r>
      <w:r w:rsidR="00D967B7">
        <w:rPr>
          <w:rFonts w:ascii="Times New Roman" w:hAnsi="Times New Roman" w:cs="Times New Roman"/>
          <w:sz w:val="24"/>
          <w:szCs w:val="24"/>
        </w:rPr>
        <w:t>настоящими правилами</w:t>
      </w:r>
      <w:r w:rsidRPr="003D22E8">
        <w:rPr>
          <w:rFonts w:ascii="Times New Roman" w:hAnsi="Times New Roman" w:cs="Times New Roman"/>
          <w:sz w:val="24"/>
          <w:szCs w:val="24"/>
        </w:rPr>
        <w:t>, не могут превышать предельные цены товаров, работ, услуг, установленны</w:t>
      </w:r>
      <w:r w:rsidR="005736C8" w:rsidRPr="003D22E8">
        <w:rPr>
          <w:rFonts w:ascii="Times New Roman" w:hAnsi="Times New Roman" w:cs="Times New Roman"/>
          <w:sz w:val="24"/>
          <w:szCs w:val="24"/>
        </w:rPr>
        <w:t>е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D967B7">
        <w:rPr>
          <w:rFonts w:ascii="Times New Roman" w:hAnsi="Times New Roman" w:cs="Times New Roman"/>
          <w:sz w:val="24"/>
          <w:szCs w:val="24"/>
        </w:rPr>
        <w:t>постановлением администрации Сусуманского городского округа</w:t>
      </w:r>
      <w:r w:rsidRPr="003D22E8">
        <w:rPr>
          <w:rFonts w:ascii="Times New Roman" w:hAnsi="Times New Roman" w:cs="Times New Roman"/>
          <w:sz w:val="24"/>
          <w:szCs w:val="24"/>
        </w:rPr>
        <w:t xml:space="preserve"> при утверждении нормативных затрат на обеспечение функций органов местного самоуправления Сусуманского городского округа, включая подведомственные им бюджетные</w:t>
      </w:r>
      <w:r w:rsidR="004E21E9">
        <w:rPr>
          <w:rFonts w:ascii="Times New Roman" w:hAnsi="Times New Roman" w:cs="Times New Roman"/>
          <w:sz w:val="24"/>
          <w:szCs w:val="24"/>
        </w:rPr>
        <w:t xml:space="preserve">, </w:t>
      </w:r>
      <w:r w:rsidRPr="003D22E8">
        <w:rPr>
          <w:rFonts w:ascii="Times New Roman" w:hAnsi="Times New Roman" w:cs="Times New Roman"/>
          <w:sz w:val="24"/>
          <w:szCs w:val="24"/>
        </w:rPr>
        <w:t xml:space="preserve"> казенные учреждения</w:t>
      </w:r>
      <w:r w:rsidR="004E21E9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 w:rsidRPr="003D22E8">
        <w:rPr>
          <w:rFonts w:ascii="Times New Roman" w:hAnsi="Times New Roman" w:cs="Times New Roman"/>
          <w:sz w:val="24"/>
          <w:szCs w:val="24"/>
        </w:rPr>
        <w:t>.</w:t>
      </w:r>
    </w:p>
    <w:p w:rsidR="0023555D" w:rsidRPr="003D22E8" w:rsidRDefault="0023555D" w:rsidP="003D22E8">
      <w:pPr>
        <w:pStyle w:val="a8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3D22E8">
        <w:rPr>
          <w:rFonts w:ascii="Times New Roman" w:hAnsi="Times New Roman" w:cs="Times New Roman"/>
          <w:sz w:val="24"/>
          <w:szCs w:val="24"/>
        </w:rPr>
        <w:t>Отдельные виды товаров, работ, услуг, не вкл</w:t>
      </w:r>
      <w:r w:rsidR="006E528D" w:rsidRPr="003D22E8">
        <w:rPr>
          <w:rFonts w:ascii="Times New Roman" w:hAnsi="Times New Roman" w:cs="Times New Roman"/>
          <w:sz w:val="24"/>
          <w:szCs w:val="24"/>
        </w:rPr>
        <w:t>ю</w:t>
      </w:r>
      <w:r w:rsidRPr="003D22E8">
        <w:rPr>
          <w:rFonts w:ascii="Times New Roman" w:hAnsi="Times New Roman" w:cs="Times New Roman"/>
          <w:sz w:val="24"/>
          <w:szCs w:val="24"/>
        </w:rPr>
        <w:t>ченные в обязате</w:t>
      </w:r>
      <w:r w:rsidR="006E528D" w:rsidRPr="003D22E8">
        <w:rPr>
          <w:rFonts w:ascii="Times New Roman" w:hAnsi="Times New Roman" w:cs="Times New Roman"/>
          <w:sz w:val="24"/>
          <w:szCs w:val="24"/>
        </w:rPr>
        <w:t>л</w:t>
      </w:r>
      <w:r w:rsidRPr="003D22E8">
        <w:rPr>
          <w:rFonts w:ascii="Times New Roman" w:hAnsi="Times New Roman" w:cs="Times New Roman"/>
          <w:sz w:val="24"/>
          <w:szCs w:val="24"/>
        </w:rPr>
        <w:t>ьный перечень, подлежат включению в ведомственный перечень при условии, если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Pr="003D22E8">
        <w:rPr>
          <w:rFonts w:ascii="Times New Roman" w:hAnsi="Times New Roman" w:cs="Times New Roman"/>
          <w:sz w:val="24"/>
          <w:szCs w:val="24"/>
        </w:rPr>
        <w:t>средняя арифметическая сумма значений следующих  критериев превышает 20 процентов:</w:t>
      </w:r>
    </w:p>
    <w:p w:rsidR="0023555D" w:rsidRDefault="0023555D" w:rsidP="0083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расходов </w:t>
      </w:r>
      <w:r w:rsidR="00F46536" w:rsidRPr="00F46536">
        <w:rPr>
          <w:rFonts w:ascii="Times New Roman" w:hAnsi="Times New Roman" w:cs="Times New Roman"/>
          <w:sz w:val="24"/>
          <w:szCs w:val="24"/>
        </w:rPr>
        <w:t>орган</w:t>
      </w:r>
      <w:r w:rsidR="00F46536">
        <w:rPr>
          <w:rFonts w:ascii="Times New Roman" w:hAnsi="Times New Roman" w:cs="Times New Roman"/>
          <w:sz w:val="24"/>
          <w:szCs w:val="24"/>
        </w:rPr>
        <w:t>ов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местного самоуправления, включая подведомственные казенные</w:t>
      </w:r>
      <w:r w:rsidR="006D396D">
        <w:rPr>
          <w:rFonts w:ascii="Times New Roman" w:hAnsi="Times New Roman" w:cs="Times New Roman"/>
          <w:sz w:val="24"/>
          <w:szCs w:val="24"/>
        </w:rPr>
        <w:t>,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4E21E9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843CD1">
        <w:rPr>
          <w:rFonts w:ascii="Times New Roman" w:hAnsi="Times New Roman" w:cs="Times New Roman"/>
          <w:sz w:val="24"/>
          <w:szCs w:val="24"/>
        </w:rPr>
        <w:t>на приобретение отдельного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843C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 за отчетный финансовый год в общем объеме расходов</w:t>
      </w:r>
      <w:r w:rsidR="00F46536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F46536" w:rsidRPr="00F46536">
        <w:rPr>
          <w:rFonts w:ascii="Times New Roman" w:hAnsi="Times New Roman" w:cs="Times New Roman"/>
          <w:sz w:val="24"/>
          <w:szCs w:val="24"/>
        </w:rPr>
        <w:t>орган</w:t>
      </w:r>
      <w:r w:rsidR="00F46536">
        <w:rPr>
          <w:rFonts w:ascii="Times New Roman" w:hAnsi="Times New Roman" w:cs="Times New Roman"/>
          <w:sz w:val="24"/>
          <w:szCs w:val="24"/>
        </w:rPr>
        <w:t>а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местного самоуправления, подведомственны</w:t>
      </w:r>
      <w:r w:rsidR="00F46536">
        <w:rPr>
          <w:rFonts w:ascii="Times New Roman" w:hAnsi="Times New Roman" w:cs="Times New Roman"/>
          <w:sz w:val="24"/>
          <w:szCs w:val="24"/>
        </w:rPr>
        <w:t>х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F46536">
        <w:rPr>
          <w:rFonts w:ascii="Times New Roman" w:hAnsi="Times New Roman" w:cs="Times New Roman"/>
          <w:sz w:val="24"/>
          <w:szCs w:val="24"/>
        </w:rPr>
        <w:t>х</w:t>
      </w:r>
      <w:r w:rsidR="004E21E9">
        <w:rPr>
          <w:rFonts w:ascii="Times New Roman" w:hAnsi="Times New Roman" w:cs="Times New Roman"/>
          <w:sz w:val="24"/>
          <w:szCs w:val="24"/>
        </w:rPr>
        <w:t>,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46536">
        <w:rPr>
          <w:rFonts w:ascii="Times New Roman" w:hAnsi="Times New Roman" w:cs="Times New Roman"/>
          <w:sz w:val="24"/>
          <w:szCs w:val="24"/>
        </w:rPr>
        <w:t>х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46536">
        <w:rPr>
          <w:rFonts w:ascii="Times New Roman" w:hAnsi="Times New Roman" w:cs="Times New Roman"/>
          <w:sz w:val="24"/>
          <w:szCs w:val="24"/>
        </w:rPr>
        <w:t>й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4E21E9" w:rsidRPr="00191A60">
        <w:rPr>
          <w:rFonts w:ascii="Times New Roman" w:hAnsi="Times New Roman" w:cs="Times New Roman"/>
          <w:sz w:val="24"/>
          <w:szCs w:val="24"/>
        </w:rPr>
        <w:t>и унитарны</w:t>
      </w:r>
      <w:r w:rsidR="004E21E9">
        <w:rPr>
          <w:rFonts w:ascii="Times New Roman" w:hAnsi="Times New Roman" w:cs="Times New Roman"/>
          <w:sz w:val="24"/>
          <w:szCs w:val="24"/>
        </w:rPr>
        <w:t>х</w:t>
      </w:r>
      <w:r w:rsidR="004E21E9" w:rsidRPr="00191A60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4E21E9">
        <w:rPr>
          <w:rFonts w:ascii="Times New Roman" w:hAnsi="Times New Roman" w:cs="Times New Roman"/>
          <w:sz w:val="24"/>
          <w:szCs w:val="24"/>
        </w:rPr>
        <w:t xml:space="preserve">й </w:t>
      </w:r>
      <w:r w:rsidR="003A747E">
        <w:rPr>
          <w:rFonts w:ascii="Times New Roman" w:hAnsi="Times New Roman" w:cs="Times New Roman"/>
          <w:sz w:val="24"/>
          <w:szCs w:val="24"/>
        </w:rPr>
        <w:t>на приобретение товаров, работ</w:t>
      </w:r>
      <w:r w:rsidR="006E528D">
        <w:rPr>
          <w:rFonts w:ascii="Times New Roman" w:hAnsi="Times New Roman" w:cs="Times New Roman"/>
          <w:sz w:val="24"/>
          <w:szCs w:val="24"/>
        </w:rPr>
        <w:t xml:space="preserve">,  услуг </w:t>
      </w:r>
      <w:r w:rsidR="003A747E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  <w:proofErr w:type="gramEnd"/>
    </w:p>
    <w:p w:rsidR="003A747E" w:rsidRDefault="003A747E" w:rsidP="0083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67D4">
        <w:rPr>
          <w:rFonts w:ascii="Times New Roman" w:hAnsi="Times New Roman" w:cs="Times New Roman"/>
          <w:sz w:val="24"/>
          <w:szCs w:val="24"/>
        </w:rPr>
        <w:t>2)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Pr="008F67D4">
        <w:rPr>
          <w:rFonts w:ascii="Times New Roman" w:hAnsi="Times New Roman" w:cs="Times New Roman"/>
          <w:sz w:val="24"/>
          <w:szCs w:val="24"/>
        </w:rPr>
        <w:t xml:space="preserve">доля контрактов </w:t>
      </w:r>
      <w:r w:rsidR="00E9646F" w:rsidRPr="008F67D4">
        <w:rPr>
          <w:rFonts w:ascii="Times New Roman" w:hAnsi="Times New Roman" w:cs="Times New Roman"/>
          <w:sz w:val="24"/>
          <w:szCs w:val="24"/>
        </w:rPr>
        <w:t xml:space="preserve">(договоров) </w:t>
      </w:r>
      <w:r w:rsidR="00F46536" w:rsidRPr="008F67D4">
        <w:rPr>
          <w:rFonts w:ascii="Times New Roman" w:hAnsi="Times New Roman" w:cs="Times New Roman"/>
          <w:sz w:val="24"/>
          <w:szCs w:val="24"/>
        </w:rPr>
        <w:t>органов местного самоуправления, включая подведомственные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казенные</w:t>
      </w:r>
      <w:r w:rsidR="008F67D4">
        <w:rPr>
          <w:rFonts w:ascii="Times New Roman" w:hAnsi="Times New Roman" w:cs="Times New Roman"/>
          <w:sz w:val="24"/>
          <w:szCs w:val="24"/>
        </w:rPr>
        <w:t>,</w:t>
      </w:r>
      <w:r w:rsidR="00F46536" w:rsidRPr="00F46536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8F67D4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приобретение отдельного вида товаров, работ,</w:t>
      </w:r>
      <w:r w:rsidR="00A546A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слуг для </w:t>
      </w:r>
      <w:r w:rsidR="00844AED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4C79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89" w:rsidRPr="003F1689">
        <w:rPr>
          <w:rFonts w:ascii="Times New Roman" w:hAnsi="Times New Roman" w:cs="Times New Roman"/>
          <w:sz w:val="24"/>
          <w:szCs w:val="24"/>
        </w:rPr>
        <w:t xml:space="preserve">заключенных </w:t>
      </w:r>
      <w:r>
        <w:rPr>
          <w:rFonts w:ascii="Times New Roman" w:hAnsi="Times New Roman" w:cs="Times New Roman"/>
          <w:sz w:val="24"/>
          <w:szCs w:val="24"/>
        </w:rPr>
        <w:t xml:space="preserve">в отчетном финансовом году, в общем количестве </w:t>
      </w:r>
      <w:r w:rsidR="00A546AE">
        <w:rPr>
          <w:rFonts w:ascii="Times New Roman" w:hAnsi="Times New Roman" w:cs="Times New Roman"/>
          <w:sz w:val="24"/>
          <w:szCs w:val="24"/>
        </w:rPr>
        <w:t xml:space="preserve"> контрактов</w:t>
      </w:r>
      <w:r w:rsidR="003F1689">
        <w:rPr>
          <w:rFonts w:ascii="Times New Roman" w:hAnsi="Times New Roman" w:cs="Times New Roman"/>
          <w:sz w:val="24"/>
          <w:szCs w:val="24"/>
        </w:rPr>
        <w:t>,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3F1689" w:rsidRPr="003F1689">
        <w:rPr>
          <w:rFonts w:ascii="Times New Roman" w:hAnsi="Times New Roman" w:cs="Times New Roman"/>
          <w:sz w:val="24"/>
          <w:szCs w:val="24"/>
        </w:rPr>
        <w:t>заключенных этими органами местного самоуправления, подведомственными казенными</w:t>
      </w:r>
      <w:r w:rsidR="008F67D4">
        <w:rPr>
          <w:rFonts w:ascii="Times New Roman" w:hAnsi="Times New Roman" w:cs="Times New Roman"/>
          <w:sz w:val="24"/>
          <w:szCs w:val="24"/>
        </w:rPr>
        <w:t xml:space="preserve">, </w:t>
      </w:r>
      <w:r w:rsidR="003F1689" w:rsidRPr="003F1689">
        <w:rPr>
          <w:rFonts w:ascii="Times New Roman" w:hAnsi="Times New Roman" w:cs="Times New Roman"/>
          <w:sz w:val="24"/>
          <w:szCs w:val="24"/>
        </w:rPr>
        <w:t xml:space="preserve"> бюджетными учреждениями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8F67D4" w:rsidRPr="00191A60">
        <w:rPr>
          <w:rFonts w:ascii="Times New Roman" w:hAnsi="Times New Roman" w:cs="Times New Roman"/>
          <w:sz w:val="24"/>
          <w:szCs w:val="24"/>
        </w:rPr>
        <w:t>и унитарны</w:t>
      </w:r>
      <w:r w:rsidR="008F67D4">
        <w:rPr>
          <w:rFonts w:ascii="Times New Roman" w:hAnsi="Times New Roman" w:cs="Times New Roman"/>
          <w:sz w:val="24"/>
          <w:szCs w:val="24"/>
        </w:rPr>
        <w:t>ми</w:t>
      </w:r>
      <w:r w:rsidR="008F67D4" w:rsidRPr="00191A60">
        <w:rPr>
          <w:rFonts w:ascii="Times New Roman" w:hAnsi="Times New Roman" w:cs="Times New Roman"/>
          <w:sz w:val="24"/>
          <w:szCs w:val="24"/>
        </w:rPr>
        <w:t xml:space="preserve">  предприятия</w:t>
      </w:r>
      <w:r w:rsidR="008F67D4">
        <w:rPr>
          <w:rFonts w:ascii="Times New Roman" w:hAnsi="Times New Roman" w:cs="Times New Roman"/>
          <w:sz w:val="24"/>
          <w:szCs w:val="24"/>
        </w:rPr>
        <w:t xml:space="preserve">ми </w:t>
      </w:r>
      <w:r w:rsidR="00A546AE">
        <w:rPr>
          <w:rFonts w:ascii="Times New Roman" w:hAnsi="Times New Roman" w:cs="Times New Roman"/>
          <w:sz w:val="24"/>
          <w:szCs w:val="24"/>
        </w:rPr>
        <w:t>на приобретение товаров, работ, услуг,  в отчетном финансовом году.</w:t>
      </w:r>
      <w:proofErr w:type="gramEnd"/>
    </w:p>
    <w:p w:rsidR="00835510" w:rsidRPr="00406B2C" w:rsidRDefault="00235683" w:rsidP="00304853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35683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5683">
        <w:rPr>
          <w:rFonts w:ascii="Times New Roman" w:hAnsi="Times New Roman" w:cs="Times New Roman"/>
          <w:sz w:val="24"/>
          <w:szCs w:val="24"/>
        </w:rPr>
        <w:t xml:space="preserve"> местного самоуправления, включая подведомственные казенные</w:t>
      </w:r>
      <w:r w:rsidR="008F67D4">
        <w:rPr>
          <w:rFonts w:ascii="Times New Roman" w:hAnsi="Times New Roman" w:cs="Times New Roman"/>
          <w:sz w:val="24"/>
          <w:szCs w:val="24"/>
        </w:rPr>
        <w:t>,</w:t>
      </w:r>
      <w:r w:rsidRPr="00235683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8F67D4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r w:rsidR="008B0036" w:rsidRPr="00406B2C">
        <w:rPr>
          <w:rFonts w:ascii="Times New Roman" w:hAnsi="Times New Roman" w:cs="Times New Roman"/>
          <w:sz w:val="24"/>
          <w:szCs w:val="24"/>
        </w:rPr>
        <w:t>п</w:t>
      </w:r>
      <w:r w:rsidR="00A546AE" w:rsidRPr="00406B2C">
        <w:rPr>
          <w:rFonts w:ascii="Times New Roman" w:hAnsi="Times New Roman" w:cs="Times New Roman"/>
          <w:sz w:val="24"/>
          <w:szCs w:val="24"/>
        </w:rPr>
        <w:t>ри включении</w:t>
      </w:r>
      <w:r w:rsidR="008E5D70" w:rsidRPr="00406B2C">
        <w:rPr>
          <w:rFonts w:ascii="Times New Roman" w:hAnsi="Times New Roman" w:cs="Times New Roman"/>
          <w:sz w:val="24"/>
          <w:szCs w:val="24"/>
        </w:rPr>
        <w:t xml:space="preserve"> в ведомственный перечень отде</w:t>
      </w:r>
      <w:r w:rsidR="006E528D" w:rsidRPr="00406B2C">
        <w:rPr>
          <w:rFonts w:ascii="Times New Roman" w:hAnsi="Times New Roman" w:cs="Times New Roman"/>
          <w:sz w:val="24"/>
          <w:szCs w:val="24"/>
        </w:rPr>
        <w:t>л</w:t>
      </w:r>
      <w:r w:rsidR="008E5D70" w:rsidRPr="00406B2C">
        <w:rPr>
          <w:rFonts w:ascii="Times New Roman" w:hAnsi="Times New Roman" w:cs="Times New Roman"/>
          <w:sz w:val="24"/>
          <w:szCs w:val="24"/>
        </w:rPr>
        <w:t>ьных видов товаров, работ, услуг, не  указанных в обязате</w:t>
      </w:r>
      <w:r w:rsidR="00516314" w:rsidRPr="00406B2C">
        <w:rPr>
          <w:rFonts w:ascii="Times New Roman" w:hAnsi="Times New Roman" w:cs="Times New Roman"/>
          <w:sz w:val="24"/>
          <w:szCs w:val="24"/>
        </w:rPr>
        <w:t>льном перечне,  при</w:t>
      </w:r>
      <w:r w:rsidR="008E5D70" w:rsidRPr="00406B2C">
        <w:rPr>
          <w:rFonts w:ascii="Times New Roman" w:hAnsi="Times New Roman" w:cs="Times New Roman"/>
          <w:sz w:val="24"/>
          <w:szCs w:val="24"/>
        </w:rPr>
        <w:t xml:space="preserve">меняют установленные пунктом </w:t>
      </w:r>
      <w:r w:rsidR="008B0036" w:rsidRPr="00406B2C">
        <w:rPr>
          <w:rFonts w:ascii="Times New Roman" w:hAnsi="Times New Roman" w:cs="Times New Roman"/>
          <w:sz w:val="24"/>
          <w:szCs w:val="24"/>
        </w:rPr>
        <w:t>9</w:t>
      </w:r>
      <w:r w:rsidR="008E5D70" w:rsidRPr="00406B2C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</w:t>
      </w:r>
      <w:r w:rsidR="006E528D" w:rsidRPr="00406B2C">
        <w:rPr>
          <w:rFonts w:ascii="Times New Roman" w:hAnsi="Times New Roman" w:cs="Times New Roman"/>
          <w:sz w:val="24"/>
          <w:szCs w:val="24"/>
        </w:rPr>
        <w:t>ходя  из определения их значени</w:t>
      </w:r>
      <w:r w:rsidR="008E5D70" w:rsidRPr="00406B2C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8E5D70" w:rsidRPr="00406B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3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D70" w:rsidRPr="00406B2C">
        <w:rPr>
          <w:rFonts w:ascii="Times New Roman" w:hAnsi="Times New Roman" w:cs="Times New Roman"/>
          <w:sz w:val="24"/>
          <w:szCs w:val="24"/>
        </w:rPr>
        <w:t>процентом</w:t>
      </w:r>
      <w:proofErr w:type="gramEnd"/>
      <w:r w:rsidR="008E5D70" w:rsidRPr="00406B2C">
        <w:rPr>
          <w:rFonts w:ascii="Times New Roman" w:hAnsi="Times New Roman" w:cs="Times New Roman"/>
          <w:sz w:val="24"/>
          <w:szCs w:val="24"/>
        </w:rPr>
        <w:t xml:space="preserve"> отношении к объему осуществляемых </w:t>
      </w:r>
      <w:r w:rsidR="008B0036" w:rsidRPr="00406B2C">
        <w:rPr>
          <w:rFonts w:ascii="Times New Roman" w:hAnsi="Times New Roman" w:cs="Times New Roman"/>
          <w:sz w:val="24"/>
          <w:szCs w:val="24"/>
        </w:rPr>
        <w:t xml:space="preserve">заказчиками </w:t>
      </w:r>
      <w:r w:rsidR="006E528D" w:rsidRPr="00406B2C">
        <w:rPr>
          <w:rFonts w:ascii="Times New Roman" w:hAnsi="Times New Roman" w:cs="Times New Roman"/>
          <w:sz w:val="24"/>
          <w:szCs w:val="24"/>
        </w:rPr>
        <w:t>закупок.</w:t>
      </w:r>
    </w:p>
    <w:p w:rsidR="00924078" w:rsidRPr="00406B2C" w:rsidRDefault="006E528D" w:rsidP="00304853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406B2C">
        <w:rPr>
          <w:rFonts w:ascii="Times New Roman" w:hAnsi="Times New Roman" w:cs="Times New Roman"/>
          <w:sz w:val="24"/>
          <w:szCs w:val="24"/>
        </w:rPr>
        <w:t>В целях формирования в</w:t>
      </w:r>
      <w:r w:rsidR="00924078" w:rsidRPr="00406B2C">
        <w:rPr>
          <w:rFonts w:ascii="Times New Roman" w:hAnsi="Times New Roman" w:cs="Times New Roman"/>
          <w:sz w:val="24"/>
          <w:szCs w:val="24"/>
        </w:rPr>
        <w:t xml:space="preserve">едомственного перечня </w:t>
      </w:r>
      <w:r w:rsidR="00406B2C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8B0036" w:rsidRPr="00406B2C">
        <w:rPr>
          <w:rFonts w:ascii="Times New Roman" w:hAnsi="Times New Roman" w:cs="Times New Roman"/>
          <w:sz w:val="24"/>
          <w:szCs w:val="24"/>
        </w:rPr>
        <w:t xml:space="preserve"> вправе определять </w:t>
      </w:r>
      <w:r w:rsidR="00924078" w:rsidRPr="00406B2C">
        <w:rPr>
          <w:rFonts w:ascii="Times New Roman" w:hAnsi="Times New Roman" w:cs="Times New Roman"/>
          <w:sz w:val="24"/>
          <w:szCs w:val="24"/>
        </w:rPr>
        <w:t xml:space="preserve">дополнительные критерии отбора отдельных видов товаров, работ, услуг и порядок их применения, не  приводящие к сокращению значения критериев, установленных пунктом </w:t>
      </w:r>
      <w:r w:rsidR="008B0036" w:rsidRPr="00406B2C">
        <w:rPr>
          <w:rFonts w:ascii="Times New Roman" w:hAnsi="Times New Roman" w:cs="Times New Roman"/>
          <w:sz w:val="24"/>
          <w:szCs w:val="24"/>
        </w:rPr>
        <w:t>9</w:t>
      </w:r>
      <w:r w:rsidR="00924078" w:rsidRPr="00406B2C">
        <w:rPr>
          <w:rFonts w:ascii="Times New Roman" w:hAnsi="Times New Roman" w:cs="Times New Roman"/>
          <w:sz w:val="24"/>
          <w:szCs w:val="24"/>
        </w:rPr>
        <w:t xml:space="preserve"> настоящих  Правил.</w:t>
      </w:r>
    </w:p>
    <w:p w:rsidR="008B0036" w:rsidRPr="00406B2C" w:rsidRDefault="00304853" w:rsidP="00304853">
      <w:pPr>
        <w:pStyle w:val="a8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4853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8B0036" w:rsidRPr="00406B2C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924078" w:rsidRDefault="00924078" w:rsidP="0083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4C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отдельные виды товаров, работ, услуг, не указанные в обязательном перечне и не соответствующие критериям, указанным в пункте</w:t>
      </w:r>
      <w:r w:rsidR="008B0036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24078" w:rsidRDefault="00924078" w:rsidP="0083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="004C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105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рактери</w:t>
      </w:r>
      <w:r w:rsidR="003F5051">
        <w:rPr>
          <w:rFonts w:ascii="Times New Roman" w:hAnsi="Times New Roman" w:cs="Times New Roman"/>
          <w:sz w:val="24"/>
          <w:szCs w:val="24"/>
        </w:rPr>
        <w:t xml:space="preserve">стики (свойства) товаров, работ, </w:t>
      </w:r>
      <w:r>
        <w:rPr>
          <w:rFonts w:ascii="Times New Roman" w:hAnsi="Times New Roman" w:cs="Times New Roman"/>
          <w:sz w:val="24"/>
          <w:szCs w:val="24"/>
        </w:rPr>
        <w:t>услуг, не включенные в обязательный перечень и не приводящие к необоснованным ограничениям количества участников закупки;</w:t>
      </w:r>
    </w:p>
    <w:p w:rsidR="00510552" w:rsidRDefault="00510552" w:rsidP="002D48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</w:t>
      </w:r>
      <w:r w:rsidR="00D568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 понимается цель и условия использования  (применения) товара,  позволяющие  товару выполнить свое основное назначение, вспом</w:t>
      </w:r>
      <w:r w:rsidR="003F50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гательные функции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(выполнения соответствующих функций, работ,  оказание со</w:t>
      </w:r>
      <w:r w:rsidR="003F50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тветству</w:t>
      </w:r>
      <w:r w:rsidR="003F505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 услуг,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территориальные, климатические факторы и другое).</w:t>
      </w:r>
    </w:p>
    <w:p w:rsidR="008F67D4" w:rsidRPr="008F67D4" w:rsidRDefault="008F67D4" w:rsidP="00DF242D">
      <w:pPr>
        <w:pStyle w:val="a8"/>
        <w:numPr>
          <w:ilvl w:val="0"/>
          <w:numId w:val="3"/>
        </w:num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отдельным видам товаров, работ, услуг, закупаемым казенными, бюджетными учреждениями и унитарными предприятиями,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AF3F93" w:rsidRPr="00DF242D" w:rsidRDefault="008B0036" w:rsidP="00DF242D">
      <w:pPr>
        <w:pStyle w:val="a8"/>
        <w:numPr>
          <w:ilvl w:val="0"/>
          <w:numId w:val="3"/>
        </w:numPr>
        <w:spacing w:after="0" w:line="240" w:lineRule="auto"/>
        <w:ind w:left="0"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2D">
        <w:rPr>
          <w:rFonts w:ascii="Times New Roman" w:hAnsi="Times New Roman" w:cs="Times New Roman"/>
          <w:sz w:val="24"/>
          <w:szCs w:val="24"/>
        </w:rPr>
        <w:t xml:space="preserve">Значения потребительских свойств и иных характеристик (в том числе предельные цены) отдельных </w:t>
      </w:r>
      <w:r w:rsidR="00A02328" w:rsidRPr="00DF242D">
        <w:rPr>
          <w:rFonts w:ascii="Times New Roman" w:eastAsia="Times New Roman" w:hAnsi="Times New Roman" w:cs="Times New Roman"/>
          <w:sz w:val="24"/>
          <w:szCs w:val="24"/>
        </w:rPr>
        <w:t>видов товаров, работ, услуг</w:t>
      </w:r>
      <w:r w:rsidR="00AF3F93" w:rsidRPr="00DF242D">
        <w:rPr>
          <w:rFonts w:ascii="Times New Roman" w:eastAsia="Times New Roman" w:hAnsi="Times New Roman" w:cs="Times New Roman"/>
          <w:sz w:val="24"/>
          <w:szCs w:val="24"/>
        </w:rPr>
        <w:t>, включенных в ведомственный перечень, устанавливаются:</w:t>
      </w:r>
    </w:p>
    <w:p w:rsidR="00AF3F93" w:rsidRDefault="00AF3F93" w:rsidP="00AF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4C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учетом групп должностей работников</w:t>
      </w:r>
      <w:r w:rsidR="004C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42D">
        <w:t>о</w:t>
      </w:r>
      <w:r w:rsidR="00DF242D" w:rsidRPr="00DF242D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DF242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F242D" w:rsidRPr="00DF242D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включая подведомственные казенные</w:t>
      </w:r>
      <w:r w:rsidR="008F67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42D" w:rsidRPr="00DF242D">
        <w:rPr>
          <w:rFonts w:ascii="Times New Roman" w:eastAsia="Times New Roman" w:hAnsi="Times New Roman" w:cs="Times New Roman"/>
          <w:sz w:val="24"/>
          <w:szCs w:val="24"/>
        </w:rPr>
        <w:t xml:space="preserve"> бюджетные учреждения</w:t>
      </w:r>
      <w:r w:rsidR="004C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7D4" w:rsidRPr="00191A60">
        <w:rPr>
          <w:rFonts w:ascii="Times New Roman" w:hAnsi="Times New Roman" w:cs="Times New Roman"/>
          <w:sz w:val="24"/>
          <w:szCs w:val="24"/>
        </w:rPr>
        <w:t>и унитарные 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, е</w:t>
      </w:r>
      <w:r w:rsidR="00DF242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затраты на приобретение отдельных видов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работ, услуг в соответствии с Правилами определения нормативных затрат на обеспечение функций </w:t>
      </w:r>
      <w:r w:rsidR="00970CD7">
        <w:rPr>
          <w:rFonts w:ascii="Times New Roman" w:hAnsi="Times New Roman" w:cs="Times New Roman"/>
          <w:sz w:val="24"/>
          <w:szCs w:val="24"/>
        </w:rPr>
        <w:t>органов</w:t>
      </w:r>
      <w:r w:rsidR="00DF242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70CD7">
        <w:rPr>
          <w:rFonts w:ascii="Times New Roman" w:hAnsi="Times New Roman" w:cs="Times New Roman"/>
          <w:sz w:val="24"/>
          <w:szCs w:val="24"/>
        </w:rPr>
        <w:t>, их подведомственных казенных</w:t>
      </w:r>
      <w:r w:rsidR="004C79B4">
        <w:rPr>
          <w:rFonts w:ascii="Times New Roman" w:hAnsi="Times New Roman" w:cs="Times New Roman"/>
          <w:sz w:val="24"/>
          <w:szCs w:val="24"/>
        </w:rPr>
        <w:t>, бюджетных</w:t>
      </w:r>
      <w:r w:rsidR="00970CD7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8F67D4">
        <w:rPr>
          <w:rFonts w:ascii="Times New Roman" w:hAnsi="Times New Roman" w:cs="Times New Roman"/>
          <w:sz w:val="24"/>
          <w:szCs w:val="24"/>
        </w:rPr>
        <w:t xml:space="preserve"> и </w:t>
      </w:r>
      <w:r w:rsidR="008F67D4" w:rsidRPr="00191A60">
        <w:rPr>
          <w:rFonts w:ascii="Times New Roman" w:hAnsi="Times New Roman" w:cs="Times New Roman"/>
          <w:sz w:val="24"/>
          <w:szCs w:val="24"/>
        </w:rPr>
        <w:t>унитарны</w:t>
      </w:r>
      <w:r w:rsidR="008F67D4">
        <w:rPr>
          <w:rFonts w:ascii="Times New Roman" w:hAnsi="Times New Roman" w:cs="Times New Roman"/>
          <w:sz w:val="24"/>
          <w:szCs w:val="24"/>
        </w:rPr>
        <w:t>х</w:t>
      </w:r>
      <w:r w:rsidR="008F67D4" w:rsidRPr="00191A60">
        <w:rPr>
          <w:rFonts w:ascii="Times New Roman" w:hAnsi="Times New Roman" w:cs="Times New Roman"/>
          <w:sz w:val="24"/>
          <w:szCs w:val="24"/>
        </w:rPr>
        <w:t xml:space="preserve">  предприяти</w:t>
      </w:r>
      <w:r w:rsidR="008F67D4">
        <w:rPr>
          <w:rFonts w:ascii="Times New Roman" w:hAnsi="Times New Roman" w:cs="Times New Roman"/>
          <w:sz w:val="24"/>
          <w:szCs w:val="24"/>
        </w:rPr>
        <w:t>й</w:t>
      </w:r>
      <w:r w:rsidR="00DF242D">
        <w:rPr>
          <w:rFonts w:ascii="Times New Roman" w:hAnsi="Times New Roman" w:cs="Times New Roman"/>
          <w:sz w:val="24"/>
          <w:szCs w:val="24"/>
        </w:rPr>
        <w:t>, утвержденные постановлением 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 определения нормативных затрат), определяются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учетом групп должностей работников;</w:t>
      </w:r>
    </w:p>
    <w:p w:rsidR="00AF3F93" w:rsidRDefault="00AF3F93" w:rsidP="00AF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C7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групп должностей работников, если затраты на их приобретение в соответствии с Правилами определения нормативных затрат не определяются с учетом групп должностей работников</w:t>
      </w:r>
      <w:r w:rsidR="00F129DF">
        <w:rPr>
          <w:rFonts w:ascii="Times New Roman" w:hAnsi="Times New Roman" w:cs="Times New Roman"/>
          <w:sz w:val="24"/>
          <w:szCs w:val="24"/>
        </w:rPr>
        <w:t xml:space="preserve">, в случае принятия соответствующего решения </w:t>
      </w:r>
      <w:r w:rsidR="007C344B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F129DF">
        <w:rPr>
          <w:rFonts w:ascii="Times New Roman" w:hAnsi="Times New Roman" w:cs="Times New Roman"/>
          <w:sz w:val="24"/>
          <w:szCs w:val="24"/>
        </w:rPr>
        <w:t>.</w:t>
      </w:r>
    </w:p>
    <w:p w:rsidR="002073B9" w:rsidRPr="000233F8" w:rsidRDefault="002073B9" w:rsidP="000233F8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3F8">
        <w:rPr>
          <w:rFonts w:ascii="Times New Roman" w:hAnsi="Times New Roman" w:cs="Times New Roman"/>
          <w:sz w:val="24"/>
          <w:szCs w:val="24"/>
        </w:rPr>
        <w:t>Обязательный перечень и ведомственный перечень формируются с учетом:</w:t>
      </w:r>
    </w:p>
    <w:p w:rsidR="000F690E" w:rsidRDefault="000F690E" w:rsidP="00AF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положений технических регламентов, стандартов и иных положений, предусмотренных законодательством Российской  Федерации, в том числе 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  </w:t>
      </w:r>
    </w:p>
    <w:p w:rsidR="000F690E" w:rsidRDefault="000F690E" w:rsidP="00AF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положений статьи 33 Федерального закона от 05.04.201</w:t>
      </w:r>
      <w:r w:rsidR="00365E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№44-ФЗ «</w:t>
      </w:r>
      <w:r w:rsidR="001328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нужд»;</w:t>
      </w:r>
    </w:p>
    <w:p w:rsidR="000F690E" w:rsidRDefault="000F690E" w:rsidP="00AF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принципа обеспечения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конкуренции, </w:t>
      </w:r>
      <w:r w:rsidR="001328FC">
        <w:rPr>
          <w:rFonts w:ascii="Times New Roman" w:hAnsi="Times New Roman" w:cs="Times New Roman"/>
          <w:sz w:val="24"/>
          <w:szCs w:val="24"/>
        </w:rPr>
        <w:t>определенного статьей 8 Федерального закона от 05.04.201</w:t>
      </w:r>
      <w:r w:rsidR="00365EB7">
        <w:rPr>
          <w:rFonts w:ascii="Times New Roman" w:hAnsi="Times New Roman" w:cs="Times New Roman"/>
          <w:sz w:val="24"/>
          <w:szCs w:val="24"/>
        </w:rPr>
        <w:t>3</w:t>
      </w:r>
      <w:r w:rsidR="001328FC">
        <w:rPr>
          <w:rFonts w:ascii="Times New Roman" w:hAnsi="Times New Roman" w:cs="Times New Roman"/>
          <w:sz w:val="24"/>
          <w:szCs w:val="24"/>
        </w:rPr>
        <w:t xml:space="preserve"> г. №44-ФЗ  «О контрактной системе в сфере закупок товаров, работ, услуг для обеспечения государственных и муниципальных нужд».</w:t>
      </w:r>
    </w:p>
    <w:p w:rsidR="001328FC" w:rsidRPr="000233F8" w:rsidRDefault="001328FC" w:rsidP="000233F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233F8">
        <w:rPr>
          <w:rFonts w:ascii="Times New Roman" w:hAnsi="Times New Roman" w:cs="Times New Roman"/>
          <w:sz w:val="24"/>
          <w:szCs w:val="24"/>
        </w:rPr>
        <w:t>Ведомственный перечень формируется с учетом функционального назначения товара и долж</w:t>
      </w:r>
      <w:r w:rsidR="00933C50" w:rsidRPr="000233F8">
        <w:rPr>
          <w:rFonts w:ascii="Times New Roman" w:hAnsi="Times New Roman" w:cs="Times New Roman"/>
          <w:sz w:val="24"/>
          <w:szCs w:val="24"/>
        </w:rPr>
        <w:t>е</w:t>
      </w:r>
      <w:r w:rsidRPr="000233F8">
        <w:rPr>
          <w:rFonts w:ascii="Times New Roman" w:hAnsi="Times New Roman" w:cs="Times New Roman"/>
          <w:sz w:val="24"/>
          <w:szCs w:val="24"/>
        </w:rPr>
        <w:t>н содержать одну или несколько следующих характеристик в отношении каждого отдельного вида  товаров, работ, услуг:</w:t>
      </w:r>
    </w:p>
    <w:p w:rsidR="001328FC" w:rsidRDefault="001328FC" w:rsidP="000233F8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потребительские свойства (в том числе качество и иные характеристики);</w:t>
      </w:r>
    </w:p>
    <w:p w:rsidR="001328FC" w:rsidRDefault="001328FC" w:rsidP="000233F8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характеристики (свойства), не являющиеся потребительскими свойствами;</w:t>
      </w:r>
    </w:p>
    <w:p w:rsidR="001328FC" w:rsidRDefault="001328FC" w:rsidP="000233F8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предельные цены товаров, работ, услуг.</w:t>
      </w:r>
    </w:p>
    <w:p w:rsidR="001328FC" w:rsidRPr="000233F8" w:rsidRDefault="00B46631" w:rsidP="000233F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233F8">
        <w:rPr>
          <w:rFonts w:ascii="Times New Roman" w:hAnsi="Times New Roman" w:cs="Times New Roman"/>
          <w:sz w:val="24"/>
          <w:szCs w:val="24"/>
        </w:rPr>
        <w:t>Используемые при формировании обязательного</w:t>
      </w:r>
      <w:r w:rsidR="00F979A2">
        <w:rPr>
          <w:rFonts w:ascii="Times New Roman" w:hAnsi="Times New Roman" w:cs="Times New Roman"/>
          <w:sz w:val="24"/>
          <w:szCs w:val="24"/>
        </w:rPr>
        <w:t xml:space="preserve"> </w:t>
      </w:r>
      <w:r w:rsidR="001328FC" w:rsidRPr="000233F8">
        <w:rPr>
          <w:rFonts w:ascii="Times New Roman" w:hAnsi="Times New Roman" w:cs="Times New Roman"/>
          <w:sz w:val="24"/>
          <w:szCs w:val="24"/>
        </w:rPr>
        <w:t>перечня значения п</w:t>
      </w:r>
      <w:r w:rsidR="00933C50" w:rsidRPr="000233F8">
        <w:rPr>
          <w:rFonts w:ascii="Times New Roman" w:hAnsi="Times New Roman" w:cs="Times New Roman"/>
          <w:sz w:val="24"/>
          <w:szCs w:val="24"/>
        </w:rPr>
        <w:t>о</w:t>
      </w:r>
      <w:r w:rsidR="001328FC" w:rsidRPr="000233F8">
        <w:rPr>
          <w:rFonts w:ascii="Times New Roman" w:hAnsi="Times New Roman" w:cs="Times New Roman"/>
          <w:sz w:val="24"/>
          <w:szCs w:val="24"/>
        </w:rPr>
        <w:t>требительских свойств (в том числе качеств</w:t>
      </w:r>
      <w:r w:rsidR="00933C50" w:rsidRPr="000233F8">
        <w:rPr>
          <w:rFonts w:ascii="Times New Roman" w:hAnsi="Times New Roman" w:cs="Times New Roman"/>
          <w:sz w:val="24"/>
          <w:szCs w:val="24"/>
        </w:rPr>
        <w:t>а</w:t>
      </w:r>
      <w:r w:rsidR="001328FC" w:rsidRPr="000233F8">
        <w:rPr>
          <w:rFonts w:ascii="Times New Roman" w:hAnsi="Times New Roman" w:cs="Times New Roman"/>
          <w:sz w:val="24"/>
          <w:szCs w:val="24"/>
        </w:rPr>
        <w:t>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1328FC" w:rsidRDefault="001328FC" w:rsidP="000233F8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(или) </w:t>
      </w:r>
      <w:r w:rsidR="007D6ECD">
        <w:rPr>
          <w:rFonts w:ascii="Times New Roman" w:hAnsi="Times New Roman" w:cs="Times New Roman"/>
          <w:sz w:val="24"/>
          <w:szCs w:val="24"/>
        </w:rPr>
        <w:t>качественные показатели  характеристик (свойств) 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D6ECD" w:rsidRPr="000233F8" w:rsidRDefault="007D6ECD" w:rsidP="000233F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233F8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B87567" w:rsidRDefault="007D6ECD" w:rsidP="00F979A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единицы планируемых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закупе товаров, работ, услуг не может быть выше предельной цены товаров, работ, услуг, установленной в ведомственном перечне.</w:t>
      </w:r>
    </w:p>
    <w:p w:rsidR="006C2C07" w:rsidRPr="00B87567" w:rsidRDefault="007D6ECD" w:rsidP="00F979A2">
      <w:pPr>
        <w:pStyle w:val="a8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5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6C2C07" w:rsidRPr="00B87567" w:rsidSect="002D48F6">
          <w:pgSz w:w="11906" w:h="16838"/>
          <w:pgMar w:top="737" w:right="737" w:bottom="737" w:left="1701" w:header="284" w:footer="284" w:gutter="0"/>
          <w:cols w:space="708"/>
          <w:docGrid w:linePitch="360"/>
        </w:sectPr>
      </w:pPr>
      <w:r w:rsidRPr="00B87567">
        <w:rPr>
          <w:rFonts w:ascii="Times New Roman" w:hAnsi="Times New Roman" w:cs="Times New Roman"/>
          <w:sz w:val="24"/>
          <w:szCs w:val="24"/>
        </w:rPr>
        <w:t>Дополнительно включаемые в ведомственный перечень  отдельные виды товаров, работ, услуг должны отличаться от указанных в обязательном перечне отдельных видов товаров,  работ, услуг кодом</w:t>
      </w:r>
      <w:r w:rsidR="00B2683F" w:rsidRPr="00B87567">
        <w:rPr>
          <w:rFonts w:ascii="Times New Roman" w:hAnsi="Times New Roman" w:cs="Times New Roman"/>
          <w:sz w:val="24"/>
          <w:szCs w:val="24"/>
        </w:rPr>
        <w:t xml:space="preserve"> товара, работы, услуги в соответствии с Общероссийским классификатором продукции  по видам экономической деятельности.</w:t>
      </w:r>
    </w:p>
    <w:p w:rsidR="000D2A9D" w:rsidRDefault="000D2A9D" w:rsidP="003164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46AE">
        <w:rPr>
          <w:rFonts w:ascii="Times New Roman" w:hAnsi="Times New Roman" w:cs="Times New Roman"/>
        </w:rPr>
        <w:lastRenderedPageBreak/>
        <w:t>Приложение №</w:t>
      </w:r>
      <w:r w:rsidR="00D96050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9"/>
      </w:tblGrid>
      <w:tr w:rsidR="00697D86" w:rsidTr="00697D86">
        <w:trPr>
          <w:trHeight w:val="264"/>
        </w:trPr>
        <w:tc>
          <w:tcPr>
            <w:tcW w:w="6639" w:type="dxa"/>
          </w:tcPr>
          <w:p w:rsidR="00697D86" w:rsidRPr="00697D86" w:rsidRDefault="00697D86" w:rsidP="00697D86">
            <w:pPr>
              <w:jc w:val="both"/>
              <w:rPr>
                <w:sz w:val="22"/>
                <w:szCs w:val="22"/>
              </w:rPr>
            </w:pPr>
            <w:r w:rsidRPr="00697D86">
              <w:rPr>
                <w:sz w:val="22"/>
                <w:szCs w:val="22"/>
              </w:rPr>
              <w:t>к Правилам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самоуправления, вкл</w:t>
            </w:r>
            <w:r w:rsidR="00BD71CB">
              <w:rPr>
                <w:sz w:val="22"/>
                <w:szCs w:val="22"/>
              </w:rPr>
              <w:t xml:space="preserve">ючая подведомственные казенные, </w:t>
            </w:r>
            <w:r w:rsidRPr="00697D86">
              <w:rPr>
                <w:sz w:val="22"/>
                <w:szCs w:val="22"/>
              </w:rPr>
              <w:t xml:space="preserve"> бюджетные учреждения</w:t>
            </w:r>
            <w:r w:rsidR="003C4B79">
              <w:rPr>
                <w:sz w:val="22"/>
                <w:szCs w:val="22"/>
              </w:rPr>
              <w:t xml:space="preserve">  и унитарные предп</w:t>
            </w:r>
            <w:r w:rsidR="00BD71CB">
              <w:rPr>
                <w:sz w:val="22"/>
                <w:szCs w:val="22"/>
              </w:rPr>
              <w:t>риятия</w:t>
            </w:r>
            <w:r w:rsidRPr="00697D86">
              <w:rPr>
                <w:sz w:val="22"/>
                <w:szCs w:val="22"/>
              </w:rPr>
              <w:t>, для обеспечения нужд Сусуманского городского округа.</w:t>
            </w:r>
          </w:p>
          <w:p w:rsidR="00697D86" w:rsidRDefault="00697D86" w:rsidP="00316412">
            <w:pPr>
              <w:jc w:val="right"/>
            </w:pPr>
          </w:p>
        </w:tc>
      </w:tr>
    </w:tbl>
    <w:p w:rsidR="00697D86" w:rsidRPr="00A546AE" w:rsidRDefault="00697D86" w:rsidP="003164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0CF9" w:rsidRDefault="00B40CF9" w:rsidP="00697D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</w:t>
      </w:r>
      <w:r w:rsidR="00AD0D8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ПЕРЕЧ</w:t>
      </w:r>
      <w:r w:rsidR="00AD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D0D8A">
        <w:rPr>
          <w:rFonts w:ascii="Times New Roman" w:hAnsi="Times New Roman" w:cs="Times New Roman"/>
          <w:sz w:val="24"/>
          <w:szCs w:val="24"/>
        </w:rPr>
        <w:t>Ь</w:t>
      </w:r>
    </w:p>
    <w:p w:rsidR="008F08CE" w:rsidRDefault="008F08CE" w:rsidP="00697D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их потребительские свойства (в том числе качество) </w:t>
      </w:r>
    </w:p>
    <w:p w:rsidR="00B40CF9" w:rsidRDefault="008F08CE" w:rsidP="00697D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иные характеристики (в том числе предельные цены товаров, работ, услуг) к ним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922"/>
        <w:gridCol w:w="1504"/>
        <w:gridCol w:w="142"/>
        <w:gridCol w:w="909"/>
        <w:gridCol w:w="1340"/>
        <w:gridCol w:w="1687"/>
        <w:gridCol w:w="1704"/>
        <w:gridCol w:w="1686"/>
        <w:gridCol w:w="1704"/>
        <w:gridCol w:w="1749"/>
        <w:gridCol w:w="1804"/>
      </w:tblGrid>
      <w:tr w:rsidR="003F0EA4" w:rsidRPr="00E84607" w:rsidTr="007447C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16412" w:rsidRPr="00E84607" w:rsidTr="0031641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содержащиеся в обязательном перечне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CE03E5"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заказчиками</w:t>
            </w:r>
          </w:p>
        </w:tc>
      </w:tr>
      <w:tr w:rsidR="00697D86" w:rsidRPr="00E84607" w:rsidTr="0031641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316412" w:rsidP="00697D86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ind w:left="-102" w:right="-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3C4B79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 w:rsidR="007447CD"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утвержденной обязательным перечнем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447CD" w:rsidRPr="003C4B79" w:rsidRDefault="007447CD" w:rsidP="00697D86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7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функциональное назначение &lt;*&gt;</w:t>
            </w:r>
          </w:p>
        </w:tc>
      </w:tr>
      <w:tr w:rsidR="007447CD" w:rsidRPr="00E84607" w:rsidTr="007447CD">
        <w:trPr>
          <w:tblCellSpacing w:w="15" w:type="dxa"/>
        </w:trPr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виды товаров, работ, услуг, включенные в</w:t>
            </w:r>
            <w:r w:rsidR="00CE0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обязательный </w:t>
            </w: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 </w:t>
            </w:r>
          </w:p>
        </w:tc>
      </w:tr>
      <w:tr w:rsidR="00697D86" w:rsidRPr="00E84607" w:rsidTr="007447C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7CD" w:rsidRPr="00E84607" w:rsidTr="007447CD">
        <w:trPr>
          <w:tblCellSpacing w:w="15" w:type="dxa"/>
        </w:trPr>
        <w:tc>
          <w:tcPr>
            <w:tcW w:w="158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3164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</w:p>
        </w:tc>
      </w:tr>
      <w:tr w:rsidR="00C04EE4" w:rsidRPr="00E84607" w:rsidTr="007447C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47CD" w:rsidRPr="00E84607" w:rsidRDefault="007447CD" w:rsidP="00697D86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</w:tr>
    </w:tbl>
    <w:p w:rsidR="00937668" w:rsidRDefault="00937668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7668" w:rsidRDefault="00937668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4B79" w:rsidRDefault="003C4B79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0EA4" w:rsidRDefault="003F0EA4" w:rsidP="00B81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66FC" w:rsidRDefault="009E66FC" w:rsidP="003C4B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1E4E" w:rsidRPr="003C4B79" w:rsidRDefault="00B81E4E" w:rsidP="003C4B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4B79">
        <w:rPr>
          <w:rFonts w:ascii="Times New Roman" w:hAnsi="Times New Roman" w:cs="Times New Roman"/>
          <w:sz w:val="20"/>
          <w:szCs w:val="20"/>
        </w:rPr>
        <w:t>Приложение №</w:t>
      </w:r>
      <w:r w:rsidR="00D96050" w:rsidRPr="003C4B79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a3"/>
        <w:tblW w:w="0" w:type="auto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9"/>
      </w:tblGrid>
      <w:tr w:rsidR="00697D86" w:rsidRPr="003C4B79" w:rsidTr="00191A60">
        <w:trPr>
          <w:trHeight w:val="264"/>
        </w:trPr>
        <w:tc>
          <w:tcPr>
            <w:tcW w:w="6639" w:type="dxa"/>
          </w:tcPr>
          <w:p w:rsidR="00697D86" w:rsidRPr="003C4B79" w:rsidRDefault="00697D86" w:rsidP="003C4B79">
            <w:pPr>
              <w:jc w:val="right"/>
            </w:pPr>
            <w:r w:rsidRPr="003C4B79">
              <w:t>к Правилам определения требований к отдельным видам товаров, работ, услуг (в том числе предельные цены товаров, работ, услуг), закупаемым органами местного самоуправления, вкл</w:t>
            </w:r>
            <w:r w:rsidR="00BD71CB" w:rsidRPr="003C4B79">
              <w:t>ючая подведомственные казенные,</w:t>
            </w:r>
            <w:r w:rsidRPr="003C4B79">
              <w:t xml:space="preserve"> бюджетные учреждения</w:t>
            </w:r>
            <w:r w:rsidR="00BD71CB" w:rsidRPr="003C4B79">
              <w:t xml:space="preserve"> и унитарные предприятия</w:t>
            </w:r>
            <w:r w:rsidRPr="003C4B79">
              <w:t>, для обеспечения нужд Сусуманского городского окру</w:t>
            </w:r>
            <w:r w:rsidR="003C4B79" w:rsidRPr="003C4B79">
              <w:t>га</w:t>
            </w:r>
          </w:p>
          <w:p w:rsidR="00697D86" w:rsidRPr="003C4B79" w:rsidRDefault="00697D86" w:rsidP="003C4B79">
            <w:pPr>
              <w:jc w:val="right"/>
            </w:pPr>
          </w:p>
        </w:tc>
      </w:tr>
    </w:tbl>
    <w:p w:rsidR="005F66B1" w:rsidRDefault="005F66B1" w:rsidP="00B8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D49" w:rsidRDefault="00BC3D49" w:rsidP="00BC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9E66FC" w:rsidRDefault="009E66FC" w:rsidP="00BC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D49" w:rsidRDefault="00BC3D49" w:rsidP="00BC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в отношении которых определяются требования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потребительским</w:t>
      </w:r>
      <w:proofErr w:type="gramEnd"/>
    </w:p>
    <w:p w:rsidR="00BC3D49" w:rsidRDefault="00BC3D49" w:rsidP="00BC3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свойствам (в том числе качеству) и иным характеристикам (в том числе предельные цены товаров, работ, услуг)</w:t>
      </w:r>
    </w:p>
    <w:p w:rsidR="00BC3D49" w:rsidRDefault="00BC3D49" w:rsidP="00684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992"/>
        <w:gridCol w:w="1542"/>
        <w:gridCol w:w="1734"/>
        <w:gridCol w:w="607"/>
        <w:gridCol w:w="795"/>
        <w:gridCol w:w="1281"/>
        <w:gridCol w:w="1188"/>
        <w:gridCol w:w="1188"/>
        <w:gridCol w:w="1164"/>
        <w:gridCol w:w="1164"/>
        <w:gridCol w:w="1253"/>
        <w:gridCol w:w="1305"/>
        <w:gridCol w:w="1214"/>
      </w:tblGrid>
      <w:tr w:rsidR="00BC3D49" w:rsidRPr="00084E08" w:rsidTr="009D0D51">
        <w:trPr>
          <w:trHeight w:val="442"/>
          <w:jc w:val="center"/>
        </w:trPr>
        <w:tc>
          <w:tcPr>
            <w:tcW w:w="291" w:type="dxa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992" w:type="dxa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Код по </w:t>
            </w:r>
            <w:hyperlink r:id="rId9" w:history="1">
              <w:r w:rsidRPr="009E66FC">
                <w:rPr>
                  <w:rFonts w:ascii="Times New Roman" w:hAnsi="Times New Roman"/>
                  <w:b/>
                  <w:sz w:val="18"/>
                  <w:szCs w:val="18"/>
                </w:rPr>
                <w:t>ОКПД</w:t>
              </w:r>
            </w:hyperlink>
            <w:r w:rsidR="00BD71CB" w:rsidRPr="009E66F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42" w:type="dxa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893" w:type="dxa"/>
            <w:gridSpan w:val="11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C3D49" w:rsidRPr="00084E08" w:rsidTr="009D0D51">
        <w:trPr>
          <w:trHeight w:val="211"/>
          <w:jc w:val="center"/>
        </w:trPr>
        <w:tc>
          <w:tcPr>
            <w:tcW w:w="291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Характерис</w:t>
            </w:r>
            <w:proofErr w:type="spellEnd"/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тика</w:t>
            </w: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9757" w:type="dxa"/>
            <w:gridSpan w:val="8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BC3D49" w:rsidRPr="00084E08" w:rsidTr="009D0D51">
        <w:trPr>
          <w:trHeight w:val="217"/>
          <w:jc w:val="center"/>
        </w:trPr>
        <w:tc>
          <w:tcPr>
            <w:tcW w:w="291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38" w:type="dxa"/>
            <w:gridSpan w:val="6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орган местного самоуправления </w:t>
            </w:r>
          </w:p>
        </w:tc>
        <w:tc>
          <w:tcPr>
            <w:tcW w:w="2519" w:type="dxa"/>
            <w:gridSpan w:val="2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муниципальное учреждение</w:t>
            </w:r>
          </w:p>
        </w:tc>
      </w:tr>
      <w:tr w:rsidR="00BC3D49" w:rsidRPr="00084E08" w:rsidTr="009D0D51">
        <w:trPr>
          <w:trHeight w:val="313"/>
          <w:jc w:val="center"/>
        </w:trPr>
        <w:tc>
          <w:tcPr>
            <w:tcW w:w="291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vMerge w:val="restart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код по </w:t>
            </w:r>
            <w:hyperlink r:id="rId10" w:history="1">
              <w:r w:rsidRPr="009E66FC">
                <w:rPr>
                  <w:rFonts w:ascii="Times New Roman" w:hAnsi="Times New Roman"/>
                  <w:b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5" w:type="dxa"/>
            <w:vMerge w:val="restart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Наи</w:t>
            </w:r>
            <w:proofErr w:type="spellEnd"/>
          </w:p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менование</w:t>
            </w:r>
            <w:proofErr w:type="spellEnd"/>
          </w:p>
        </w:tc>
        <w:tc>
          <w:tcPr>
            <w:tcW w:w="1281" w:type="dxa"/>
            <w:vMerge w:val="restart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Муници</w:t>
            </w:r>
            <w:proofErr w:type="spellEnd"/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пальные</w:t>
            </w:r>
            <w:proofErr w:type="spellEnd"/>
            <w:r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 должности</w:t>
            </w:r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04" w:type="dxa"/>
            <w:gridSpan w:val="4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1253" w:type="dxa"/>
            <w:vMerge w:val="restart"/>
            <w:vAlign w:val="center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должности, не относящиеся к должностям муниципальной службы</w:t>
            </w:r>
          </w:p>
        </w:tc>
        <w:tc>
          <w:tcPr>
            <w:tcW w:w="1305" w:type="dxa"/>
            <w:vMerge w:val="restart"/>
            <w:vAlign w:val="center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руководители муниципальных бюджетных, казенных учреждений</w:t>
            </w:r>
            <w:r w:rsidR="00684DB8"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 и унитарных предприятий</w:t>
            </w:r>
          </w:p>
        </w:tc>
        <w:tc>
          <w:tcPr>
            <w:tcW w:w="1214" w:type="dxa"/>
            <w:vMerge w:val="restart"/>
            <w:vAlign w:val="bottom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работники</w:t>
            </w:r>
          </w:p>
          <w:p w:rsidR="00BC3D49" w:rsidRPr="009E66FC" w:rsidRDefault="00BC3D49" w:rsidP="009E66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муниципальных казенных, бюджетных учреждений</w:t>
            </w:r>
            <w:r w:rsidR="00684DB8"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 и унитарных предприятий</w:t>
            </w: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 xml:space="preserve"> не являющиеся их руководителями</w:t>
            </w:r>
          </w:p>
        </w:tc>
      </w:tr>
      <w:tr w:rsidR="00BC3D49" w:rsidRPr="00084E08" w:rsidTr="009D0D51">
        <w:trPr>
          <w:trHeight w:val="2088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C3D49" w:rsidRPr="00084E08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высшая группа должностей муниципальной службы категории «руководители»</w:t>
            </w:r>
          </w:p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8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164" w:type="dxa"/>
          </w:tcPr>
          <w:p w:rsidR="00BC3D49" w:rsidRPr="009E66FC" w:rsidRDefault="00BC3D49" w:rsidP="00FA0A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ведущая группа должностей муниципальной службы категории «руководители»</w:t>
            </w:r>
          </w:p>
        </w:tc>
        <w:tc>
          <w:tcPr>
            <w:tcW w:w="1164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должности категории «специалисты»</w:t>
            </w:r>
          </w:p>
        </w:tc>
        <w:tc>
          <w:tcPr>
            <w:tcW w:w="1253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184"/>
          <w:tblHeader/>
          <w:jc w:val="center"/>
        </w:trPr>
        <w:tc>
          <w:tcPr>
            <w:tcW w:w="291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42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34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81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88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88" w:type="dxa"/>
          </w:tcPr>
          <w:p w:rsidR="00BC3D49" w:rsidRPr="009E66FC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64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64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53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305" w:type="dxa"/>
          </w:tcPr>
          <w:p w:rsidR="00BC3D49" w:rsidRPr="009E66FC" w:rsidRDefault="00BC3D49" w:rsidP="00FA0A34">
            <w:pPr>
              <w:tabs>
                <w:tab w:val="left" w:pos="1738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214" w:type="dxa"/>
          </w:tcPr>
          <w:p w:rsidR="00BC3D49" w:rsidRPr="009E66FC" w:rsidRDefault="00BC3D49" w:rsidP="00FA0A3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66F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BC3D49" w:rsidRPr="00084E08" w:rsidTr="009D0D51">
        <w:trPr>
          <w:trHeight w:val="4769"/>
          <w:jc w:val="center"/>
        </w:trPr>
        <w:tc>
          <w:tcPr>
            <w:tcW w:w="291" w:type="dxa"/>
            <w:vMerge w:val="restart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84E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20.13</w:t>
            </w:r>
          </w:p>
        </w:tc>
        <w:tc>
          <w:tcPr>
            <w:tcW w:w="1542" w:type="dxa"/>
            <w:vMerge w:val="restart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 ("лэптопы", "ноутбуки", "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сабноутбуки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34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Wi-Fi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Bluetooth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40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40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40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40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40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14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6134"/>
          <w:jc w:val="center"/>
        </w:trPr>
        <w:tc>
          <w:tcPr>
            <w:tcW w:w="291" w:type="dxa"/>
            <w:vMerge w:val="restart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30.02.15</w:t>
            </w:r>
          </w:p>
        </w:tc>
        <w:tc>
          <w:tcPr>
            <w:tcW w:w="1542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ств дл</w:t>
            </w:r>
            <w:proofErr w:type="gramEnd"/>
            <w:r w:rsidRPr="002363F2">
              <w:rPr>
                <w:rFonts w:ascii="Times New Roman" w:hAnsi="Times New Roman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1734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75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75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75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65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65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53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65 000,00</w:t>
            </w:r>
          </w:p>
        </w:tc>
        <w:tc>
          <w:tcPr>
            <w:tcW w:w="1305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65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14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65 000,00</w:t>
            </w:r>
          </w:p>
        </w:tc>
      </w:tr>
      <w:tr w:rsidR="00BC3D49" w:rsidRPr="00084E08" w:rsidTr="009D0D51">
        <w:trPr>
          <w:trHeight w:val="5415"/>
          <w:jc w:val="center"/>
        </w:trPr>
        <w:tc>
          <w:tcPr>
            <w:tcW w:w="291" w:type="dxa"/>
            <w:vMerge w:val="restart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vMerge w:val="restart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26.20.16</w:t>
            </w:r>
          </w:p>
        </w:tc>
        <w:tc>
          <w:tcPr>
            <w:tcW w:w="1542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34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379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BC3D49" w:rsidRPr="00084E08" w:rsidTr="009D0D51">
        <w:trPr>
          <w:trHeight w:val="741"/>
          <w:jc w:val="center"/>
        </w:trPr>
        <w:tc>
          <w:tcPr>
            <w:tcW w:w="291" w:type="dxa"/>
            <w:vMerge w:val="restart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32.20.11</w:t>
            </w:r>
          </w:p>
        </w:tc>
        <w:tc>
          <w:tcPr>
            <w:tcW w:w="1542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Аппараты телефонные прочие, устройства и аппаратура для передачи и приема речи, изображений или других данных,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включая оборудование коммуникационное для работы в проводных или беспроводных сетях связи (например, локальных и глобальных сетях).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Пояснения по требуемой продукции: телефоны мобильные</w:t>
            </w:r>
          </w:p>
        </w:tc>
        <w:tc>
          <w:tcPr>
            <w:tcW w:w="1734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тип устройства (телефон/смартфон), поддерживаемые стандарты, операционная система, время работы, метод управления (сенсорный/кноп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очный), количество SIM-карт, наличие модулей и интерфейсов (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Wi-Fi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Bluetooth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501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  <w:vMerge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15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15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10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10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7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10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не более 5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BC3D49" w:rsidRPr="00084E08" w:rsidTr="009D0D51">
        <w:trPr>
          <w:trHeight w:val="1415"/>
          <w:jc w:val="center"/>
        </w:trPr>
        <w:tc>
          <w:tcPr>
            <w:tcW w:w="291" w:type="dxa"/>
            <w:vMerge w:val="restart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vMerge w:val="restart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34.10.22</w:t>
            </w:r>
          </w:p>
        </w:tc>
        <w:tc>
          <w:tcPr>
            <w:tcW w:w="1542" w:type="dxa"/>
            <w:vMerge w:val="restart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Средства транспортные, новые</w:t>
            </w: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двигатель с искровым зажиганием, с рабочим объемом цилиндров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88F">
              <w:rPr>
                <w:rFonts w:ascii="Times New Roman" w:hAnsi="Times New Roman"/>
                <w:sz w:val="24"/>
                <w:szCs w:val="24"/>
              </w:rPr>
              <w:t>см3</w:t>
            </w: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547"/>
          <w:jc w:val="center"/>
        </w:trPr>
        <w:tc>
          <w:tcPr>
            <w:tcW w:w="291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1 500 000,00</w:t>
            </w: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31.01.11</w:t>
            </w:r>
          </w:p>
        </w:tc>
        <w:tc>
          <w:tcPr>
            <w:tcW w:w="1542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Мебель для сидения, преимуществе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нно с металлическим каркасом</w:t>
            </w: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материал (металл), обивочные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материалы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предельное значение - кожа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натуральная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предельное значение - кожа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натуральная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предельное значение -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предельное значение -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предельное значение -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53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предельное значение - ткань;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возможные значения: нетканые материалы</w:t>
            </w:r>
          </w:p>
        </w:tc>
        <w:tc>
          <w:tcPr>
            <w:tcW w:w="1305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предельное значение - искусственн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1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предельное значение - искусствен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  <w:tc>
          <w:tcPr>
            <w:tcW w:w="1188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  <w:tc>
          <w:tcPr>
            <w:tcW w:w="1188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  <w:tc>
          <w:tcPr>
            <w:tcW w:w="1164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  <w:tc>
          <w:tcPr>
            <w:tcW w:w="1164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  <w:tc>
          <w:tcPr>
            <w:tcW w:w="1253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  <w:tc>
          <w:tcPr>
            <w:tcW w:w="1305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  <w:tc>
          <w:tcPr>
            <w:tcW w:w="1214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</w:tcPr>
          <w:p w:rsidR="00BC3D49" w:rsidRPr="00084E08" w:rsidRDefault="009D0D51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1.01.12</w:t>
            </w:r>
          </w:p>
        </w:tc>
        <w:tc>
          <w:tcPr>
            <w:tcW w:w="1542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607" w:type="dxa"/>
          </w:tcPr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береза, лиственница, сосна, </w:t>
            </w: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>ель</w:t>
            </w:r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береза, лиственница, сосна, ель береза, лиственница, сосна, ель</w:t>
            </w:r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53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305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береза, лиственница, сосна, ель береза, лиственница, сосна, ель</w:t>
            </w:r>
          </w:p>
        </w:tc>
        <w:tc>
          <w:tcPr>
            <w:tcW w:w="121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мягколиственных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пород: береза, лиственница, сосна, ель</w:t>
            </w:r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607" w:type="dxa"/>
          </w:tcPr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BC3D49" w:rsidRPr="002363F2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BC3D49" w:rsidRPr="002363F2" w:rsidRDefault="00BC3D49" w:rsidP="002363F2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предельное значение - кожа </w:t>
            </w:r>
            <w:proofErr w:type="spellStart"/>
            <w:r w:rsidRPr="002363F2">
              <w:rPr>
                <w:rFonts w:ascii="Times New Roman" w:hAnsi="Times New Roman"/>
                <w:sz w:val="22"/>
                <w:szCs w:val="22"/>
              </w:rPr>
              <w:t>натуральнаявозможные</w:t>
            </w:r>
            <w:proofErr w:type="spellEnd"/>
            <w:r w:rsidRPr="002363F2">
              <w:rPr>
                <w:rFonts w:ascii="Times New Roman" w:hAnsi="Times New Roman"/>
                <w:sz w:val="22"/>
                <w:szCs w:val="22"/>
              </w:rPr>
              <w:t xml:space="preserve">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кожа натуральная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88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6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53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ткань.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возможное значение: нетканые материалы</w:t>
            </w:r>
          </w:p>
        </w:tc>
        <w:tc>
          <w:tcPr>
            <w:tcW w:w="1305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14" w:type="dxa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предельное значение - искусственная кожа;</w:t>
            </w:r>
          </w:p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363F2">
              <w:rPr>
                <w:rFonts w:ascii="Times New Roman" w:hAnsi="Times New Roman"/>
                <w:sz w:val="22"/>
                <w:szCs w:val="22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C3D49" w:rsidRPr="00084E08" w:rsidTr="009D0D51">
        <w:trPr>
          <w:trHeight w:val="146"/>
          <w:jc w:val="center"/>
        </w:trPr>
        <w:tc>
          <w:tcPr>
            <w:tcW w:w="291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D49" w:rsidRPr="00084E08" w:rsidRDefault="00BC3D49" w:rsidP="00FA0A34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BC3D49" w:rsidRPr="002363F2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3F2">
              <w:rPr>
                <w:rFonts w:ascii="Times New Roman" w:hAnsi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607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795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E0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281" w:type="dxa"/>
          </w:tcPr>
          <w:p w:rsidR="00BC3D49" w:rsidRPr="00084E08" w:rsidRDefault="00BC3D49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10000,00</w:t>
            </w:r>
          </w:p>
        </w:tc>
        <w:tc>
          <w:tcPr>
            <w:tcW w:w="1188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10000,00</w:t>
            </w:r>
          </w:p>
        </w:tc>
        <w:tc>
          <w:tcPr>
            <w:tcW w:w="1188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10000,00</w:t>
            </w:r>
          </w:p>
        </w:tc>
        <w:tc>
          <w:tcPr>
            <w:tcW w:w="1164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10000,00</w:t>
            </w:r>
          </w:p>
        </w:tc>
        <w:tc>
          <w:tcPr>
            <w:tcW w:w="1164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10000,00</w:t>
            </w:r>
          </w:p>
        </w:tc>
        <w:tc>
          <w:tcPr>
            <w:tcW w:w="1253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10000,00</w:t>
            </w:r>
          </w:p>
        </w:tc>
        <w:tc>
          <w:tcPr>
            <w:tcW w:w="1305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10000,00</w:t>
            </w:r>
          </w:p>
        </w:tc>
        <w:tc>
          <w:tcPr>
            <w:tcW w:w="1214" w:type="dxa"/>
          </w:tcPr>
          <w:p w:rsidR="00BC3D49" w:rsidRPr="00084E08" w:rsidRDefault="00684DB8" w:rsidP="00FA0A34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10000,00</w:t>
            </w:r>
          </w:p>
        </w:tc>
      </w:tr>
    </w:tbl>
    <w:p w:rsidR="00BC3D49" w:rsidRDefault="00BC3D49" w:rsidP="00BC3D4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</w:p>
    <w:p w:rsidR="005F66B1" w:rsidRDefault="005F66B1" w:rsidP="005F66B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sz w:val="24"/>
          <w:szCs w:val="24"/>
        </w:rPr>
      </w:pPr>
    </w:p>
    <w:p w:rsidR="005F66B1" w:rsidRDefault="005F66B1" w:rsidP="00B8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6B1" w:rsidRDefault="005F66B1" w:rsidP="00B81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6B1" w:rsidRDefault="005F66B1" w:rsidP="005F6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6B1" w:rsidSect="00C6549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A6" w:rsidRDefault="00B224A6" w:rsidP="00F979A2">
      <w:pPr>
        <w:spacing w:after="0" w:line="240" w:lineRule="auto"/>
      </w:pPr>
      <w:r>
        <w:separator/>
      </w:r>
    </w:p>
  </w:endnote>
  <w:endnote w:type="continuationSeparator" w:id="0">
    <w:p w:rsidR="00B224A6" w:rsidRDefault="00B224A6" w:rsidP="00F9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A6" w:rsidRDefault="00B224A6" w:rsidP="00F979A2">
      <w:pPr>
        <w:spacing w:after="0" w:line="240" w:lineRule="auto"/>
      </w:pPr>
      <w:r>
        <w:separator/>
      </w:r>
    </w:p>
  </w:footnote>
  <w:footnote w:type="continuationSeparator" w:id="0">
    <w:p w:rsidR="00B224A6" w:rsidRDefault="00B224A6" w:rsidP="00F9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884"/>
    <w:multiLevelType w:val="hybridMultilevel"/>
    <w:tmpl w:val="69CADC4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3A24DFE"/>
    <w:multiLevelType w:val="hybridMultilevel"/>
    <w:tmpl w:val="897C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273C"/>
    <w:multiLevelType w:val="hybridMultilevel"/>
    <w:tmpl w:val="E9FE3BFC"/>
    <w:lvl w:ilvl="0" w:tplc="9F5AC7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F4DE3"/>
    <w:multiLevelType w:val="hybridMultilevel"/>
    <w:tmpl w:val="A244BAE4"/>
    <w:lvl w:ilvl="0" w:tplc="A766A3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1F4"/>
    <w:rsid w:val="00014D95"/>
    <w:rsid w:val="00020DEA"/>
    <w:rsid w:val="000233F8"/>
    <w:rsid w:val="00026500"/>
    <w:rsid w:val="00044BDC"/>
    <w:rsid w:val="0004676A"/>
    <w:rsid w:val="00050D13"/>
    <w:rsid w:val="000510BB"/>
    <w:rsid w:val="000621F4"/>
    <w:rsid w:val="0007521C"/>
    <w:rsid w:val="00087BBC"/>
    <w:rsid w:val="000A3645"/>
    <w:rsid w:val="000B3975"/>
    <w:rsid w:val="000D2A9D"/>
    <w:rsid w:val="000F690E"/>
    <w:rsid w:val="00127F94"/>
    <w:rsid w:val="001328FC"/>
    <w:rsid w:val="00171E79"/>
    <w:rsid w:val="00191A60"/>
    <w:rsid w:val="001C44BE"/>
    <w:rsid w:val="001D2BD6"/>
    <w:rsid w:val="001D6CAA"/>
    <w:rsid w:val="001F052E"/>
    <w:rsid w:val="001F5298"/>
    <w:rsid w:val="002073B9"/>
    <w:rsid w:val="002151FE"/>
    <w:rsid w:val="00222C3C"/>
    <w:rsid w:val="0023555D"/>
    <w:rsid w:val="00235683"/>
    <w:rsid w:val="002363F2"/>
    <w:rsid w:val="002426FE"/>
    <w:rsid w:val="002C081A"/>
    <w:rsid w:val="002D32A5"/>
    <w:rsid w:val="002D48F6"/>
    <w:rsid w:val="0030145F"/>
    <w:rsid w:val="00304853"/>
    <w:rsid w:val="00305A75"/>
    <w:rsid w:val="00316412"/>
    <w:rsid w:val="00345A1D"/>
    <w:rsid w:val="00365EB7"/>
    <w:rsid w:val="00376D9B"/>
    <w:rsid w:val="00381FAF"/>
    <w:rsid w:val="003A6717"/>
    <w:rsid w:val="003A747E"/>
    <w:rsid w:val="003B5778"/>
    <w:rsid w:val="003C4B79"/>
    <w:rsid w:val="003D054B"/>
    <w:rsid w:val="003D22E8"/>
    <w:rsid w:val="003E44AE"/>
    <w:rsid w:val="003F0EA4"/>
    <w:rsid w:val="003F1689"/>
    <w:rsid w:val="003F5051"/>
    <w:rsid w:val="00406B2C"/>
    <w:rsid w:val="00413D87"/>
    <w:rsid w:val="00444873"/>
    <w:rsid w:val="0045569E"/>
    <w:rsid w:val="00463F29"/>
    <w:rsid w:val="00465A52"/>
    <w:rsid w:val="00473F0D"/>
    <w:rsid w:val="00484E38"/>
    <w:rsid w:val="004A40E9"/>
    <w:rsid w:val="004A6970"/>
    <w:rsid w:val="004C755A"/>
    <w:rsid w:val="004C79B4"/>
    <w:rsid w:val="004D1E07"/>
    <w:rsid w:val="004D2C5C"/>
    <w:rsid w:val="004E21E9"/>
    <w:rsid w:val="004F5FFC"/>
    <w:rsid w:val="005034B9"/>
    <w:rsid w:val="00506BD3"/>
    <w:rsid w:val="00510552"/>
    <w:rsid w:val="00516314"/>
    <w:rsid w:val="00517C74"/>
    <w:rsid w:val="00537892"/>
    <w:rsid w:val="00542A78"/>
    <w:rsid w:val="005736C8"/>
    <w:rsid w:val="00585AC2"/>
    <w:rsid w:val="005A7192"/>
    <w:rsid w:val="005C2364"/>
    <w:rsid w:val="005D0DE3"/>
    <w:rsid w:val="005D7A2B"/>
    <w:rsid w:val="005F66B1"/>
    <w:rsid w:val="006315A2"/>
    <w:rsid w:val="006478FA"/>
    <w:rsid w:val="00666BCC"/>
    <w:rsid w:val="00672E07"/>
    <w:rsid w:val="00684DB8"/>
    <w:rsid w:val="006953B9"/>
    <w:rsid w:val="00697D86"/>
    <w:rsid w:val="006A0F68"/>
    <w:rsid w:val="006C2C07"/>
    <w:rsid w:val="006D396D"/>
    <w:rsid w:val="006D4B54"/>
    <w:rsid w:val="006D6ECD"/>
    <w:rsid w:val="006E528D"/>
    <w:rsid w:val="00712D17"/>
    <w:rsid w:val="007266AE"/>
    <w:rsid w:val="007447CD"/>
    <w:rsid w:val="00780A10"/>
    <w:rsid w:val="00791AFB"/>
    <w:rsid w:val="007C1DF2"/>
    <w:rsid w:val="007C344B"/>
    <w:rsid w:val="007D6ECD"/>
    <w:rsid w:val="007E2BA6"/>
    <w:rsid w:val="00823A94"/>
    <w:rsid w:val="00835510"/>
    <w:rsid w:val="00843CD1"/>
    <w:rsid w:val="00844AED"/>
    <w:rsid w:val="00857B77"/>
    <w:rsid w:val="00857D73"/>
    <w:rsid w:val="008B0036"/>
    <w:rsid w:val="008D5A08"/>
    <w:rsid w:val="008D7EBC"/>
    <w:rsid w:val="008E5D70"/>
    <w:rsid w:val="008F08CE"/>
    <w:rsid w:val="008F67D4"/>
    <w:rsid w:val="00924078"/>
    <w:rsid w:val="00933C50"/>
    <w:rsid w:val="00937668"/>
    <w:rsid w:val="00962D9A"/>
    <w:rsid w:val="00963A37"/>
    <w:rsid w:val="00970CD7"/>
    <w:rsid w:val="009B0687"/>
    <w:rsid w:val="009C5503"/>
    <w:rsid w:val="009D0D51"/>
    <w:rsid w:val="009E66FC"/>
    <w:rsid w:val="00A02328"/>
    <w:rsid w:val="00A30185"/>
    <w:rsid w:val="00A45017"/>
    <w:rsid w:val="00A512F2"/>
    <w:rsid w:val="00A546AE"/>
    <w:rsid w:val="00A90A2B"/>
    <w:rsid w:val="00A92D67"/>
    <w:rsid w:val="00AB3739"/>
    <w:rsid w:val="00AC43DA"/>
    <w:rsid w:val="00AD0D8A"/>
    <w:rsid w:val="00AF3F93"/>
    <w:rsid w:val="00B224A6"/>
    <w:rsid w:val="00B2683F"/>
    <w:rsid w:val="00B40CF9"/>
    <w:rsid w:val="00B46631"/>
    <w:rsid w:val="00B51BFC"/>
    <w:rsid w:val="00B73948"/>
    <w:rsid w:val="00B81E4E"/>
    <w:rsid w:val="00B87567"/>
    <w:rsid w:val="00BC3D49"/>
    <w:rsid w:val="00BD71CB"/>
    <w:rsid w:val="00BD7397"/>
    <w:rsid w:val="00BF04F6"/>
    <w:rsid w:val="00C04EE4"/>
    <w:rsid w:val="00C05FF4"/>
    <w:rsid w:val="00C308AC"/>
    <w:rsid w:val="00C47D71"/>
    <w:rsid w:val="00C56E3A"/>
    <w:rsid w:val="00C65499"/>
    <w:rsid w:val="00C73164"/>
    <w:rsid w:val="00C87D62"/>
    <w:rsid w:val="00C97256"/>
    <w:rsid w:val="00C97AAB"/>
    <w:rsid w:val="00CA3926"/>
    <w:rsid w:val="00CE03E5"/>
    <w:rsid w:val="00D208F1"/>
    <w:rsid w:val="00D24CBA"/>
    <w:rsid w:val="00D26048"/>
    <w:rsid w:val="00D5688A"/>
    <w:rsid w:val="00D6590F"/>
    <w:rsid w:val="00D66FDA"/>
    <w:rsid w:val="00D727F1"/>
    <w:rsid w:val="00D72DEB"/>
    <w:rsid w:val="00D84665"/>
    <w:rsid w:val="00D93A82"/>
    <w:rsid w:val="00D96050"/>
    <w:rsid w:val="00D967B7"/>
    <w:rsid w:val="00D975F3"/>
    <w:rsid w:val="00DB7BA0"/>
    <w:rsid w:val="00DC2C11"/>
    <w:rsid w:val="00DF242D"/>
    <w:rsid w:val="00E37FD4"/>
    <w:rsid w:val="00E56E67"/>
    <w:rsid w:val="00E67D6A"/>
    <w:rsid w:val="00E751FA"/>
    <w:rsid w:val="00E8162F"/>
    <w:rsid w:val="00E87AEA"/>
    <w:rsid w:val="00E9646F"/>
    <w:rsid w:val="00E97806"/>
    <w:rsid w:val="00EA600B"/>
    <w:rsid w:val="00F0737F"/>
    <w:rsid w:val="00F129DF"/>
    <w:rsid w:val="00F261B4"/>
    <w:rsid w:val="00F41BEB"/>
    <w:rsid w:val="00F46536"/>
    <w:rsid w:val="00F5491C"/>
    <w:rsid w:val="00F979A2"/>
    <w:rsid w:val="00FA0A34"/>
    <w:rsid w:val="00FB0EBE"/>
    <w:rsid w:val="00FD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6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6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621F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21F4"/>
    <w:rPr>
      <w:color w:val="0000FF"/>
      <w:u w:val="single"/>
    </w:rPr>
  </w:style>
  <w:style w:type="character" w:styleId="a5">
    <w:name w:val="page number"/>
    <w:basedOn w:val="a0"/>
    <w:uiPriority w:val="99"/>
    <w:rsid w:val="004F5FFC"/>
  </w:style>
  <w:style w:type="character" w:customStyle="1" w:styleId="ConsPlusNormal0">
    <w:name w:val="ConsPlusNormal Знак"/>
    <w:link w:val="ConsPlusNormal"/>
    <w:uiPriority w:val="99"/>
    <w:locked/>
    <w:rsid w:val="005F66B1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D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E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7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9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9A2"/>
  </w:style>
  <w:style w:type="paragraph" w:styleId="ab">
    <w:name w:val="footer"/>
    <w:basedOn w:val="a"/>
    <w:link w:val="ac"/>
    <w:uiPriority w:val="99"/>
    <w:unhideWhenUsed/>
    <w:rsid w:val="00F9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6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6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621F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21F4"/>
    <w:rPr>
      <w:color w:val="0000FF"/>
      <w:u w:val="single"/>
    </w:rPr>
  </w:style>
  <w:style w:type="character" w:styleId="a5">
    <w:name w:val="page number"/>
    <w:basedOn w:val="a0"/>
    <w:uiPriority w:val="99"/>
    <w:rsid w:val="004F5FFC"/>
  </w:style>
  <w:style w:type="character" w:customStyle="1" w:styleId="ConsPlusNormal0">
    <w:name w:val="ConsPlusNormal Знак"/>
    <w:link w:val="ConsPlusNormal"/>
    <w:uiPriority w:val="99"/>
    <w:locked/>
    <w:rsid w:val="005F66B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DD3D44B4D48722A60999D94A910B828D8C26942EE350C0A57BA5E5826Aa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D3D44B4D48722A60999D94A910B828D8227972AE150C0A57BA5E5826A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8E93-2CB6-4775-909E-D621A6A7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экономике</dc:creator>
  <cp:lastModifiedBy>Пользователь</cp:lastModifiedBy>
  <cp:revision>75</cp:revision>
  <cp:lastPrinted>2017-04-03T05:39:00Z</cp:lastPrinted>
  <dcterms:created xsi:type="dcterms:W3CDTF">2016-12-13T06:25:00Z</dcterms:created>
  <dcterms:modified xsi:type="dcterms:W3CDTF">2017-04-04T22:51:00Z</dcterms:modified>
</cp:coreProperties>
</file>