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DE" w:rsidRPr="00B00106" w:rsidRDefault="00B751DE" w:rsidP="00B751DE">
      <w:pPr>
        <w:jc w:val="center"/>
        <w:rPr>
          <w:rFonts w:ascii="Times New Roman" w:hAnsi="Times New Roman"/>
          <w:b/>
          <w:sz w:val="36"/>
          <w:szCs w:val="36"/>
        </w:rPr>
      </w:pPr>
      <w:r w:rsidRPr="00B00106">
        <w:rPr>
          <w:rFonts w:ascii="Times New Roman" w:hAnsi="Times New Roman"/>
          <w:b/>
          <w:sz w:val="36"/>
          <w:szCs w:val="36"/>
        </w:rPr>
        <w:t xml:space="preserve">АДМИНИСТРАЦИЯ  СУСУМАНСКОГО  </w:t>
      </w:r>
    </w:p>
    <w:p w:rsidR="00B751DE" w:rsidRPr="00B00106" w:rsidRDefault="00B751DE" w:rsidP="00B751DE">
      <w:pPr>
        <w:jc w:val="center"/>
        <w:rPr>
          <w:rFonts w:ascii="Times New Roman" w:hAnsi="Times New Roman"/>
          <w:b/>
          <w:sz w:val="36"/>
          <w:szCs w:val="36"/>
        </w:rPr>
      </w:pPr>
      <w:r w:rsidRPr="00B00106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B751DE" w:rsidRDefault="00B751DE" w:rsidP="00B751DE">
      <w:pPr>
        <w:ind w:firstLine="0"/>
        <w:rPr>
          <w:rFonts w:ascii="Times New Roman" w:hAnsi="Times New Roman"/>
          <w:sz w:val="32"/>
          <w:szCs w:val="32"/>
        </w:rPr>
      </w:pPr>
    </w:p>
    <w:p w:rsidR="00B751DE" w:rsidRPr="00B00106" w:rsidRDefault="00B751DE" w:rsidP="00B751DE">
      <w:pPr>
        <w:jc w:val="center"/>
        <w:rPr>
          <w:rFonts w:ascii="Times New Roman" w:hAnsi="Times New Roman"/>
          <w:b/>
          <w:sz w:val="52"/>
          <w:szCs w:val="52"/>
        </w:rPr>
      </w:pPr>
      <w:r w:rsidRPr="00B00106">
        <w:rPr>
          <w:rFonts w:ascii="Times New Roman" w:hAnsi="Times New Roman"/>
          <w:b/>
          <w:sz w:val="52"/>
          <w:szCs w:val="52"/>
        </w:rPr>
        <w:t>ПОСТАНОВЛЕНИЕ</w:t>
      </w:r>
    </w:p>
    <w:p w:rsidR="00B751DE" w:rsidRDefault="00B751DE" w:rsidP="00B751DE">
      <w:pPr>
        <w:ind w:left="2124"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B751DE" w:rsidRDefault="00B751DE" w:rsidP="00B751DE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B751DE" w:rsidRDefault="00B00106" w:rsidP="00B0010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26.01.2017 г.</w:t>
      </w:r>
      <w:r w:rsidR="00B751D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B751D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23</w:t>
      </w:r>
    </w:p>
    <w:p w:rsidR="00B751DE" w:rsidRDefault="00B751DE" w:rsidP="00B0010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B751DE" w:rsidRDefault="00B751DE" w:rsidP="00B751DE">
      <w:pPr>
        <w:rPr>
          <w:rFonts w:ascii="Times New Roman" w:hAnsi="Times New Roman"/>
          <w:sz w:val="24"/>
          <w:szCs w:val="24"/>
        </w:rPr>
      </w:pPr>
    </w:p>
    <w:p w:rsidR="00B751DE" w:rsidRDefault="00B751DE" w:rsidP="00B751DE">
      <w:pPr>
        <w:rPr>
          <w:rFonts w:ascii="Times New Roman" w:hAnsi="Times New Roman"/>
          <w:sz w:val="24"/>
          <w:szCs w:val="24"/>
        </w:rPr>
      </w:pPr>
    </w:p>
    <w:p w:rsidR="00B751DE" w:rsidRDefault="00B751DE" w:rsidP="00B751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B751DE" w:rsidRDefault="00B751DE" w:rsidP="00B751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B751DE" w:rsidRDefault="00A768FA" w:rsidP="00B751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26.12.2016 </w:t>
      </w:r>
      <w:r w:rsidR="00B751DE">
        <w:rPr>
          <w:rFonts w:ascii="Times New Roman" w:hAnsi="Times New Roman"/>
          <w:sz w:val="24"/>
          <w:szCs w:val="24"/>
        </w:rPr>
        <w:t>г.</w:t>
      </w:r>
      <w:r w:rsidR="00C467A2">
        <w:rPr>
          <w:rFonts w:ascii="Times New Roman" w:hAnsi="Times New Roman"/>
          <w:sz w:val="24"/>
          <w:szCs w:val="24"/>
        </w:rPr>
        <w:t xml:space="preserve"> </w:t>
      </w:r>
      <w:r w:rsidR="00B751DE">
        <w:rPr>
          <w:rFonts w:ascii="Times New Roman" w:hAnsi="Times New Roman"/>
          <w:sz w:val="24"/>
          <w:szCs w:val="24"/>
        </w:rPr>
        <w:t xml:space="preserve">№ 783 «Об утверждении </w:t>
      </w:r>
      <w:proofErr w:type="gramStart"/>
      <w:r w:rsidR="00B751DE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B751DE">
        <w:rPr>
          <w:rFonts w:ascii="Times New Roman" w:hAnsi="Times New Roman"/>
          <w:sz w:val="24"/>
          <w:szCs w:val="24"/>
        </w:rPr>
        <w:t xml:space="preserve"> </w:t>
      </w:r>
    </w:p>
    <w:p w:rsidR="00B751DE" w:rsidRDefault="00B751DE" w:rsidP="00B751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«Социальная защита населения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</w:p>
    <w:p w:rsidR="00B751DE" w:rsidRDefault="00B751DE" w:rsidP="00B751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на 2017 год»</w:t>
      </w:r>
    </w:p>
    <w:p w:rsidR="00B00106" w:rsidRDefault="00B00106" w:rsidP="00B751DE">
      <w:pPr>
        <w:ind w:firstLine="0"/>
        <w:rPr>
          <w:rFonts w:ascii="Times New Roman" w:hAnsi="Times New Roman"/>
          <w:sz w:val="24"/>
          <w:szCs w:val="24"/>
        </w:rPr>
      </w:pPr>
    </w:p>
    <w:p w:rsidR="00B751DE" w:rsidRDefault="00B751DE" w:rsidP="00B751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751DE" w:rsidRDefault="00B751DE" w:rsidP="00B0010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 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13.05.2016 г. № 261 «О Порядке разработки, утверждения,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округа»,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городского округа</w:t>
      </w:r>
    </w:p>
    <w:p w:rsidR="00B751DE" w:rsidRDefault="00B751DE" w:rsidP="00B751DE">
      <w:pPr>
        <w:ind w:firstLine="0"/>
        <w:rPr>
          <w:rFonts w:ascii="Times New Roman" w:hAnsi="Times New Roman"/>
          <w:sz w:val="24"/>
          <w:szCs w:val="24"/>
        </w:rPr>
      </w:pPr>
    </w:p>
    <w:p w:rsidR="00B751DE" w:rsidRDefault="00B751DE" w:rsidP="00B751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A768FA" w:rsidRDefault="00A768FA" w:rsidP="00B751DE">
      <w:pPr>
        <w:ind w:firstLine="0"/>
        <w:rPr>
          <w:rFonts w:ascii="Times New Roman" w:hAnsi="Times New Roman"/>
          <w:sz w:val="24"/>
          <w:szCs w:val="24"/>
        </w:rPr>
      </w:pPr>
    </w:p>
    <w:p w:rsidR="00B751DE" w:rsidRDefault="00B751DE" w:rsidP="00B00106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21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26.12.2016 г. № 783 «Об утверждении муниципальной программы «Социальная защита населения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на 2017 год» следующие изменения:</w:t>
      </w:r>
    </w:p>
    <w:p w:rsidR="00B751DE" w:rsidRDefault="00B751DE" w:rsidP="00B00106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421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Наименование мероприятия подпункта 1.1.1 раздела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«Основного мероприятия «Реализация мероприятий по оказанию адресной помощи населению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городского округа» раздела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«Перечень мероприятий Программы» изложить в следующей редакции:</w:t>
      </w:r>
    </w:p>
    <w:p w:rsidR="00B751DE" w:rsidRDefault="00B751DE" w:rsidP="00B00106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«Материальная помощь гражданам, попавшим в трудную жизненную ситуацию, гражданам из малоимущих семей, а также помощь  на погребение ветеранов Великой Отечественной войны, вдов участников Великой Отечественной войны».</w:t>
      </w:r>
    </w:p>
    <w:p w:rsidR="00421483" w:rsidRDefault="00421483" w:rsidP="00B00106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Подпункт 1.2. раздела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421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«Основное мероприятие «Формирование доступной среды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округе»</w:t>
      </w:r>
      <w:r w:rsidR="006408DE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6408DE" w:rsidRDefault="006408DE" w:rsidP="00B751DE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125"/>
        <w:gridCol w:w="1210"/>
        <w:gridCol w:w="2157"/>
        <w:gridCol w:w="1224"/>
        <w:gridCol w:w="1100"/>
        <w:gridCol w:w="1225"/>
      </w:tblGrid>
      <w:tr w:rsidR="006408DE" w:rsidTr="006408DE">
        <w:tc>
          <w:tcPr>
            <w:tcW w:w="533" w:type="dxa"/>
          </w:tcPr>
          <w:p w:rsidR="006408DE" w:rsidRDefault="006408DE" w:rsidP="00B751D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93" w:type="dxa"/>
          </w:tcPr>
          <w:p w:rsidR="006408DE" w:rsidRDefault="006408DE" w:rsidP="00B751D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объектов культуры для инвалидов и маломобильных групп населения</w:t>
            </w:r>
          </w:p>
        </w:tc>
        <w:tc>
          <w:tcPr>
            <w:tcW w:w="1352" w:type="dxa"/>
            <w:vMerge w:val="restart"/>
          </w:tcPr>
          <w:p w:rsidR="006408DE" w:rsidRDefault="006408DE" w:rsidP="00B751D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44" w:type="dxa"/>
          </w:tcPr>
          <w:p w:rsidR="006408DE" w:rsidRDefault="006408DE" w:rsidP="00B751D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молодежи культуре и  спорту и подведомственные учреждения</w:t>
            </w:r>
          </w:p>
        </w:tc>
        <w:tc>
          <w:tcPr>
            <w:tcW w:w="1353" w:type="dxa"/>
          </w:tcPr>
          <w:p w:rsidR="006408DE" w:rsidRDefault="006408DE" w:rsidP="00B751D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342" w:type="dxa"/>
          </w:tcPr>
          <w:p w:rsidR="006408DE" w:rsidRDefault="006408DE" w:rsidP="00B751D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6408DE" w:rsidRDefault="006408DE" w:rsidP="00B751D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6408DE" w:rsidTr="006408DE">
        <w:tc>
          <w:tcPr>
            <w:tcW w:w="533" w:type="dxa"/>
            <w:vMerge w:val="restart"/>
          </w:tcPr>
          <w:p w:rsidR="006408DE" w:rsidRDefault="006408DE" w:rsidP="00B751D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</w:tcPr>
          <w:p w:rsidR="006408DE" w:rsidRDefault="006408DE" w:rsidP="00B751D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52" w:type="dxa"/>
            <w:vMerge/>
          </w:tcPr>
          <w:p w:rsidR="006408DE" w:rsidRDefault="006408DE" w:rsidP="00B751D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408DE" w:rsidRDefault="006408DE" w:rsidP="00B751D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</w:t>
            </w:r>
          </w:p>
        </w:tc>
        <w:tc>
          <w:tcPr>
            <w:tcW w:w="1353" w:type="dxa"/>
          </w:tcPr>
          <w:p w:rsidR="006408DE" w:rsidRDefault="006408DE" w:rsidP="00B751D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342" w:type="dxa"/>
          </w:tcPr>
          <w:p w:rsidR="006408DE" w:rsidRDefault="006408DE" w:rsidP="00B751D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6408DE" w:rsidRDefault="006408DE" w:rsidP="00B751D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6408DE" w:rsidTr="006408DE">
        <w:tc>
          <w:tcPr>
            <w:tcW w:w="533" w:type="dxa"/>
            <w:vMerge/>
          </w:tcPr>
          <w:p w:rsidR="006408DE" w:rsidRDefault="006408DE" w:rsidP="00B751D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6408DE" w:rsidRDefault="006408DE" w:rsidP="00B751D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6408DE" w:rsidRDefault="006408DE" w:rsidP="00B751D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408DE" w:rsidRDefault="006408DE" w:rsidP="00B751D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ЦБС</w:t>
            </w:r>
          </w:p>
        </w:tc>
        <w:tc>
          <w:tcPr>
            <w:tcW w:w="1353" w:type="dxa"/>
          </w:tcPr>
          <w:p w:rsidR="006408DE" w:rsidRDefault="006408DE" w:rsidP="00B751D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42" w:type="dxa"/>
          </w:tcPr>
          <w:p w:rsidR="006408DE" w:rsidRDefault="006408DE" w:rsidP="00B751D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6408DE" w:rsidRDefault="006408DE" w:rsidP="00B751DE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6408DE" w:rsidRPr="00421483" w:rsidRDefault="006408DE" w:rsidP="00B751DE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</w:p>
    <w:p w:rsidR="00B751DE" w:rsidRDefault="006408DE" w:rsidP="00B00106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1.3</w:t>
      </w:r>
      <w:r w:rsidR="00B751DE">
        <w:rPr>
          <w:rFonts w:ascii="Times New Roman" w:hAnsi="Times New Roman"/>
          <w:sz w:val="24"/>
          <w:szCs w:val="24"/>
        </w:rPr>
        <w:t xml:space="preserve">. Первый абзац раздела </w:t>
      </w:r>
      <w:r w:rsidR="00B751DE">
        <w:rPr>
          <w:rFonts w:ascii="Times New Roman" w:hAnsi="Times New Roman"/>
          <w:sz w:val="24"/>
          <w:szCs w:val="24"/>
          <w:lang w:val="en-US"/>
        </w:rPr>
        <w:t>VI</w:t>
      </w:r>
      <w:r w:rsidR="00B751DE" w:rsidRPr="00B751DE">
        <w:rPr>
          <w:rFonts w:ascii="Times New Roman" w:hAnsi="Times New Roman"/>
          <w:sz w:val="24"/>
          <w:szCs w:val="24"/>
        </w:rPr>
        <w:t xml:space="preserve"> </w:t>
      </w:r>
      <w:r w:rsidR="00B751DE">
        <w:rPr>
          <w:rFonts w:ascii="Times New Roman" w:hAnsi="Times New Roman"/>
          <w:sz w:val="24"/>
          <w:szCs w:val="24"/>
        </w:rPr>
        <w:t>«Механизм реализации Программы» изложить в следующей редакции:</w:t>
      </w:r>
    </w:p>
    <w:p w:rsidR="00B751DE" w:rsidRDefault="00B751DE" w:rsidP="00B751DE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«Адресная помощь оказывается гражданам, имеющим постоянную или временную регистрацию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при предоставлении всех необходимых документов по решению межведомственной комиссии по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эффективностью использования средств, выделенных из бюджета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 на реализацию Программы (далее – Комиссия)».</w:t>
      </w:r>
    </w:p>
    <w:p w:rsidR="00B751DE" w:rsidRDefault="00B751DE" w:rsidP="00B00106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001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и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B751DE" w:rsidRDefault="00B751DE" w:rsidP="00B00106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0010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 Л.Ф. </w:t>
      </w:r>
      <w:proofErr w:type="spellStart"/>
      <w:r>
        <w:rPr>
          <w:rFonts w:ascii="Times New Roman" w:hAnsi="Times New Roman"/>
          <w:sz w:val="24"/>
          <w:szCs w:val="24"/>
        </w:rPr>
        <w:t>Партолину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00106" w:rsidRDefault="00B00106" w:rsidP="00B00106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</w:p>
    <w:p w:rsidR="00B00106" w:rsidRDefault="00B00106" w:rsidP="00B00106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</w:p>
    <w:p w:rsidR="00B751DE" w:rsidRDefault="00B751DE" w:rsidP="00B751DE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</w:p>
    <w:p w:rsidR="00B751DE" w:rsidRDefault="00B751DE" w:rsidP="00B751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городского округа                                                   </w:t>
      </w:r>
      <w:r w:rsidR="00B0010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А.В.</w:t>
      </w:r>
      <w:r w:rsidR="00B001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Лобов</w:t>
      </w:r>
    </w:p>
    <w:p w:rsidR="00B751DE" w:rsidRDefault="00B751DE" w:rsidP="00B751DE">
      <w:pPr>
        <w:jc w:val="right"/>
        <w:rPr>
          <w:rFonts w:ascii="Times New Roman" w:hAnsi="Times New Roman"/>
        </w:rPr>
      </w:pPr>
    </w:p>
    <w:p w:rsidR="00B751DE" w:rsidRDefault="00B751DE" w:rsidP="00B751DE">
      <w:pPr>
        <w:jc w:val="right"/>
        <w:rPr>
          <w:rFonts w:ascii="Times New Roman" w:hAnsi="Times New Roman"/>
        </w:rPr>
      </w:pPr>
    </w:p>
    <w:p w:rsidR="00B751DE" w:rsidRDefault="00B751DE" w:rsidP="00B751DE">
      <w:pPr>
        <w:jc w:val="right"/>
        <w:rPr>
          <w:rFonts w:ascii="Times New Roman" w:hAnsi="Times New Roman"/>
        </w:rPr>
      </w:pPr>
    </w:p>
    <w:p w:rsidR="00B751DE" w:rsidRDefault="00B751DE" w:rsidP="00B751DE">
      <w:pPr>
        <w:ind w:firstLine="0"/>
        <w:rPr>
          <w:rFonts w:ascii="Times New Roman" w:hAnsi="Times New Roman"/>
        </w:rPr>
      </w:pPr>
    </w:p>
    <w:p w:rsidR="00B751DE" w:rsidRDefault="00B751DE" w:rsidP="00B751DE"/>
    <w:p w:rsidR="000C0792" w:rsidRDefault="000C0792"/>
    <w:sectPr w:rsidR="000C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18"/>
    <w:rsid w:val="000C0792"/>
    <w:rsid w:val="00421483"/>
    <w:rsid w:val="00456D18"/>
    <w:rsid w:val="006408DE"/>
    <w:rsid w:val="00A768FA"/>
    <w:rsid w:val="00B00106"/>
    <w:rsid w:val="00B751DE"/>
    <w:rsid w:val="00C4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10</cp:revision>
  <cp:lastPrinted>2017-01-26T23:11:00Z</cp:lastPrinted>
  <dcterms:created xsi:type="dcterms:W3CDTF">2017-01-20T22:20:00Z</dcterms:created>
  <dcterms:modified xsi:type="dcterms:W3CDTF">2017-01-27T02:36:00Z</dcterms:modified>
</cp:coreProperties>
</file>