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11" w:rsidRDefault="00910411" w:rsidP="00B311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10595271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10411" w:rsidRDefault="00910411" w:rsidP="00B311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10411" w:rsidRDefault="00910411" w:rsidP="00B311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10411" w:rsidRDefault="00910411" w:rsidP="00B31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11" w:rsidRDefault="00910411" w:rsidP="00B311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 О С Т А Н О В Л Е Н И Е </w:t>
      </w:r>
    </w:p>
    <w:p w:rsidR="00910411" w:rsidRDefault="00910411" w:rsidP="00B31198">
      <w:pPr>
        <w:pStyle w:val="Heading1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10411" w:rsidRPr="00B31198" w:rsidRDefault="00910411" w:rsidP="00B31198">
      <w:pPr>
        <w:pStyle w:val="Heading1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311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25.03.2016 № 189-па</w:t>
      </w:r>
    </w:p>
    <w:p w:rsidR="00910411" w:rsidRDefault="00910411" w:rsidP="0074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11" w:rsidRPr="00CA46E9" w:rsidRDefault="00910411" w:rsidP="0074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E9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910411" w:rsidRPr="00CA46E9" w:rsidRDefault="00910411" w:rsidP="0074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E9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решения Собрания представителей Тенькинского городского округа «Об утверждении отчета об исполнении бюджета муниципального образования Тенькинский район</w:t>
      </w:r>
    </w:p>
    <w:p w:rsidR="00910411" w:rsidRPr="00CA46E9" w:rsidRDefault="00910411" w:rsidP="00746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E9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за 2015 год»</w:t>
      </w:r>
    </w:p>
    <w:p w:rsidR="00910411" w:rsidRPr="00CA46E9" w:rsidRDefault="00910411" w:rsidP="00746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411" w:rsidRPr="00CA46E9" w:rsidRDefault="00910411" w:rsidP="00746326">
      <w:pPr>
        <w:pStyle w:val="Titl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обсуждения проекта решения Собрания представителей Тенькинского городского округа «Об утверждении отчета об исполнении бюджета муниципального образования Тенькинский район Магаданской области за 2015 год» с участием жителей Тенькинского городского округа, руководствуясь статьей 28 Федерального закона от 06 октября 2003 года </w:t>
      </w:r>
      <w:r w:rsidRPr="00CA46E9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Положением «О публичных слушаниях на территории муниципального образования «Тенькинский городской округ» Магаданской области», утвержденным Решением Собрания представителей Тенькинского городского округа от 03 октября 2015 года № 15, администрация Тенькинского городского округа Магаданской области    </w:t>
      </w:r>
      <w:r w:rsidRPr="00CA46E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10411" w:rsidRPr="00CA46E9" w:rsidRDefault="00910411" w:rsidP="00746326">
      <w:pPr>
        <w:pStyle w:val="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6E9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и опубликовать прилагаемый проект отчета об исполнении бюджета муниципального образования Тенькинский район Магаданской области за 2015 год.</w:t>
      </w:r>
    </w:p>
    <w:p w:rsidR="00910411" w:rsidRPr="00CA46E9" w:rsidRDefault="00910411" w:rsidP="00746326">
      <w:pPr>
        <w:pStyle w:val="BodyTextIndent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6E9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на 18</w:t>
      </w:r>
      <w:r w:rsidRPr="00CA46E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CA46E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CA46E9">
        <w:rPr>
          <w:rFonts w:ascii="Times New Roman" w:hAnsi="Times New Roman" w:cs="Times New Roman"/>
          <w:sz w:val="28"/>
          <w:szCs w:val="28"/>
        </w:rPr>
        <w:br/>
        <w:t>05 апреля 2016  года в зале заседаний администрации  Тенькинского городского округа Магаданской области по адресу: п. Усть-Омчуг,</w:t>
      </w:r>
      <w:r w:rsidRPr="00CA46E9">
        <w:rPr>
          <w:rFonts w:ascii="Times New Roman" w:hAnsi="Times New Roman" w:cs="Times New Roman"/>
          <w:sz w:val="28"/>
          <w:szCs w:val="28"/>
        </w:rPr>
        <w:br/>
        <w:t>ул. Горняцкая,  37.</w:t>
      </w:r>
    </w:p>
    <w:p w:rsidR="00910411" w:rsidRPr="00CA46E9" w:rsidRDefault="00910411" w:rsidP="00746326">
      <w:pPr>
        <w:pStyle w:val="BodyTextIndent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6E9">
        <w:rPr>
          <w:rFonts w:ascii="Times New Roman" w:hAnsi="Times New Roman" w:cs="Times New Roman"/>
          <w:sz w:val="28"/>
          <w:szCs w:val="28"/>
        </w:rPr>
        <w:t>3. Ответственность  за подготовку и проведение публичных слушаний возложить на заместителя главы администрации Тенькинского городского округа Магаданской области, руководителя комитета финансов</w:t>
      </w:r>
      <w:r w:rsidRPr="00CA46E9">
        <w:rPr>
          <w:rFonts w:ascii="Times New Roman" w:hAnsi="Times New Roman" w:cs="Times New Roman"/>
          <w:sz w:val="28"/>
          <w:szCs w:val="28"/>
        </w:rPr>
        <w:br/>
        <w:t>И.П. Вислогузову (далее – ответственный орган).</w:t>
      </w:r>
    </w:p>
    <w:p w:rsidR="00910411" w:rsidRPr="00CA46E9" w:rsidRDefault="00910411" w:rsidP="00746326">
      <w:pPr>
        <w:pStyle w:val="BodyTextIndent"/>
        <w:tabs>
          <w:tab w:val="left" w:pos="567"/>
        </w:tabs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CA46E9">
        <w:rPr>
          <w:rFonts w:ascii="Times New Roman" w:hAnsi="Times New Roman" w:cs="Times New Roman"/>
          <w:sz w:val="28"/>
          <w:szCs w:val="28"/>
        </w:rPr>
        <w:tab/>
        <w:t xml:space="preserve">4. Предложить жителям муниципального образования «Тенькинский городской округ»  Магаданской области направлять свои мнения и рекомендации по вопросу, выносимому на обсуждение в ответственный орган для включения их в протокол публичных слушаний по адресу: </w:t>
      </w:r>
      <w:r w:rsidRPr="00CA46E9">
        <w:rPr>
          <w:rFonts w:ascii="Times New Roman" w:hAnsi="Times New Roman" w:cs="Times New Roman"/>
          <w:sz w:val="28"/>
          <w:szCs w:val="28"/>
        </w:rPr>
        <w:br/>
        <w:t>пос. Усть-Омчуг, улица Горняцкая, дом  37, кабинеты №№ 3,7.</w:t>
      </w:r>
    </w:p>
    <w:p w:rsidR="00910411" w:rsidRPr="00CA46E9" w:rsidRDefault="00910411" w:rsidP="00746326">
      <w:pPr>
        <w:pStyle w:val="BodyTextIndent"/>
        <w:tabs>
          <w:tab w:val="left" w:pos="567"/>
        </w:tabs>
        <w:spacing w:line="36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CA46E9"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(обнародованию).      </w:t>
      </w:r>
    </w:p>
    <w:p w:rsidR="00910411" w:rsidRPr="00CA46E9" w:rsidRDefault="00910411" w:rsidP="00746326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910411" w:rsidRPr="00CA46E9" w:rsidRDefault="00910411" w:rsidP="00746326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</w:p>
    <w:p w:rsidR="00910411" w:rsidRPr="00CA46E9" w:rsidRDefault="00910411" w:rsidP="00746326">
      <w:pPr>
        <w:pStyle w:val="Heading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A46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Тенькинского городского округа                            </w:t>
      </w:r>
      <w:r w:rsidRPr="00CA46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CA46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И.С. Бережной</w:t>
      </w:r>
    </w:p>
    <w:p w:rsidR="00910411" w:rsidRPr="00CA46E9" w:rsidRDefault="00910411" w:rsidP="00746326">
      <w:pPr>
        <w:pStyle w:val="Heading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A46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 w:type="page"/>
      </w:r>
    </w:p>
    <w:p w:rsidR="00910411" w:rsidRPr="009E5596" w:rsidRDefault="00910411" w:rsidP="004069D6">
      <w:pPr>
        <w:pStyle w:val="Heading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E55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 Р О Е К Т</w:t>
      </w:r>
    </w:p>
    <w:p w:rsidR="00910411" w:rsidRPr="009E5596" w:rsidRDefault="00910411" w:rsidP="004069D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10411" w:rsidRPr="00EA7293" w:rsidRDefault="00910411" w:rsidP="0008417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293">
        <w:rPr>
          <w:rFonts w:ascii="Times New Roman" w:hAnsi="Times New Roman" w:cs="Times New Roman"/>
          <w:b/>
          <w:bCs/>
          <w:sz w:val="24"/>
          <w:szCs w:val="24"/>
        </w:rPr>
        <w:t>СОБРАНИЕ  ПРЕДСТАВИТЕЛЕЙ</w:t>
      </w:r>
    </w:p>
    <w:p w:rsidR="00910411" w:rsidRPr="00EA7293" w:rsidRDefault="00910411" w:rsidP="0008417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293">
        <w:rPr>
          <w:rFonts w:ascii="Times New Roman" w:hAnsi="Times New Roman" w:cs="Times New Roman"/>
          <w:b/>
          <w:bCs/>
          <w:sz w:val="24"/>
          <w:szCs w:val="24"/>
        </w:rPr>
        <w:t>ТЕНЬКИНСКОГО ГОРОДСКОГО ОКРУГА</w:t>
      </w:r>
    </w:p>
    <w:p w:rsidR="00910411" w:rsidRPr="00EA7293" w:rsidRDefault="00910411" w:rsidP="0008417F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0411" w:rsidRPr="00EA7293" w:rsidRDefault="00910411" w:rsidP="0008417F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A7293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910411" w:rsidRPr="00EA7293" w:rsidRDefault="00910411" w:rsidP="00B5635D">
      <w:pPr>
        <w:tabs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60"/>
      </w:tblGrid>
      <w:tr w:rsidR="00910411" w:rsidRPr="00EA7293">
        <w:tc>
          <w:tcPr>
            <w:tcW w:w="4860" w:type="dxa"/>
          </w:tcPr>
          <w:p w:rsidR="00910411" w:rsidRPr="00EA7293" w:rsidRDefault="00910411" w:rsidP="002372B4">
            <w:pPr>
              <w:ind w:right="-2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3">
              <w:rPr>
                <w:rFonts w:ascii="Times New Roman" w:hAnsi="Times New Roman" w:cs="Times New Roman"/>
                <w:sz w:val="28"/>
                <w:szCs w:val="28"/>
              </w:rPr>
              <w:t>от__________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729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</w:t>
            </w:r>
            <w:r w:rsidRPr="00EA7293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</w:tr>
      <w:tr w:rsidR="00910411" w:rsidRPr="00EA7293">
        <w:tc>
          <w:tcPr>
            <w:tcW w:w="4860" w:type="dxa"/>
          </w:tcPr>
          <w:p w:rsidR="00910411" w:rsidRPr="00EA7293" w:rsidRDefault="00910411" w:rsidP="00486D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3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</w:tc>
      </w:tr>
    </w:tbl>
    <w:p w:rsidR="00910411" w:rsidRDefault="00910411" w:rsidP="00B563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411" w:rsidRDefault="00910411" w:rsidP="00B563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A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образования </w:t>
      </w:r>
    </w:p>
    <w:p w:rsidR="00910411" w:rsidRPr="00486DAB" w:rsidRDefault="00910411" w:rsidP="00B563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AB">
        <w:rPr>
          <w:rFonts w:ascii="Times New Roman" w:hAnsi="Times New Roman" w:cs="Times New Roman"/>
          <w:b/>
          <w:bCs/>
          <w:sz w:val="28"/>
          <w:szCs w:val="28"/>
        </w:rPr>
        <w:t>Тенькинский район Магаданской области за 2015 год</w:t>
      </w:r>
    </w:p>
    <w:p w:rsidR="00910411" w:rsidRPr="00EA7293" w:rsidRDefault="00910411" w:rsidP="00B563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411" w:rsidRPr="00607C07" w:rsidRDefault="00910411" w:rsidP="006310C5">
      <w:pPr>
        <w:rPr>
          <w:rFonts w:ascii="Times New Roman" w:hAnsi="Times New Roman" w:cs="Times New Roman"/>
          <w:sz w:val="28"/>
          <w:szCs w:val="28"/>
        </w:rPr>
      </w:pPr>
      <w:r w:rsidRPr="00CC7F07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Решением Собрания представителей городского округа</w:t>
      </w:r>
      <w:r>
        <w:rPr>
          <w:rFonts w:ascii="Times New Roman" w:hAnsi="Times New Roman" w:cs="Times New Roman"/>
          <w:sz w:val="28"/>
          <w:szCs w:val="28"/>
        </w:rPr>
        <w:br/>
      </w:r>
      <w:r w:rsidRPr="00CC7F07">
        <w:rPr>
          <w:rFonts w:ascii="Times New Roman" w:hAnsi="Times New Roman" w:cs="Times New Roman"/>
          <w:sz w:val="28"/>
          <w:szCs w:val="28"/>
        </w:rPr>
        <w:t>от 16ноября 2015</w:t>
      </w:r>
      <w:r w:rsidRPr="006310C5">
        <w:rPr>
          <w:rFonts w:ascii="Times New Roman" w:hAnsi="Times New Roman" w:cs="Times New Roman"/>
          <w:sz w:val="28"/>
          <w:szCs w:val="28"/>
        </w:rPr>
        <w:t>года № 35 «Об</w:t>
      </w:r>
      <w:r w:rsidRPr="00CC7F07">
        <w:rPr>
          <w:rFonts w:ascii="Times New Roman" w:hAnsi="Times New Roman" w:cs="Times New Roman"/>
          <w:sz w:val="28"/>
          <w:szCs w:val="28"/>
        </w:rPr>
        <w:t xml:space="preserve"> утверждения Положения о бюджетном устройстве и бюджетном процессе в муниципальном образовании «Тенькинский городской округ», заключением Контрольно-счётной палаты Тенькинского городского округа Магаданской области по результатам внешней проверки годовой отчетности бюджета муниципального образования Тенькинский район Магаданской области</w:t>
      </w:r>
      <w:r w:rsidRPr="00D054CC">
        <w:rPr>
          <w:rFonts w:ascii="Times New Roman" w:hAnsi="Times New Roman" w:cs="Times New Roman"/>
          <w:sz w:val="28"/>
          <w:szCs w:val="28"/>
        </w:rPr>
        <w:t xml:space="preserve"> за 2015 год, протоколом проведения публичных слушаний по проекту решения Собрания представителей Тенькинского городского округа«Об исполнении бюджета муниципального образования Тенькинский район Магаданской области  за 2015 год»,</w:t>
      </w:r>
      <w:r w:rsidRPr="00607C07">
        <w:rPr>
          <w:rFonts w:ascii="Times New Roman" w:hAnsi="Times New Roman" w:cs="Times New Roman"/>
          <w:sz w:val="28"/>
          <w:szCs w:val="28"/>
        </w:rPr>
        <w:t xml:space="preserve">Собрание  представителей  Тенькинского городского округа                                               </w:t>
      </w:r>
    </w:p>
    <w:p w:rsidR="00910411" w:rsidRPr="00607C07" w:rsidRDefault="00910411" w:rsidP="005E203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10411" w:rsidRPr="00607C07" w:rsidRDefault="00910411" w:rsidP="00921A47">
      <w:pPr>
        <w:pStyle w:val="a3"/>
        <w:spacing w:line="360" w:lineRule="auto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6"/>
      <w:r w:rsidRPr="00607C0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10411" w:rsidRPr="00486DAB" w:rsidRDefault="00910411" w:rsidP="00D054C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54CC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Тенькинский район Магаданской области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4C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Pr="00486DAB">
        <w:rPr>
          <w:rFonts w:ascii="Times New Roman" w:hAnsi="Times New Roman" w:cs="Times New Roman"/>
          <w:sz w:val="28"/>
          <w:szCs w:val="28"/>
        </w:rPr>
        <w:t xml:space="preserve">452305,77422 </w:t>
      </w:r>
      <w:r w:rsidRPr="00D054CC">
        <w:rPr>
          <w:rFonts w:ascii="Times New Roman" w:hAnsi="Times New Roman" w:cs="Times New Roman"/>
          <w:sz w:val="28"/>
          <w:szCs w:val="28"/>
        </w:rPr>
        <w:t xml:space="preserve">тыс. рублей и по </w:t>
      </w:r>
      <w:r w:rsidRPr="00486DAB">
        <w:rPr>
          <w:rFonts w:ascii="Times New Roman" w:hAnsi="Times New Roman" w:cs="Times New Roman"/>
          <w:sz w:val="28"/>
          <w:szCs w:val="28"/>
        </w:rPr>
        <w:t>расходам в сумме 466804,68795 тыс. рублей, с дефицитом бюджета в сумме 14498913,73 тыс. рублей и со следующими показателями согласно приложениям № 1, 2, 3, 4, 5, 6</w:t>
      </w:r>
      <w:r>
        <w:rPr>
          <w:rFonts w:ascii="Times New Roman" w:hAnsi="Times New Roman" w:cs="Times New Roman"/>
          <w:sz w:val="28"/>
          <w:szCs w:val="28"/>
        </w:rPr>
        <w:t>, 7, 8, 9</w:t>
      </w:r>
      <w:r w:rsidRPr="00486DAB">
        <w:rPr>
          <w:rFonts w:ascii="Times New Roman" w:hAnsi="Times New Roman" w:cs="Times New Roman"/>
          <w:sz w:val="28"/>
          <w:szCs w:val="28"/>
        </w:rPr>
        <w:t>.</w:t>
      </w:r>
    </w:p>
    <w:p w:rsidR="00910411" w:rsidRPr="00607C07" w:rsidRDefault="00910411" w:rsidP="00D054CC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11" w:rsidRPr="00607C07" w:rsidRDefault="00910411" w:rsidP="00D054CC">
      <w:pPr>
        <w:ind w:right="-109" w:firstLine="54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1A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81A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D054CC">
        <w:rPr>
          <w:rFonts w:ascii="Times New Roman" w:hAnsi="Times New Roman" w:cs="Times New Roman"/>
          <w:sz w:val="28"/>
          <w:szCs w:val="28"/>
        </w:rPr>
        <w:t>с момента подписания и подлежит официальному опубликованию (обнародованию).</w:t>
      </w:r>
    </w:p>
    <w:bookmarkEnd w:id="1"/>
    <w:p w:rsidR="00910411" w:rsidRDefault="00910411" w:rsidP="00EA7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0411" w:rsidRPr="00607C07" w:rsidRDefault="00910411" w:rsidP="00EA72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C0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10411" w:rsidRPr="00607C07" w:rsidRDefault="00910411" w:rsidP="00EA72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C07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607C07">
        <w:rPr>
          <w:rFonts w:ascii="Times New Roman" w:hAnsi="Times New Roman" w:cs="Times New Roman"/>
          <w:sz w:val="28"/>
          <w:szCs w:val="28"/>
        </w:rPr>
        <w:tab/>
      </w:r>
      <w:r w:rsidRPr="00607C07">
        <w:rPr>
          <w:rFonts w:ascii="Times New Roman" w:hAnsi="Times New Roman" w:cs="Times New Roman"/>
          <w:sz w:val="28"/>
          <w:szCs w:val="28"/>
        </w:rPr>
        <w:tab/>
      </w:r>
      <w:r w:rsidRPr="00607C07">
        <w:rPr>
          <w:rFonts w:ascii="Times New Roman" w:hAnsi="Times New Roman" w:cs="Times New Roman"/>
          <w:sz w:val="28"/>
          <w:szCs w:val="28"/>
        </w:rPr>
        <w:tab/>
      </w:r>
      <w:r w:rsidRPr="00607C07">
        <w:rPr>
          <w:rFonts w:ascii="Times New Roman" w:hAnsi="Times New Roman" w:cs="Times New Roman"/>
          <w:sz w:val="28"/>
          <w:szCs w:val="28"/>
        </w:rPr>
        <w:tab/>
        <w:t>О.В. Александрова</w:t>
      </w:r>
    </w:p>
    <w:p w:rsidR="00910411" w:rsidRPr="00607C07" w:rsidRDefault="00910411" w:rsidP="00EA7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0411" w:rsidRPr="00607C07" w:rsidRDefault="00910411" w:rsidP="00EA72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C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0411" w:rsidRDefault="00910411" w:rsidP="00EA729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07C07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607C07">
        <w:rPr>
          <w:rFonts w:ascii="Times New Roman" w:hAnsi="Times New Roman" w:cs="Times New Roman"/>
          <w:sz w:val="28"/>
          <w:szCs w:val="28"/>
        </w:rPr>
        <w:tab/>
      </w:r>
      <w:r w:rsidRPr="00607C07">
        <w:rPr>
          <w:rFonts w:ascii="Times New Roman" w:hAnsi="Times New Roman" w:cs="Times New Roman"/>
          <w:sz w:val="28"/>
          <w:szCs w:val="28"/>
        </w:rPr>
        <w:tab/>
      </w:r>
      <w:r w:rsidRPr="00607C07">
        <w:rPr>
          <w:rFonts w:ascii="Times New Roman" w:hAnsi="Times New Roman" w:cs="Times New Roman"/>
          <w:sz w:val="28"/>
          <w:szCs w:val="28"/>
        </w:rPr>
        <w:tab/>
      </w:r>
      <w:r w:rsidRPr="00607C07">
        <w:rPr>
          <w:rFonts w:ascii="Times New Roman" w:hAnsi="Times New Roman" w:cs="Times New Roman"/>
          <w:sz w:val="28"/>
          <w:szCs w:val="28"/>
        </w:rPr>
        <w:tab/>
        <w:t>И.С. Бережной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10411" w:rsidRDefault="00910411" w:rsidP="00EA729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615"/>
        <w:gridCol w:w="4672"/>
      </w:tblGrid>
      <w:tr w:rsidR="00910411" w:rsidRPr="00D24B34">
        <w:tc>
          <w:tcPr>
            <w:tcW w:w="4615" w:type="dxa"/>
          </w:tcPr>
          <w:p w:rsidR="00910411" w:rsidRPr="00BE70E2" w:rsidRDefault="00910411" w:rsidP="005C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4672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910411" w:rsidRPr="00D24B34" w:rsidRDefault="00910411" w:rsidP="00CD29D8">
      <w:pPr>
        <w:rPr>
          <w:rFonts w:ascii="Times New Roman" w:hAnsi="Times New Roman" w:cs="Times New Roman"/>
          <w:sz w:val="24"/>
          <w:szCs w:val="24"/>
        </w:rPr>
      </w:pP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  <w:r w:rsidRPr="00FB5C28">
        <w:rPr>
          <w:rFonts w:ascii="Times New Roman" w:hAnsi="Times New Roman" w:cs="Times New Roman"/>
          <w:sz w:val="22"/>
          <w:szCs w:val="22"/>
        </w:rPr>
        <w:t>Исполнение доходов бюджета</w:t>
      </w: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  <w:r w:rsidRPr="00FB5C28">
        <w:rPr>
          <w:rFonts w:ascii="Times New Roman" w:hAnsi="Times New Roman" w:cs="Times New Roman"/>
          <w:sz w:val="22"/>
          <w:szCs w:val="22"/>
        </w:rPr>
        <w:t>муниципального образования Тенькинский район Магаданской области</w:t>
      </w:r>
    </w:p>
    <w:p w:rsidR="00910411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  <w:r w:rsidRPr="00FB5C28">
        <w:rPr>
          <w:rFonts w:ascii="Times New Roman" w:hAnsi="Times New Roman" w:cs="Times New Roman"/>
          <w:sz w:val="22"/>
          <w:szCs w:val="22"/>
        </w:rPr>
        <w:t>по кодам классификации доходов бюджетов за 2015 год</w:t>
      </w: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6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693"/>
        <w:gridCol w:w="1543"/>
        <w:gridCol w:w="1530"/>
        <w:gridCol w:w="1309"/>
      </w:tblGrid>
      <w:tr w:rsidR="00910411" w:rsidRPr="00FB5C28">
        <w:tc>
          <w:tcPr>
            <w:tcW w:w="2694" w:type="dxa"/>
            <w:vAlign w:val="center"/>
          </w:tcPr>
          <w:p w:rsidR="00910411" w:rsidRPr="00FB5C28" w:rsidRDefault="00910411" w:rsidP="0051580F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2693" w:type="dxa"/>
          </w:tcPr>
          <w:p w:rsidR="00910411" w:rsidRPr="00FB5C28" w:rsidRDefault="00910411" w:rsidP="00FB5C28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1543" w:type="dxa"/>
            <w:vAlign w:val="center"/>
          </w:tcPr>
          <w:p w:rsidR="00910411" w:rsidRPr="00FB5C28" w:rsidRDefault="00910411" w:rsidP="00FB5C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Утверждено, руб.</w:t>
            </w:r>
          </w:p>
        </w:tc>
        <w:tc>
          <w:tcPr>
            <w:tcW w:w="1530" w:type="dxa"/>
            <w:vAlign w:val="center"/>
          </w:tcPr>
          <w:p w:rsidR="00910411" w:rsidRPr="00FB5C28" w:rsidRDefault="00910411" w:rsidP="00FB5C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Исполнено, руб.</w:t>
            </w:r>
          </w:p>
        </w:tc>
        <w:tc>
          <w:tcPr>
            <w:tcW w:w="1309" w:type="dxa"/>
            <w:vAlign w:val="center"/>
          </w:tcPr>
          <w:p w:rsidR="00910411" w:rsidRPr="00FB5C28" w:rsidRDefault="00910411" w:rsidP="00FB5C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Исполнено, %</w:t>
            </w:r>
          </w:p>
        </w:tc>
      </w:tr>
    </w:tbl>
    <w:p w:rsidR="00910411" w:rsidRPr="00FB5C28" w:rsidRDefault="00910411" w:rsidP="00FB5C28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781" w:type="dxa"/>
        <w:tblInd w:w="-106" w:type="dxa"/>
        <w:tblLook w:val="00A0"/>
      </w:tblPr>
      <w:tblGrid>
        <w:gridCol w:w="2694"/>
        <w:gridCol w:w="2693"/>
        <w:gridCol w:w="1559"/>
        <w:gridCol w:w="1559"/>
        <w:gridCol w:w="1276"/>
      </w:tblGrid>
      <w:tr w:rsidR="00910411" w:rsidRPr="00FB5C28">
        <w:trPr>
          <w:trHeight w:val="1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000 890 00000 00 0000 000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494519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452 305 774,22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170592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130 327 158,86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76,4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518 500,00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105 621 257,21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518 500,00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105 621 257,21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1 391 400,00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1 352 058,06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4 700 200,00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4 507 835,22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95,9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7 571,72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33,8</w:t>
            </w:r>
          </w:p>
        </w:tc>
      </w:tr>
      <w:tr w:rsidR="00910411" w:rsidRPr="00FB5C28">
        <w:trPr>
          <w:trHeight w:val="1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1 598 200,00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1 308 654,00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81,9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11 140 000,00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11 712 973,95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105,1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4 612 900,00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4 294 173,63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93,1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271 822,90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302,0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689 619,00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613 471,48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-52 278,31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323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926 544,00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321 978 615,36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99,4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323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686 644,00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323 093 393,81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000 2020100000 0000 151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774 100,00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110 774 004,68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trHeight w:val="1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000 2020200000 0000 151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66 223 000,00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66 222 896,13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000 2020300000 0000 151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130321</w:t>
            </w: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129 728 593,00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99,5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000 2020400000 0000 151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16 367 900,00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16 367 900,00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239 900,00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219 816,00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</w:tr>
      <w:tr w:rsidR="00910411" w:rsidRPr="00FB5C28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FB5C2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FB5C28">
            <w:pPr>
              <w:ind w:hanging="10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B5C28">
              <w:rPr>
                <w:rFonts w:ascii="Times New Roman" w:hAnsi="Times New Roman" w:cs="Times New Roman"/>
                <w:sz w:val="21"/>
                <w:szCs w:val="21"/>
              </w:rPr>
              <w:t>-1 334 594,45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FB5C28">
            <w:pPr>
              <w:ind w:hanging="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10411" w:rsidRPr="00FB5C28" w:rsidRDefault="00910411" w:rsidP="00FB5C28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</w:p>
    <w:p w:rsidR="00910411" w:rsidRDefault="00910411" w:rsidP="00FB5C28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10411" w:rsidRPr="00FB5C28" w:rsidRDefault="00910411" w:rsidP="00FB5C28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</w:p>
    <w:p w:rsidR="00910411" w:rsidRPr="00FB5C28" w:rsidRDefault="00910411" w:rsidP="00FB5C2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70" w:type="dxa"/>
        <w:tblInd w:w="-106" w:type="dxa"/>
        <w:tblLook w:val="00A0"/>
      </w:tblPr>
      <w:tblGrid>
        <w:gridCol w:w="4785"/>
        <w:gridCol w:w="4785"/>
      </w:tblGrid>
      <w:tr w:rsidR="00910411" w:rsidRPr="00FB5C28">
        <w:tc>
          <w:tcPr>
            <w:tcW w:w="4785" w:type="dxa"/>
          </w:tcPr>
          <w:p w:rsidR="00910411" w:rsidRPr="00FB5C28" w:rsidRDefault="00910411" w:rsidP="005C69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 w:type="page"/>
            </w:r>
          </w:p>
        </w:tc>
        <w:tc>
          <w:tcPr>
            <w:tcW w:w="4785" w:type="dxa"/>
          </w:tcPr>
          <w:p w:rsidR="00910411" w:rsidRDefault="00910411" w:rsidP="005158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  <w:p w:rsidR="00910411" w:rsidRPr="00FB5C28" w:rsidRDefault="00910411" w:rsidP="005158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910411" w:rsidRPr="00FB5C28" w:rsidRDefault="00910411" w:rsidP="005158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к Решению Тенькинского районного</w:t>
            </w:r>
          </w:p>
          <w:p w:rsidR="00910411" w:rsidRPr="00FB5C28" w:rsidRDefault="00910411" w:rsidP="005158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Собрания представителей</w:t>
            </w:r>
          </w:p>
          <w:p w:rsidR="00910411" w:rsidRPr="00FB5C28" w:rsidRDefault="00910411" w:rsidP="005158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от _________________ № ___</w:t>
            </w:r>
          </w:p>
        </w:tc>
      </w:tr>
    </w:tbl>
    <w:p w:rsidR="00910411" w:rsidRPr="00FB5C28" w:rsidRDefault="00910411" w:rsidP="00FB5C28">
      <w:pPr>
        <w:rPr>
          <w:rFonts w:ascii="Times New Roman" w:hAnsi="Times New Roman" w:cs="Times New Roman"/>
          <w:sz w:val="22"/>
          <w:szCs w:val="22"/>
        </w:rPr>
      </w:pPr>
    </w:p>
    <w:p w:rsidR="00910411" w:rsidRPr="00FB5C28" w:rsidRDefault="00910411" w:rsidP="00FB5C28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  <w:r w:rsidRPr="00FB5C28">
        <w:rPr>
          <w:rFonts w:ascii="Times New Roman" w:hAnsi="Times New Roman" w:cs="Times New Roman"/>
          <w:sz w:val="22"/>
          <w:szCs w:val="22"/>
        </w:rPr>
        <w:t xml:space="preserve">Исполнение доходов бюджета  муниципального образования </w:t>
      </w: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  <w:r w:rsidRPr="00FB5C28">
        <w:rPr>
          <w:rFonts w:ascii="Times New Roman" w:hAnsi="Times New Roman" w:cs="Times New Roman"/>
          <w:sz w:val="22"/>
          <w:szCs w:val="22"/>
        </w:rPr>
        <w:t xml:space="preserve">Тенькинский район Магаданской области по кодам видов доходов, подвидов доходов, классификации операций сектора государственного управления, </w:t>
      </w: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  <w:r w:rsidRPr="00FB5C28">
        <w:rPr>
          <w:rFonts w:ascii="Times New Roman" w:hAnsi="Times New Roman" w:cs="Times New Roman"/>
          <w:sz w:val="22"/>
          <w:szCs w:val="22"/>
        </w:rPr>
        <w:t>относящихся к доходам бюджета, за 2015 год</w:t>
      </w: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835"/>
        <w:gridCol w:w="1559"/>
        <w:gridCol w:w="1559"/>
        <w:gridCol w:w="851"/>
      </w:tblGrid>
      <w:tr w:rsidR="00910411" w:rsidRPr="00FB5C28">
        <w:trPr>
          <w:cantSplit/>
          <w:trHeight w:val="1906"/>
        </w:trPr>
        <w:tc>
          <w:tcPr>
            <w:tcW w:w="2836" w:type="dxa"/>
            <w:vAlign w:val="center"/>
          </w:tcPr>
          <w:p w:rsidR="00910411" w:rsidRPr="00FB5C28" w:rsidRDefault="00910411" w:rsidP="0051580F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  <w:vAlign w:val="center"/>
          </w:tcPr>
          <w:p w:rsidR="00910411" w:rsidRPr="00FB5C28" w:rsidRDefault="00910411" w:rsidP="005158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Align w:val="center"/>
          </w:tcPr>
          <w:p w:rsidR="00910411" w:rsidRPr="00FB5C28" w:rsidRDefault="00910411" w:rsidP="005158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Утверждено, руб.</w:t>
            </w:r>
          </w:p>
        </w:tc>
        <w:tc>
          <w:tcPr>
            <w:tcW w:w="1559" w:type="dxa"/>
            <w:vAlign w:val="center"/>
          </w:tcPr>
          <w:p w:rsidR="00910411" w:rsidRPr="00FB5C28" w:rsidRDefault="00910411" w:rsidP="005158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Исполнено, руб.</w:t>
            </w:r>
          </w:p>
        </w:tc>
        <w:tc>
          <w:tcPr>
            <w:tcW w:w="851" w:type="dxa"/>
            <w:textDirection w:val="btLr"/>
            <w:vAlign w:val="center"/>
          </w:tcPr>
          <w:p w:rsidR="00910411" w:rsidRPr="00FB5C28" w:rsidRDefault="00910411" w:rsidP="0051580F">
            <w:pPr>
              <w:ind w:right="113" w:hanging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Исполнено, %</w:t>
            </w:r>
          </w:p>
        </w:tc>
      </w:tr>
    </w:tbl>
    <w:p w:rsidR="00910411" w:rsidRPr="00FB5C28" w:rsidRDefault="00910411" w:rsidP="00FB5C28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640" w:type="dxa"/>
        <w:tblInd w:w="-106" w:type="dxa"/>
        <w:tblLook w:val="00A0"/>
      </w:tblPr>
      <w:tblGrid>
        <w:gridCol w:w="5"/>
        <w:gridCol w:w="2622"/>
        <w:gridCol w:w="2835"/>
        <w:gridCol w:w="1573"/>
        <w:gridCol w:w="1559"/>
        <w:gridCol w:w="1046"/>
      </w:tblGrid>
      <w:tr w:rsidR="00910411" w:rsidRPr="00FB5C28">
        <w:trPr>
          <w:trHeight w:val="159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FB5C28" w:rsidRDefault="00910411" w:rsidP="00515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000 8 90 00000 00 0000 000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494 519 144,00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452 305 774,22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000 1000000000 0000 000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170 592 600,00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130 327 158,86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76,4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000 1010000000 0000 000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145 518 500,00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105 621 257,21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000 1010200001 0000 110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145 518 500,00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105 621 257,21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72,6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000 1010201001 0000 110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142 781 300,00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103 480 060,12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72,5</w:t>
            </w:r>
          </w:p>
        </w:tc>
      </w:tr>
      <w:tr w:rsidR="00910411" w:rsidRPr="00FB5C28">
        <w:trPr>
          <w:trHeight w:val="10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000 1010202001 0000 110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10 000,45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</w:t>
            </w:r>
          </w:p>
        </w:tc>
      </w:tr>
      <w:tr w:rsidR="00910411" w:rsidRPr="00FB5C28">
        <w:trPr>
          <w:trHeight w:val="31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000 1010203001 0000 110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114 195,03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</w:tr>
      <w:tr w:rsidR="00910411" w:rsidRPr="00FB5C28">
        <w:trPr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000 1010204001 0000 110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2 501 700,00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2 017 001,61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80,6</w:t>
            </w:r>
          </w:p>
        </w:tc>
      </w:tr>
      <w:tr w:rsidR="00910411" w:rsidRPr="00FB5C28">
        <w:trPr>
          <w:trHeight w:val="9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000 1030000000 0000 000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1 352 058,06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000 1030200001 0000 110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1 352 058,06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000 1030223001 0000 110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471 331,22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000 1030224001 0000 110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12 768,70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910411" w:rsidRPr="00FB5C28">
        <w:trPr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000 1030225001 0000 110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928 579,36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101,3</w:t>
            </w:r>
          </w:p>
        </w:tc>
      </w:tr>
      <w:tr w:rsidR="00910411" w:rsidRPr="00FB5C28">
        <w:trPr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000 1030226001 0000 110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-60 621,22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trHeight w:val="17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000 1050000000 0000 000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4 700 200,00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4 507 835,22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95,9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000 1050200002 0000 110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4 487 735,22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96,1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000 1050201002 0000 110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4 476 728,05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96,1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000 1050202002 0000 110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11 007,17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000 1050400002 0000 110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20 100,00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68,8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000 1050402002 0000 110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20 100,00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68,8</w:t>
            </w:r>
          </w:p>
        </w:tc>
      </w:tr>
      <w:tr w:rsidR="00910411" w:rsidRPr="00FB5C28">
        <w:trPr>
          <w:trHeight w:val="2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7 571,72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33,8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000 1060100000 0000 110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-56,57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000 1060103005 0000 110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-56,57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trHeight w:val="24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000 1060600000 0000 110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7 628,29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34,1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000 1060603000 0000 110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6 260,49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30,2</w:t>
            </w:r>
          </w:p>
        </w:tc>
      </w:tr>
      <w:tr w:rsidR="00910411" w:rsidRPr="00FB5C28">
        <w:trPr>
          <w:trHeight w:val="10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000 1060603305 0000 110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6 260,49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30,2</w:t>
            </w:r>
          </w:p>
        </w:tc>
      </w:tr>
      <w:tr w:rsidR="00910411" w:rsidRPr="00FB5C28">
        <w:trPr>
          <w:trHeight w:val="4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000 1060604000 0000 110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1 367,80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80,5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000 1060604305 0000 110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1 367,80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80,5</w:t>
            </w:r>
          </w:p>
        </w:tc>
      </w:tr>
      <w:tr w:rsidR="00910411" w:rsidRPr="00FB5C28">
        <w:trPr>
          <w:trHeight w:val="39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000 1080000000 0000 000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1 598 200,00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1 308 654,00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81,9</w:t>
            </w:r>
          </w:p>
        </w:tc>
      </w:tr>
      <w:tr w:rsidR="00910411" w:rsidRPr="00FB5C28">
        <w:trPr>
          <w:trHeight w:val="8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000 1080300001 0000 110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1 598 100,00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1 308 654,00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81,9</w:t>
            </w:r>
          </w:p>
        </w:tc>
      </w:tr>
      <w:tr w:rsidR="00910411" w:rsidRPr="00FB5C28">
        <w:trPr>
          <w:trHeight w:val="31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000 1080301001 0000 110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1 598 100,00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1 308 654,00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81,9</w:t>
            </w:r>
          </w:p>
        </w:tc>
      </w:tr>
      <w:tr w:rsidR="00910411" w:rsidRPr="00FB5C28">
        <w:trPr>
          <w:trHeight w:val="10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000 1080400001 0000 110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000 1080402001 0000 110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11 712 973,95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105,1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000 1110500000 0000 120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9 639 916,32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105,5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000 1110501000 0000 120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9 639 916,32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105,5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000 1110501305 0000 120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3 117 765,55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103,9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000 1110501310 0000 120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5 827 036,58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106,9</w:t>
            </w:r>
          </w:p>
        </w:tc>
      </w:tr>
      <w:tr w:rsidR="00910411" w:rsidRPr="00FB5C28">
        <w:trPr>
          <w:trHeight w:val="52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000 1110501313 0000 120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695 114,19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100,7</w:t>
            </w:r>
          </w:p>
        </w:tc>
      </w:tr>
      <w:tr w:rsidR="00910411" w:rsidRPr="00FB5C28">
        <w:trPr>
          <w:trHeight w:val="17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000 1110900000 0000 120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2 073 057,63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</w:t>
            </w:r>
          </w:p>
        </w:tc>
      </w:tr>
      <w:tr w:rsidR="00910411" w:rsidRPr="00FB5C28">
        <w:trPr>
          <w:trHeight w:val="4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000 1110904000 0000 120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2 073 057,63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</w:t>
            </w:r>
          </w:p>
        </w:tc>
      </w:tr>
      <w:tr w:rsidR="00910411" w:rsidRPr="00FB5C28">
        <w:trPr>
          <w:trHeight w:val="13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000 1110904505 0000 120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2 073 057,63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</w:t>
            </w:r>
          </w:p>
        </w:tc>
      </w:tr>
      <w:tr w:rsidR="00910411" w:rsidRPr="00FB5C28">
        <w:trPr>
          <w:trHeight w:val="4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000 1120000000 0000 000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4 612 900,00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4 294 173,63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93,1</w:t>
            </w:r>
          </w:p>
        </w:tc>
      </w:tr>
      <w:tr w:rsidR="00910411" w:rsidRPr="00FB5C28">
        <w:trPr>
          <w:trHeight w:val="74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000 1120100001 0000 120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4 612 900,00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4 294 173,63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93,1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000 1120101001 0000 120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168 157,92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92,9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000 1120102001 0000 120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62 909,89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87,1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000 1120103001 0000 120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44 338,53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125,6</w:t>
            </w:r>
          </w:p>
        </w:tc>
      </w:tr>
      <w:tr w:rsidR="00910411" w:rsidRPr="00FB5C28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000 1120104001 0000 120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4 324 300,00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4 018 767,29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92,9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000 1130000000 0000 000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271 822,90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302,0</w:t>
            </w:r>
          </w:p>
        </w:tc>
      </w:tr>
      <w:tr w:rsidR="00910411" w:rsidRPr="00FB5C28">
        <w:trPr>
          <w:trHeight w:val="2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000 1130200000 0000 130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271 822,90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302,0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000 1130299000 0000 130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271 822,90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302,0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000 1130299505 0000 130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271 822,90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302,0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689 619,00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000 1140200000 0000 000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689 619,00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</w:t>
            </w:r>
          </w:p>
        </w:tc>
      </w:tr>
      <w:tr w:rsidR="00910411" w:rsidRPr="00FB5C28">
        <w:trPr>
          <w:gridBefore w:val="1"/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000 1140205005 0000 410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689 619,00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</w:t>
            </w:r>
          </w:p>
        </w:tc>
      </w:tr>
      <w:tr w:rsidR="00910411" w:rsidRPr="00FB5C28">
        <w:trPr>
          <w:gridBefore w:val="1"/>
          <w:trHeight w:val="29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000 1140205305 0000 410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689 619,00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000 1140600000 0000 430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6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000 1140601000 0000 430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000 1140601305 0000 430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613 471,48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74,1</w:t>
            </w:r>
          </w:p>
        </w:tc>
      </w:tr>
      <w:tr w:rsidR="00910411" w:rsidRPr="00FB5C28">
        <w:trPr>
          <w:gridBefore w:val="1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000 1160300000 0000 140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16 350,00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102,2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000 1160301001 0000 140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13 475,00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122,5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000 1160303001 0000 140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2 875,00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57,5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000 1160600001 0000 140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78,9</w:t>
            </w:r>
          </w:p>
        </w:tc>
      </w:tr>
      <w:tr w:rsidR="00910411" w:rsidRPr="00FB5C28">
        <w:trPr>
          <w:gridBefore w:val="1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000 1160800001 0000 140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000 1160801001 0000 140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000 1162500000 0000 140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22 500,00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59,2</w:t>
            </w:r>
          </w:p>
        </w:tc>
      </w:tr>
      <w:tr w:rsidR="00910411" w:rsidRPr="00FB5C28">
        <w:trPr>
          <w:gridBefore w:val="1"/>
          <w:trHeight w:val="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000 1162503001 0000 140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000 1162505001 0000 140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000 1162506001 0000 140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000 1162508000 0000 140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000 1162508505 0000 140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000 1162800001 0000 140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178 000,00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178,0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000 1163000001 0000 140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106 834,48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213,7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000 1163003001 0000 140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106 834,48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213,7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000 1163300000 0000 140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66,7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000 1163305005 0000 140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66,7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000 1169000000 0000 140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239 787,00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43,9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000 1169005005 0000 140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546 000,00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239 787,00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43,9</w:t>
            </w:r>
          </w:p>
        </w:tc>
      </w:tr>
      <w:tr w:rsidR="00910411" w:rsidRPr="00FB5C28">
        <w:trPr>
          <w:gridBefore w:val="1"/>
          <w:trHeight w:val="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000 1170000000 0000 000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-52 278,31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000 1170100000 0000 180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-52 278,31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000 1170105005 0000 180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-52 278,31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000 2000000000 0000 000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323 926 544,00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321 978 615,36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99,4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323 686 644,00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323 093 393,81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99,8</w:t>
            </w:r>
          </w:p>
        </w:tc>
      </w:tr>
      <w:tr w:rsidR="00910411" w:rsidRPr="00FB5C28">
        <w:trPr>
          <w:gridBefore w:val="1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000 2020100000 0000 151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110 774 100,00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110 774 004,68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4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000 2020100100 0000 151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44 975 000,00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44 975 000,00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9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000 2020100105 0000 151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44 975 000,00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44 975 000,00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11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000 2020100300 0000 151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62 902 000,00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62 901 904,68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1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000 2020100305 0000 151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62 902 000,00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62 901 904,68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000 2020199900 0000 151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2 897 100,00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2 897 100,00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000 2020199905 0000 151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2 897 100,00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2 897 100,00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9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000 2020200000 0000 151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66 223 000,00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66 222 896,13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000 2020299900 0000 151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66 223 000,00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66 222 896,13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000 2020299905 0000 151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66 223 000,00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66 222 896,13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000 2020300000 0000 151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130 321 644,00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129 728 593,00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99,5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000 2020300300 0000 151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845 444,00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845 444,00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000 2020300305 0000 151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845 444,00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845 444,00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000 2020300700 0000 151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67 400,00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6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000 2020300705 0000 151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67 400,00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000 2020302100 0000 151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910 086,00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000 2020302105 0000 151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910 086,00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000 2020302400 0000 151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128 418 600,00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127 905 663,00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99,6</w:t>
            </w:r>
          </w:p>
        </w:tc>
      </w:tr>
      <w:tr w:rsidR="00910411" w:rsidRPr="00FB5C28">
        <w:trPr>
          <w:gridBefore w:val="1"/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000 2020302405 0000 151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128 418 600,00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127 905 663,00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99,6</w:t>
            </w:r>
          </w:p>
        </w:tc>
      </w:tr>
      <w:tr w:rsidR="00910411" w:rsidRPr="00FB5C28">
        <w:trPr>
          <w:gridBefore w:val="1"/>
          <w:trHeight w:val="4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000 2020400000 0000 151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16 367 900,00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16 367 900,00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000 2020401400 0000 151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9 411 500,00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9 411 500,00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000 2020401405 0000 151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9 411 500,00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9 411 500,00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000 2020499900 0000 151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6 956 400,00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6 956 400,00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1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000 2020499905 0000 151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6 956 400,00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6 956 400,00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10411" w:rsidRPr="00FB5C28">
        <w:trPr>
          <w:gridBefore w:val="1"/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000 2070000000 0000 000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219 816,00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000 2070500005 0000 180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219 816,00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000 2070503005 0000 180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219 816,00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</w:tr>
      <w:tr w:rsidR="00910411" w:rsidRPr="00FB5C28">
        <w:trPr>
          <w:gridBefore w:val="1"/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000 2190000000 0000 000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-1 334 594,45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0411" w:rsidRPr="00FB5C28">
        <w:trPr>
          <w:gridBefore w:val="1"/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FB5C28" w:rsidRDefault="00910411" w:rsidP="00DF2CDA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DF2CDA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000 2190500005 0000 151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28">
              <w:rPr>
                <w:rFonts w:ascii="Times New Roman" w:hAnsi="Times New Roman" w:cs="Times New Roman"/>
                <w:sz w:val="22"/>
                <w:szCs w:val="22"/>
              </w:rPr>
              <w:t>-1 334 594,45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FB5C28" w:rsidRDefault="00910411" w:rsidP="0051580F">
            <w:pPr>
              <w:ind w:hanging="1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10411" w:rsidRPr="00FB5C28" w:rsidRDefault="00910411" w:rsidP="00FB5C2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10411" w:rsidRPr="00FB5C28" w:rsidRDefault="00910411" w:rsidP="00CD29D8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10411" w:rsidRDefault="00910411" w:rsidP="00CD2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0411" w:rsidRDefault="00910411" w:rsidP="00CD2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0411" w:rsidRDefault="00910411" w:rsidP="00CD2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0411" w:rsidRDefault="00910411" w:rsidP="00CD2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0411" w:rsidRDefault="00910411" w:rsidP="00CD29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0411" w:rsidRDefault="00910411" w:rsidP="00CD29D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411" w:rsidRDefault="00910411" w:rsidP="00CD29D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615"/>
        <w:gridCol w:w="4672"/>
      </w:tblGrid>
      <w:tr w:rsidR="00910411" w:rsidRPr="00D24B34">
        <w:tc>
          <w:tcPr>
            <w:tcW w:w="4615" w:type="dxa"/>
          </w:tcPr>
          <w:p w:rsidR="00910411" w:rsidRPr="00BE70E2" w:rsidRDefault="00910411" w:rsidP="005C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78">
              <w:br w:type="page"/>
            </w:r>
          </w:p>
        </w:tc>
        <w:tc>
          <w:tcPr>
            <w:tcW w:w="4672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910411" w:rsidRPr="00A864CC" w:rsidRDefault="00910411" w:rsidP="00A864CC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910411" w:rsidRPr="00A864CC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 xml:space="preserve"> Тенькинский район Магаданской области </w:t>
      </w: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 за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64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411" w:rsidRPr="00A864CC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2" w:type="dxa"/>
        <w:tblLayout w:type="fixed"/>
        <w:tblLook w:val="00A0"/>
      </w:tblPr>
      <w:tblGrid>
        <w:gridCol w:w="2552"/>
        <w:gridCol w:w="550"/>
        <w:gridCol w:w="584"/>
        <w:gridCol w:w="567"/>
        <w:gridCol w:w="1275"/>
        <w:gridCol w:w="567"/>
        <w:gridCol w:w="1560"/>
        <w:gridCol w:w="1701"/>
        <w:gridCol w:w="707"/>
      </w:tblGrid>
      <w:tr w:rsidR="00910411" w:rsidRPr="00A864CC">
        <w:trPr>
          <w:trHeight w:val="8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Утверждено,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Исполнено, %</w:t>
            </w:r>
          </w:p>
        </w:tc>
      </w:tr>
      <w:tr w:rsidR="00910411" w:rsidRPr="00A864CC">
        <w:trPr>
          <w:trHeight w:val="4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411" w:rsidRPr="00A864CC" w:rsidRDefault="00910411" w:rsidP="00A864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2" w:type="dxa"/>
        <w:tblLayout w:type="fixed"/>
        <w:tblLook w:val="00A0"/>
      </w:tblPr>
      <w:tblGrid>
        <w:gridCol w:w="2552"/>
        <w:gridCol w:w="567"/>
        <w:gridCol w:w="567"/>
        <w:gridCol w:w="567"/>
        <w:gridCol w:w="1275"/>
        <w:gridCol w:w="567"/>
        <w:gridCol w:w="1560"/>
        <w:gridCol w:w="1701"/>
        <w:gridCol w:w="709"/>
      </w:tblGrid>
      <w:tr w:rsidR="00910411" w:rsidRPr="00A864CC">
        <w:trPr>
          <w:trHeight w:val="22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right="-1006"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 xml:space="preserve">         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512165544,00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466 804 687,95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376238144,00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337 658 721,21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95376844,00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83 895 145,04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4239200,00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3 991 572,98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4239200,00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3 991 572,98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3675700,00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3 441 572,95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3675700,00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3 441 572,95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3675700,00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3 441 572,95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Глава 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563500,00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550 000,03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62 6 1011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563500,00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550 000,03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62 6 1011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563500,00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550 000,03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74584400,00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64 874 005,21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74584400,00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64 874 005,21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48677200,00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43 831 518,59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48677200,00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43 831 518,59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48677200,00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43 831 518,59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25907200,00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21 042 486,62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14826500,00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13 418 204,25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14826500,00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13 418 204,25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11080700,00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7 624 282,37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10465700,00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7 402 507,46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615000,00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221 774,91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16553244,00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15 029 566,85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2826900,00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2 826 741,71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2 795 563,28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2 795 563,28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31 178,43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31 178,43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13520844,00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12 054 645,32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2689300,00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2 031 525,96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2529300,00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1 907 469,12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2002400,00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1 887 448,62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526900,00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20 020,50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74 056,84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74 056,84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переданных полномочий от 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10831544,00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10 023 119,36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67400,00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67 Э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67400,00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7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845444,00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845444,00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7188200,00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7 188 163,40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7188200,00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7 188 163,40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7188200,00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7 188 163,40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2730500,00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1 930 955,96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2084600,00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1 872 947,31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1912500,00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1 820 649,31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52 298,00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645900,00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58 008,65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645900,00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58 008,65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56 179,82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56 179,82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56 179,82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910411" w:rsidRPr="00941299">
        <w:trPr>
          <w:trHeight w:val="2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127308,00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127 308,00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127 308,00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127 308,00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941299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127 308,00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2550700,00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803764,82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834500,00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803 764,82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 области  «Экономическое развитие и инновационная экономика Магаданской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4Ш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малого и среднего предпринимательства в Магаданской области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4Ш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поддержки развития малого и среднего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4Ш 1 7336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4Ш 1 7336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526200,00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495 464,82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526200,00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495 464,82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526200,00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495 464,82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526200,00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495 464,82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443300,00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434 150,22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82900,00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61 314,60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27978800,00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26 116 279,92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12368500,00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10 509 900,00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</w:tr>
      <w:tr w:rsidR="00910411" w:rsidRPr="00941299">
        <w:trPr>
          <w:trHeight w:val="6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 по проведению ремонтных работ в рамках подготовки к осенне-зимнему периоду 2015-2016 г.г. МУП «Омчакжилкомуслуги»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11368500,00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9 509 900,00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9884000,00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8 224 800,00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9884000,00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8 224 800,00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9884000,00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8 224 800,00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1484500,00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1 285 100,00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1484500,00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1 285 100,00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199400,00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1285100,00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1 285 100,00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15610300,00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15606379,92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2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 Магаданской области в реализации  муниципальных программ комплексного  развития коммунальной на 2014-2017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14 473 000,00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на 2015-2016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54 4 6230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54 4 6230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14 473 000,00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346079,92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346 079,92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  муниципального образования Тенькинский район 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346 079,92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346 079,92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района  на 2015-2016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787 300,00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787 300,00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787 300,00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1323500,00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1 323 367,00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1323500,00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1 323 367,00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4Б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1 257 198,65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"Экологическая безопасность и охрана окружающей среды Магаданской области 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4Б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1 257 198,65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экологические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1 257 198,65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1 257 198,65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 "Экологическая безопасность и охрана окружающей среды Магаданской области  на 2014-2020 годы"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66 168,35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66 168,35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204620400,00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182 215 222,80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59356900,00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53 452 845,69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15042200,00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9 218 653,69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15042200,00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9 218 653,69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15042200,00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9 218 653,69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43854700,00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43 845 742,00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43854700,00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43 845 742,00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43854700,00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43 845 742,00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43854700,00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43 845 742,00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460000,00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388 450,00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388 450,00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388 450,00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121530000,00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107 294 382,14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23362100,00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15 912 070,29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23362100,00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15 912 070,29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23362100,00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15 912 070,29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24599500,00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18 277 365,85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24599500,00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18 277 365,85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24599500,00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18 277 365,85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72064800,00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71 981 546,00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1259100,00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1 255 960,00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муниципальных образований на совершенствование питания учащихся в общеобразовательных  учреждениях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1259100,00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1 255 960,00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1259100,00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1 255 960,00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70730700,00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70 650 586,00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69740500,00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69 740 500,00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69740500,00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69 740 500,00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990200,00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910 086,00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990200,00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910 086,00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910411" w:rsidRPr="00941299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1 119 800,00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1 119 800,00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1 119 800,00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1 119 800,00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4169900,00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3 815 093,11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1784600,00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1 784 599,00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1784600,00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1 784 599,00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1784600,00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1 784 599,00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1784600,00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1 784 599,00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2160300,00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1 806 989,11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67 243,90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67 243,90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2010300,00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1 739 745,21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2010300,00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1 739 745,21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ниципальная программа "Молодежь </w:t>
            </w: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Тенькинского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166 505,00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166 505,00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166 505,00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19563600,00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17 652 901,86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5610800,00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5 339 879,30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5610800,00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5 339 879,30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 на осуществление государственных полномочий по предоставлению дополнительных мер социальной поддержки работникам муниципальных 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1273900,00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1 199 979,30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1273900,00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1 199 979,30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4336900,00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4 139 900,00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4336900,00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4 139 900,00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3488400,00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2 993 078,21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3488400,00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2 993 078,21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3488400,00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2 993 078,21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6385500,00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6 381 725,59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6323400,00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6 319 625,59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6323400,00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6 319 625,59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пунктами 1.1, 1.2, 1.3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6323400,00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6 319 625,59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6323400,00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6 319 625,59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2223300,00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1 748 761,15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2078300,00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1 694 761,15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2078300,00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1 694 761,15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1655600,00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1 096 757,61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1655600,00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1 096 757,61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1655600,00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1 096 757,61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38647000,00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37 817 899,24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2318000,00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2 317 141,08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2318000,00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2 317 141,08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2318000,00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2 317 141,08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обязательствам,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2318000,00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2 317 141,08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2318000,00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2 317 141,08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2318000,00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2 317 141,08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33509100,0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33 360 285,40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4Л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24613427,00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24 613 397,48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"Оказание  поддержки в обеспечении жильем молодых семей"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4Л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251 427,00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4Л 3 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251 427,00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4Л 3 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251 427,00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фонда"на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4Л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23 000 000,00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23 000 000,00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23 000 000,00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"Содействие муниципальным образованиям в оптимизации системы расселения в Магаданской области" на 2014-2016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4Л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1 361 970,48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Строительство, выкуп жилья, расположенного в иных населенных пунктах Магаданской области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1 361 970,48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1 361 970,48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"Оказание содействия муниципальным образованиям Магаданской области в переселении граждан из аварийного жилищного фонда"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8 361 000,00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8 361 000,00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8 361 000,00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6889000,00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6 888 000,00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1 473 000,00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117850,00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117 850,00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82150,00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23673,00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20 887,92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23673,00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20 887,92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2 140 472,76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2230100,00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2 018 360,30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2230100,00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2 018 360,30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2230100,00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2 018 360,30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1946600,00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1 906 606,50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111 753,80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4И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589800,00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122 112,46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Отдельные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4И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589800,00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122 112,46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589800,00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122 112,46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589800,00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122 112,46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обязательствам,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развитие физической культуры и спорта, за счет прочих безвозмездных поступлений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218 634,39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5041100,00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5 041 100,00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5041100,00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5 041 100,00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5041100,00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5 041 100,00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5041100,00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5 041 100,00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5041100,00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5 041 100,00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5041100,00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5 041 100,00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95981500,00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92 748 561,94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11547600,00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11245885,58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11520600,00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11218 885,58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11520600,00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11218 885,58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11162700,00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10 861 166,79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10787700,00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10 508 497,04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10411" w:rsidRPr="00941299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10787700,00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10 508 497,04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375000,00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352 669,75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368500,00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348 268,46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4 401,29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357 718,79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357 718,79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357 718,79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27000,00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84170900,00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81 502 676,36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3136000,00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3 136 000,00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3136000,00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3 136 000,00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3136000,00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3 136 000,00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поселениям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3136000,00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3 136 000,00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3136000,00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3 136 000,00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81034900,00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78 366 676,36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22399000,00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22 399 000,00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22399000,00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22 399 000,00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вопросов местного значения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22399000,00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22 399 000,00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22399000,00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22 399 000,00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58635900,00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55 967 676,36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58635900,00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55 967 676,36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58635900,00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55 967 676,36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48222700,00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48 222 576,36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48222700,00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48 222 576,36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10413200,00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7 745 100,00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10413200,00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7 745 100,00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Тенькинское районное Собрание представителей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2862300,00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2 860 128,60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2862300,00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2 860 128,60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2862300,00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2 860 128,60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деятельности,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2862300,00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2 860 128,60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474100,00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473 937,49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474100,00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473 937,49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474100,00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473 937,49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2388200,00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2 386 191,11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2163900,00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2 163 584,70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2163900,00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2 163 584,70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224300,00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222 606,41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221 760,60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845,81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 муниципального образования Тенькинский район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2859600,00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2 859 153,19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2859600,00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2 859 153,19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2859600,00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2 859 153,19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2859600,00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2 859 153,19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1423100,00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1 422 694,34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1222100,00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1 221 894,34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1222100,00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1 221 894,34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201000,00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197500,00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197 300,00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 содержание Председателя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1436500,00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1 436 458,85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1436500,00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1 436 458,85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1436500,00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1 436 458,85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Оротукская сельская администрация администрации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2007600,00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1 288 686,41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1599900,00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1 210 798,41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1599900,00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1 210 798,41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821000,00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730 521,89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821000,00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730 521,89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821000,00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730 521,89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778900,00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480 276,52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322 022,60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579000,00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322 022,60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158 253,92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195000,00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156 361,90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1 892,02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407700,00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77 888,00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407700,00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77 888,00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407700,00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77 888,00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58 358,37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216200,00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58 358,37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19 529,63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189000,00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17 529,63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Комитет культуры, молодежной политики, спорта и туризма администрации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29610400,00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26 790 086,60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29610400,00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26 790 086,60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24987100,00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22 694 830,00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14002700,00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13 546 130,00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4651200,00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4 194 630,00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4651200,00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4 194 630,00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8977100,00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8 977 100,00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8977100,00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8 977 100,00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374400,00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374 400,00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374400,00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374 400,00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10806000,00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8 970 300,00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910411" w:rsidRPr="00941299">
        <w:trPr>
          <w:trHeight w:val="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10806000,00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8 970 300,00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10806000,00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8 970 300,00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178400,00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178 400,00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библиотечного дела в Магаданской области"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178400,00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178 400,00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5100,00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173300,00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173 300,00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173300,00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173 300,00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4623300,00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4 095 256,60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3995400,00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3 557 132,89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3595700,00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3 326 107,59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3595700,00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3 326 107,59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399700,00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231 025,30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396200,00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229 731,07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1 294,23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538 123,71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538 123,71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538 123,71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941299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пунктом 1.4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538 123,71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627900,00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538 123,71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2606000,00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2 599 350,00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690000,00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C47294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7294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690000,00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690000,00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683 350,00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Ц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</w:tr>
      <w:tr w:rsidR="00910411" w:rsidRPr="00941299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40000,00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33 350,00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650000,00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0411" w:rsidRPr="00941299">
        <w:trPr>
          <w:trHeight w:val="2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 xml:space="preserve">1916000,00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9412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1 916 000,00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941299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9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910411" w:rsidRDefault="00910411">
      <w:r>
        <w:br w:type="page"/>
      </w:r>
    </w:p>
    <w:p w:rsidR="00910411" w:rsidRDefault="00910411"/>
    <w:p w:rsidR="00910411" w:rsidRDefault="00910411"/>
    <w:p w:rsidR="00910411" w:rsidRDefault="00910411" w:rsidP="005C692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C75378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0" w:type="auto"/>
        <w:tblInd w:w="2" w:type="dxa"/>
        <w:tblLook w:val="00A0"/>
      </w:tblPr>
      <w:tblGrid>
        <w:gridCol w:w="4615"/>
        <w:gridCol w:w="4991"/>
      </w:tblGrid>
      <w:tr w:rsidR="00910411" w:rsidRPr="00D24B34">
        <w:tc>
          <w:tcPr>
            <w:tcW w:w="4615" w:type="dxa"/>
          </w:tcPr>
          <w:p w:rsidR="00910411" w:rsidRPr="00BE70E2" w:rsidRDefault="00910411" w:rsidP="005C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78">
              <w:br w:type="page"/>
            </w:r>
          </w:p>
        </w:tc>
        <w:tc>
          <w:tcPr>
            <w:tcW w:w="4991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910411" w:rsidRDefault="00910411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A71B7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 целевым статьям</w:t>
      </w:r>
    </w:p>
    <w:p w:rsidR="00910411" w:rsidRDefault="00910411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B7C"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2015 год</w:t>
      </w:r>
    </w:p>
    <w:p w:rsidR="00910411" w:rsidRDefault="00910411" w:rsidP="00A71B7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" w:type="dxa"/>
        <w:tblLayout w:type="fixed"/>
        <w:tblLook w:val="00A0"/>
      </w:tblPr>
      <w:tblGrid>
        <w:gridCol w:w="2416"/>
        <w:gridCol w:w="567"/>
        <w:gridCol w:w="561"/>
        <w:gridCol w:w="1276"/>
        <w:gridCol w:w="567"/>
        <w:gridCol w:w="1559"/>
        <w:gridCol w:w="1701"/>
        <w:gridCol w:w="993"/>
      </w:tblGrid>
      <w:tr w:rsidR="00910411" w:rsidRPr="00A864CC">
        <w:trPr>
          <w:trHeight w:val="225"/>
          <w:tblHeader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Утверждено,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51580F">
            <w:pPr>
              <w:widowControl/>
              <w:autoSpaceDE/>
              <w:autoSpaceDN/>
              <w:adjustRightInd/>
              <w:ind w:right="-1006" w:firstLine="0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Исполнено,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Исполнено, %</w:t>
            </w:r>
          </w:p>
        </w:tc>
      </w:tr>
      <w:tr w:rsidR="00910411" w:rsidRPr="00A864CC">
        <w:trPr>
          <w:trHeight w:val="590"/>
          <w:tblHeader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4CC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right="-100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A864CC" w:rsidRDefault="00910411" w:rsidP="00DC3A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0411" w:rsidRPr="00DC3AF2" w:rsidRDefault="00910411" w:rsidP="00DC3AF2">
      <w:pPr>
        <w:widowControl/>
        <w:autoSpaceDE/>
        <w:autoSpaceDN/>
        <w:adjustRightInd/>
        <w:spacing w:before="240"/>
        <w:ind w:firstLine="0"/>
        <w:rPr>
          <w:rFonts w:ascii="Times New Roman" w:hAnsi="Times New Roman" w:cs="Times New Roman"/>
          <w:sz w:val="2"/>
          <w:szCs w:val="2"/>
        </w:rPr>
      </w:pPr>
    </w:p>
    <w:p w:rsidR="00910411" w:rsidRPr="00A864CC" w:rsidRDefault="00910411" w:rsidP="00A71B7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9640" w:type="dxa"/>
        <w:tblInd w:w="2" w:type="dxa"/>
        <w:tblLayout w:type="fixed"/>
        <w:tblLook w:val="00A0"/>
      </w:tblPr>
      <w:tblGrid>
        <w:gridCol w:w="2416"/>
        <w:gridCol w:w="561"/>
        <w:gridCol w:w="6"/>
        <w:gridCol w:w="561"/>
        <w:gridCol w:w="1276"/>
        <w:gridCol w:w="567"/>
        <w:gridCol w:w="1559"/>
        <w:gridCol w:w="1701"/>
        <w:gridCol w:w="993"/>
      </w:tblGrid>
      <w:tr w:rsidR="00910411" w:rsidRPr="00A864CC">
        <w:trPr>
          <w:trHeight w:val="225"/>
          <w:tblHeader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0228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0228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64CC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A864CC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64CC" w:rsidRDefault="00910411" w:rsidP="00DD2E23">
            <w:pPr>
              <w:widowControl/>
              <w:autoSpaceDE/>
              <w:autoSpaceDN/>
              <w:adjustRightInd/>
              <w:ind w:right="-1006"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 xml:space="preserve">           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A864CC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512165544,00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466804687,95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114936244,00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102754460,82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4239200,00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3991572,98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4239200,00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3991572,98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3675700,00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3441572,95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3675700,00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3441572,95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3675700,00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3441572,95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Глава  Тенькинского городского округа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563500,00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550000,03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62 6 1011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563500,00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550000,03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62 6 1011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550000,03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2862300,00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2860128,60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деятельности, в рамках непрограммных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2862300,00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2860128,60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473937,49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473937,49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473937,49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2388200,00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2386191,11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2163584,70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2163584,70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222606,41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221760,60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845,81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76184300,00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66084803,62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76184300,00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66084803,62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49498200,00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44562040,48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49498200,00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44562040,48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49498200,00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44562040,48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26686100,00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21522763,14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15405500,00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13740226,85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15405500,00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13740226,85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11280600,00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7782536,29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10660700,00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7558869,36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70,9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223666,93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14380200,00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14078038,77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14380200,00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14078038,77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12585800,00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12283861,13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12009800,00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11730391,38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12009800,00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11730391,38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553469,75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545568,46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7901,29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357718,79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357718,79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357718,79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 содержание Председателя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1436458,85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1436458,85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1436500,00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1436458,85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17270244,00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15739916,85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2826900,00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2826741,71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2795563,28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2795563,28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31178,43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31178,43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14210844,00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12737995,32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Ц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3339300,00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2681525,96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80,3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3179300,00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2557469,12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2652400,00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2537448,62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526900,00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74056,84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74056,84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переданных полномочий от  бюджетов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60000,00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10831544,00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10023119,36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67400,00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67400,00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67 Э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67400,00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845444,00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836600,00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845444,00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836600,00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7188200,00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7188163,40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7188200,00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7188163,40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7188200,00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7188163,40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2730500,00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1930955,96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2084600,00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1872947,31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1912500,00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1820649,31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52298,00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645900,00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58008,65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645900,00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58008,65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2550700,00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803764,82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803764,82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 области  «Экономическое развитие и инновационная экономика Магаданской области на 2014-2020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4Ш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малого и среднего предпринимательства в Магаданской области на 2014-2020 годы»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4Ш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поддержки развития малого и среднего бизнеса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4Ш 1 7336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4Ш 1 7336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495464,82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495464,82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495464,82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495464,82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434150,22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61314,60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30302500,00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28110167,92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14284500,00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12425900,00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</w:tr>
      <w:tr w:rsidR="00910411" w:rsidRPr="00DD2E23">
        <w:trPr>
          <w:trHeight w:val="8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 по проведению ремонтных работ в рамках подготовки к осенне-зимнему периоду 2015-2016 г.г. МУП «Омчакжилкомуслуги»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1000000,00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1000000,00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13284500,00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11425900,00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11800000,00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10140800,00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11800000,00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10140800,00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11800000,00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10140800,00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1484500,00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1285100,00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1484500,00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1285100,00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199400,00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60 1 0319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1285100,00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1285100,00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16018000,00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15684267,92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407700,00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77888,00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58358,37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58358,37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19529,63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17529,63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910411" w:rsidRPr="00DD2E23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 Магаданской области в реализации  муниципальных программ комплексного  развития коммунальной на 2014-2017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14 473 000,00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на 2015-2016 годов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54 4 6230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14473000,00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54 4 6230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14473000,0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14473000,0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346079,92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346079,92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  муниципального образования Тенькинский район  Магаданской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346079,92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346079,92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района  на 2015-2016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787300,00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1323500,00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1323367,00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1323500,00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1323367,00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4Б 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1257198,65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"Экологическая безопасность и охрана окружающей среды Магаданской области  на 2014-2020 годы"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4Б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1257198,65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экологические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1257300,00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1257198,65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4Б 2 7345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1257198,65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 "Экологическая безопасность и охрана окружающей среды Магаданской области  на 2014-2020 годы"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66200,00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66168,35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56 3 9799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66168,35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204620400,00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182215222,80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59356900,00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53452845,69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15042200,00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9218653,69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15042200,00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9218653,69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15042200,00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9218653,69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43854700,00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43845742,00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43854700,00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43845742,00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43854700,00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43845742,00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43854700,00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43845742,00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121530000,00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107294382,14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Школы начальные, неполные средние и средние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23362100,00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15912070,29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23362100,00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15912070,29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23362100,00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15912070,29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24599500,00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18277365,85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24599500,00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18277365,85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24599500,00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18277365,85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72064800,00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71981546,00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1255960,00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совершенствование питания учащихся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1255960,00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1255960,00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70730700,00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70650586,00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69740500,00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69740500,00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69740500,00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69740500,00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910086,00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910086,00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910411" w:rsidRPr="00DD2E23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1119800,00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1119800,00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муниципальным бюджетным учреждениям на проведение ремонта зданий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1119800,00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1500000,00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1119800,00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4169900,00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3815093,11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2160300,00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1806989,11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67243,90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67243,90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2010300,00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1739745,21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2010300,00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1739745,21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"Молодежь Тенькинского района на 2014-2016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19563600,00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17652901,86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5610800,00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5339879,30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5610800,00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5339879,30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 на осуществление государственных полномочий по предоставлению дополнительных мер социальной поддержки работникам муниципальных образовательных 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1199979,30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1273900,00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1199979,30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94,2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4336900,00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4139900,00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4336900,00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4139900,00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интерната  при школе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3488400,00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2993078,21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3488400,00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2993078,21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3488400,00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2993078,21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6385500,00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6381725,59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729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6323400,00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6319625,59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6323400,00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6319625,59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пунктами 1.1, 1.2, 1.3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6323400,00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6319625,59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6323400,00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6319625,59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2223300,00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1748761,15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2078300,00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1694761,15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2078300,00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1694761,15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29610400,00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26790086,60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24987100,00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22694830,00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14002700,00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13546130,00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4651200,00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4194630,00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4651200,00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4194630,00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8977100,00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8977100,00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8977100,00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 культуры в рамках выполнения муниципального задания(средства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10806000,00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8970300,00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910411" w:rsidRPr="00DD2E23">
        <w:trPr>
          <w:trHeight w:val="42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10806000,00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8970300,00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10806000,00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8970300,00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"Развитие библиотечного дела в Магаданской области"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178400,00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72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5100,00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173300,00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173300,00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4623300,00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4095256,60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Методические кабинеты, централизованные бухгалтерии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3995400,00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3557132,89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3595700,00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3326107,59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3595700,00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3326107,59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231025,30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396200,00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229731,07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1294,23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538123,71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538123,71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538123,71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DD2E23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бюджетам муниципальных образований на реализацию мер социальной поддержки в соответствии с пунктом 1.4 статьи 1    Закона Магаданской области от 28 декабря 2004 года № 528-ОЗ "О мерах социальной поддержки по оплате жилых помещений и коммунальных услуг отдельных категорий граждан,  проживающих на территории Магаданской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538123,71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538123,71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38647000,00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37817899,24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2317141,08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2317141,08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2317141,08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2317141,08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2317141,08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2317141,08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33509100,00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33360285,40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24613427,00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24613397,48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"Оказание  поддержки в обеспечении жильем молодых семей" на 2014-2020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3 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3 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251427,00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"Оказание содействия муниципальным образованиям Магаданской области в переселении граждан из аварийного жилищного фонда"на 2014-2020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5 6204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23000000,00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"Содействие муниципальным образованиям в оптимизации системы расселения в Магаданской области" на 2014-2016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1362000,00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1361970,48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Строительство, выкуп жилья, расположенного в иных населенных пунктах Магаданской области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1362000,00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1361970,48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4Л 6 7333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1362000,00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1361970,48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мероприятий, реализуемых с привлечением субсидий на подпрограмму "Оказание содействия муниципальным образованиям Магаданской области в переселении граждан из аварийного жилищного фонда" на 2014-2020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300000,00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155000,00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56 4 9799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300000,00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155000,00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8362000,00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8361000,00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8362000,00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8361000,00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8362000,00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8361000,00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6889000,00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6888000,00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5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1473000,00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1473000,00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117850,00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117850,00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82150,00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82150,00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86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2140472,76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2230100,00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2018360,30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2230100,00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2018360,30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2230100,00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2018360,30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90,5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1946600,00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1906606,50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283500,00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111753,80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4И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122112,46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Отдельные мероприятия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4И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122112,46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122112,46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4И 5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122112,46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318634,39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318634,39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218634,39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219900,00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218634,39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Расходы, не отнесенные к публичным нормативным обязательствам, на проведение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218634,39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развитие физической культуры и спорта, за счет прочих безвозмездных поступлений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218634,39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Ж 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218634,39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5041100,00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66 2 1003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государственного  (муниципального) долга 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66 2 1003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84170900,00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81502676,36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поселениям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3136000,00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Иные 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81034900,00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78366676,36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12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вопросов местного значения поселений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22399000,00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58635900,00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55967676,36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58635900,00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55967676,36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</w:tr>
      <w:tr w:rsidR="00910411" w:rsidRPr="00DD2E23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48222700,00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48222576,36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48222700,00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48222576,36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10413200,00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7745100,00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C3A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  <w:tr w:rsidR="00910411" w:rsidRPr="00DD2E23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10413200,00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7745100,00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DD2E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</w:tr>
    </w:tbl>
    <w:p w:rsidR="00910411" w:rsidRDefault="00910411" w:rsidP="00A71B7C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71B7C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411" w:rsidRDefault="00910411"/>
    <w:tbl>
      <w:tblPr>
        <w:tblW w:w="0" w:type="auto"/>
        <w:tblInd w:w="2" w:type="dxa"/>
        <w:tblLook w:val="00A0"/>
      </w:tblPr>
      <w:tblGrid>
        <w:gridCol w:w="4614"/>
        <w:gridCol w:w="5131"/>
      </w:tblGrid>
      <w:tr w:rsidR="00910411" w:rsidRPr="00D24B34">
        <w:tc>
          <w:tcPr>
            <w:tcW w:w="4615" w:type="dxa"/>
          </w:tcPr>
          <w:p w:rsidR="00910411" w:rsidRPr="00BE70E2" w:rsidRDefault="00910411" w:rsidP="005C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78">
              <w:br w:type="page"/>
            </w:r>
          </w:p>
        </w:tc>
        <w:tc>
          <w:tcPr>
            <w:tcW w:w="5132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bookmarkStart w:id="2" w:name="_GoBack"/>
            <w:bookmarkEnd w:id="2"/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910411" w:rsidRDefault="00910411" w:rsidP="00CD29D8">
      <w:pPr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Pr="00A864CC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муниципального образования </w:t>
      </w:r>
    </w:p>
    <w:p w:rsidR="00910411" w:rsidRPr="00A864CC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 xml:space="preserve">Тенькинский район Магаданской области по разделам и подразделам </w:t>
      </w: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>классификации расходов бюджетов за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64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Layout w:type="fixed"/>
        <w:tblLook w:val="00A0"/>
      </w:tblPr>
      <w:tblGrid>
        <w:gridCol w:w="4395"/>
        <w:gridCol w:w="550"/>
        <w:gridCol w:w="1010"/>
        <w:gridCol w:w="1558"/>
        <w:gridCol w:w="1560"/>
        <w:gridCol w:w="707"/>
      </w:tblGrid>
      <w:tr w:rsidR="00910411" w:rsidRPr="00A42874">
        <w:trPr>
          <w:trHeight w:val="116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Исполнено,%</w:t>
            </w:r>
          </w:p>
        </w:tc>
      </w:tr>
      <w:tr w:rsidR="00910411" w:rsidRPr="00A42874">
        <w:trPr>
          <w:trHeight w:val="31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10411" w:rsidRPr="00A42874" w:rsidRDefault="00910411" w:rsidP="00A864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2" w:type="dxa"/>
        <w:tblLayout w:type="fixed"/>
        <w:tblLook w:val="00A0"/>
      </w:tblPr>
      <w:tblGrid>
        <w:gridCol w:w="4395"/>
        <w:gridCol w:w="567"/>
        <w:gridCol w:w="992"/>
        <w:gridCol w:w="1559"/>
        <w:gridCol w:w="1560"/>
        <w:gridCol w:w="708"/>
      </w:tblGrid>
      <w:tr w:rsidR="00910411" w:rsidRPr="00A42874">
        <w:trPr>
          <w:trHeight w:val="22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right="-1006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 xml:space="preserve">          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42874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512165544,00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466804687,95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91,1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114936244,00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102754460,82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89,4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4239200,00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3991572,98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94,2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2862300,00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2860128,60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76184300,00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66084803,62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86,7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14380200,00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14078038,77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17270244,00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15739916,85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91,1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279900,00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127308,00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279900,00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127308,00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2550700,00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803764,82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1716200,00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834500,00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803764,82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96,3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30302500,00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28110167,92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14284500,00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12425900,00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87,0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16018000,00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15684267,92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1323500,00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1323367,00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1323500,00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1323367,00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204620400,00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182215222,80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89,1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59356900,00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53452845,69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90,1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121530000,00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107294382,14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88,3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4169900,00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3815093,11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19563600,00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17652901,86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90,2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29610400,00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26790086,60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90,5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24987100,00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22694830,00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90,8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4623300,00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4095256,60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88,6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38647000,00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37817899,24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97,9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2318000,00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2317141,08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33509100,00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33360285,40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2819900,00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2140472,76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419900,00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318634,39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419900,00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318634,39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5041100,00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5041100,00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5041100,00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5041100,00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263000,00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84170900,00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81502676,36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96,8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3136000,00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3136000,00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A4287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81034900,00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78366676,36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42874" w:rsidRDefault="00910411" w:rsidP="00C47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42874">
              <w:rPr>
                <w:rFonts w:ascii="Times New Roman" w:hAnsi="Times New Roman" w:cs="Times New Roman"/>
                <w:sz w:val="21"/>
                <w:szCs w:val="21"/>
              </w:rPr>
              <w:t>96,7</w:t>
            </w:r>
          </w:p>
        </w:tc>
      </w:tr>
    </w:tbl>
    <w:p w:rsidR="00910411" w:rsidRPr="00A42874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10411" w:rsidRPr="00A42874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910411" w:rsidRDefault="0091041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73" w:type="dxa"/>
        <w:tblInd w:w="2" w:type="dxa"/>
        <w:tblLook w:val="00A0"/>
      </w:tblPr>
      <w:tblGrid>
        <w:gridCol w:w="4615"/>
        <w:gridCol w:w="5558"/>
      </w:tblGrid>
      <w:tr w:rsidR="00910411" w:rsidRPr="00D24B34">
        <w:trPr>
          <w:trHeight w:val="939"/>
        </w:trPr>
        <w:tc>
          <w:tcPr>
            <w:tcW w:w="4615" w:type="dxa"/>
          </w:tcPr>
          <w:p w:rsidR="00910411" w:rsidRPr="00BE70E2" w:rsidRDefault="00910411" w:rsidP="005C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78">
              <w:br w:type="page"/>
            </w:r>
          </w:p>
        </w:tc>
        <w:tc>
          <w:tcPr>
            <w:tcW w:w="5558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910411" w:rsidRDefault="00910411" w:rsidP="00A87FB0">
      <w:pPr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A87FB0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910411" w:rsidRDefault="00910411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7FB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</w:t>
      </w:r>
      <w:r w:rsidRPr="00A864CC">
        <w:rPr>
          <w:rFonts w:ascii="Times New Roman" w:hAnsi="Times New Roman" w:cs="Times New Roman"/>
          <w:sz w:val="24"/>
          <w:szCs w:val="24"/>
        </w:rPr>
        <w:t>за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64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411" w:rsidRDefault="00910411" w:rsidP="00A87F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2" w:type="dxa"/>
        <w:tblLook w:val="00A0"/>
      </w:tblPr>
      <w:tblGrid>
        <w:gridCol w:w="2557"/>
        <w:gridCol w:w="1276"/>
        <w:gridCol w:w="525"/>
        <w:gridCol w:w="585"/>
        <w:gridCol w:w="589"/>
        <w:gridCol w:w="546"/>
        <w:gridCol w:w="1480"/>
        <w:gridCol w:w="1520"/>
        <w:gridCol w:w="992"/>
      </w:tblGrid>
      <w:tr w:rsidR="00910411" w:rsidRPr="00A87FB0">
        <w:trPr>
          <w:trHeight w:val="82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Исполнено,%</w:t>
            </w:r>
          </w:p>
        </w:tc>
      </w:tr>
      <w:tr w:rsidR="00910411" w:rsidRPr="00A87FB0">
        <w:trPr>
          <w:trHeight w:val="1007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ЦСт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ПРз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ВРв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FB0">
              <w:rPr>
                <w:rFonts w:ascii="Times New Roman" w:hAnsi="Times New Roman" w:cs="Times New Roman"/>
                <w:sz w:val="21"/>
                <w:szCs w:val="21"/>
              </w:rPr>
              <w:t>Гр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0411" w:rsidRPr="00A87FB0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Ind w:w="2" w:type="dxa"/>
        <w:tblLook w:val="00A0"/>
      </w:tblPr>
      <w:tblGrid>
        <w:gridCol w:w="2557"/>
        <w:gridCol w:w="1276"/>
        <w:gridCol w:w="525"/>
        <w:gridCol w:w="585"/>
        <w:gridCol w:w="601"/>
        <w:gridCol w:w="546"/>
        <w:gridCol w:w="1480"/>
        <w:gridCol w:w="1521"/>
        <w:gridCol w:w="969"/>
      </w:tblGrid>
      <w:tr w:rsidR="00910411" w:rsidRPr="00A87FB0">
        <w:trPr>
          <w:trHeight w:val="300"/>
          <w:tblHeader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411" w:rsidRPr="00A87FB0" w:rsidRDefault="00910411" w:rsidP="00A87F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F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8440673,00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6713530,61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79,5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малого предпринимательства в Тенькинском районе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72 0 0000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72 0 0000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72 0 0000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72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 в Тенькинском районе Магаданской области на 2015-2016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73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Развитие образования в Тенькинском районе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2223300,00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1748761,15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78,7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2223300,00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1748761,15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78,7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2223300,00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1748761,15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78,7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145000,00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145000,00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145000,00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2078300,00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1694761,15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2078300,00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1694761,15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74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2078300,00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1694761,15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отдыха и оздоровления детей в Тенькинском районе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2160300,00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1806989,11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2160300,00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1806989,11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2160300,00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1806989,11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67243,90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67243,90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67243,90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2010300,00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1739745,21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86,5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2010300,00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1739745,21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86,5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75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2010300,00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1739745,21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86,5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учреждений образования Тенькинского района  Магаданской области на 2014-2016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76 0 0000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76 0 0000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76 0 0000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76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1655600,00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1096757,61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 муниципального образования Тенькинский район Магаданской области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60,2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60,2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60,2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C69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60,2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60179,82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60,2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56179,82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58,5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Развитие системы дошкольного образования в муниципальном образовании Тенькинский район Магаданской области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460000,00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84,4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460000,00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84,4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460000,00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84,4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97,1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80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400000,00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388450,00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97,1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Кадровое обеспечение образовательных учреждений Тенькинского района Магаданской области на 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 0 907Б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92700,00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46,4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Переход на контрактную систему в сфере закупок товаров, работ, услуг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17500,00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Молодежь Тенькинского района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83 0 0000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83 0 0000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83 0 0000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83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166505,00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99,1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отдельных категорий граждан Тенькинского района Магаданской области на 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117850,00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117850,00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117850,00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117850,00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82150,00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82150,00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85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82150,00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82150,00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88,2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88,2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88,2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88,2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88,2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23673,00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20887,92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88,2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Обеспечение жильем молодых семей в Тенькинском районе Магаданской области на 2013-2015 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87 0 0000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87 0 0000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87 0 0000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87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88 0 0000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88 0 0000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88 0 0000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88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35000,00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Комплексное развитие коммунальной инфраструктуры Тенькинского района  на 2015-2016 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89 0 0000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89 0 0000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89 0 0000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910411" w:rsidRPr="0051580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Администрация Тенькинского района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89 0 607Б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ind w:hanging="8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580F">
              <w:rPr>
                <w:rFonts w:ascii="Times New Roman" w:hAnsi="Times New Roman" w:cs="Times New Roman"/>
                <w:sz w:val="22"/>
                <w:szCs w:val="22"/>
              </w:rPr>
              <w:t>787300,00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411" w:rsidRPr="0051580F" w:rsidRDefault="00910411" w:rsidP="005158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1580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</w:tbl>
    <w:p w:rsidR="00910411" w:rsidRPr="00A87FB0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Pr="00A87FB0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2" w:type="dxa"/>
        <w:tblLook w:val="00A0"/>
      </w:tblPr>
      <w:tblGrid>
        <w:gridCol w:w="4360"/>
        <w:gridCol w:w="5385"/>
      </w:tblGrid>
      <w:tr w:rsidR="00910411">
        <w:tc>
          <w:tcPr>
            <w:tcW w:w="4361" w:type="dxa"/>
          </w:tcPr>
          <w:p w:rsidR="00910411" w:rsidRPr="00BE70E2" w:rsidRDefault="00910411" w:rsidP="00BE7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910411" w:rsidRDefault="00910411" w:rsidP="00CD29D8">
      <w:pPr>
        <w:rPr>
          <w:rFonts w:ascii="Times New Roman" w:hAnsi="Times New Roman" w:cs="Times New Roman"/>
          <w:sz w:val="24"/>
          <w:szCs w:val="24"/>
        </w:rPr>
      </w:pPr>
    </w:p>
    <w:p w:rsidR="00910411" w:rsidRPr="00A864CC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910411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4CC">
        <w:rPr>
          <w:rFonts w:ascii="Times New Roman" w:hAnsi="Times New Roman" w:cs="Times New Roman"/>
          <w:sz w:val="24"/>
          <w:szCs w:val="24"/>
        </w:rPr>
        <w:t>бюджета муниципального образования Тенькинский район Магаданской области по кодам классификации  источников  финансирования  дефицитов бюджетов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64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411" w:rsidRPr="00A864CC" w:rsidRDefault="00910411" w:rsidP="00A864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119"/>
        <w:gridCol w:w="1560"/>
        <w:gridCol w:w="1560"/>
      </w:tblGrid>
      <w:tr w:rsidR="00910411" w:rsidRPr="00A864CC">
        <w:tc>
          <w:tcPr>
            <w:tcW w:w="3119" w:type="dxa"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Утверждено, руб.</w:t>
            </w:r>
          </w:p>
        </w:tc>
        <w:tc>
          <w:tcPr>
            <w:tcW w:w="1560" w:type="dxa"/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Исполнено, руб.</w:t>
            </w:r>
          </w:p>
        </w:tc>
      </w:tr>
    </w:tbl>
    <w:p w:rsidR="00910411" w:rsidRPr="00A864CC" w:rsidRDefault="00910411" w:rsidP="00A864CC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vanish/>
          <w:sz w:val="22"/>
          <w:szCs w:val="22"/>
        </w:rPr>
      </w:pPr>
    </w:p>
    <w:tbl>
      <w:tblPr>
        <w:tblW w:w="9371" w:type="dxa"/>
        <w:tblInd w:w="2" w:type="dxa"/>
        <w:tblLook w:val="00A0"/>
      </w:tblPr>
      <w:tblGrid>
        <w:gridCol w:w="3134"/>
        <w:gridCol w:w="3119"/>
        <w:gridCol w:w="1559"/>
        <w:gridCol w:w="1559"/>
      </w:tblGrid>
      <w:tr w:rsidR="00910411" w:rsidRPr="00A864CC">
        <w:trPr>
          <w:trHeight w:val="74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4</w:t>
            </w: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17646400,00</w:t>
            </w:r>
          </w:p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14498913,73</w:t>
            </w: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861 - комитет по финансам администрации Тенькинского района Магаданской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17646400,00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14498913,73</w:t>
            </w: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6800000,00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10550500,00</w:t>
            </w: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23369600,00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861 01 02 00 00 05 0000 710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23369600,00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-16569600,00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861 01 03 01 00 05 0000 810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-16569600,00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Иные 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10550500,00</w:t>
            </w: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861 01 06 05 02 05 0000 640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15000000,00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10550500,00</w:t>
            </w: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 xml:space="preserve">Предоставление  бюджетных кредитов другим бюджетам бюджетной системы Российской Федерации в валюте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861 01 06 05 02 05 0000 540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-15000000,00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A864CC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10846400,00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3948413,73</w:t>
            </w:r>
          </w:p>
        </w:tc>
      </w:tr>
      <w:tr w:rsidR="00910411" w:rsidRPr="00A864CC">
        <w:trPr>
          <w:trHeight w:val="1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-532888744,00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-465918011,98</w:t>
            </w:r>
          </w:p>
        </w:tc>
      </w:tr>
      <w:tr w:rsidR="00910411" w:rsidRPr="00A864CC">
        <w:trPr>
          <w:trHeight w:val="1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Уменьшение прочих остатков  денежных средств бюджетов 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A864CC" w:rsidRDefault="00910411" w:rsidP="00A864CC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64CC">
              <w:rPr>
                <w:rFonts w:ascii="Times New Roman" w:hAnsi="Times New Roman" w:cs="Times New Roman"/>
                <w:sz w:val="21"/>
                <w:szCs w:val="21"/>
              </w:rPr>
              <w:t>861 01 05 02 01 05 0000 610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543735144,00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469866425,71</w:t>
            </w:r>
          </w:p>
        </w:tc>
      </w:tr>
    </w:tbl>
    <w:p w:rsidR="00910411" w:rsidRDefault="00910411" w:rsidP="00CD29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615"/>
        <w:gridCol w:w="4849"/>
      </w:tblGrid>
      <w:tr w:rsidR="00910411">
        <w:tc>
          <w:tcPr>
            <w:tcW w:w="4615" w:type="dxa"/>
          </w:tcPr>
          <w:p w:rsidR="00910411" w:rsidRPr="00BE70E2" w:rsidRDefault="00910411" w:rsidP="00F8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49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от _________________ № ___</w:t>
            </w:r>
          </w:p>
        </w:tc>
      </w:tr>
    </w:tbl>
    <w:p w:rsidR="00910411" w:rsidRDefault="00910411" w:rsidP="00CD29D8">
      <w:pPr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1A5B2E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5B2E">
        <w:rPr>
          <w:rFonts w:ascii="Times New Roman" w:hAnsi="Times New Roman" w:cs="Times New Roman"/>
          <w:sz w:val="24"/>
          <w:szCs w:val="24"/>
        </w:rPr>
        <w:t>Исполнение по источникам финансирования дефицита бюджета муниципального образования Тенькинский район Магаданской области по кодам групп, подгрупп, статей, видов  источников  финансирования  дефицитов бюджетов  классификации  операций сектора государственного управления, относящихся к источникам финансирования дефицитов бюджетов,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5B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0411" w:rsidRPr="001A5B2E" w:rsidRDefault="00910411" w:rsidP="001A5B2E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Pr="001A5B2E" w:rsidRDefault="00910411" w:rsidP="001A5B2E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vanish/>
          <w:sz w:val="22"/>
          <w:szCs w:val="22"/>
        </w:rPr>
      </w:pPr>
    </w:p>
    <w:tbl>
      <w:tblPr>
        <w:tblW w:w="9371" w:type="dxa"/>
        <w:tblInd w:w="2" w:type="dxa"/>
        <w:tblLook w:val="00A0"/>
      </w:tblPr>
      <w:tblGrid>
        <w:gridCol w:w="3276"/>
        <w:gridCol w:w="2977"/>
        <w:gridCol w:w="1559"/>
        <w:gridCol w:w="1559"/>
      </w:tblGrid>
      <w:tr w:rsidR="00910411" w:rsidRPr="001A5B2E">
        <w:trPr>
          <w:trHeight w:val="74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486D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486DAB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486D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Утверждено,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486D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Исполнено, руб.</w:t>
            </w: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B2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17646400,00</w:t>
            </w:r>
          </w:p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14498913,73</w:t>
            </w: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861 - комитет по финансам администрации Тенькинского района Магаданской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17646400,00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14498913,73</w:t>
            </w: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6800000,00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10550500,00</w:t>
            </w: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861 01 02 00 00 00 0000 000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23369600,00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1A5B2E" w:rsidRDefault="00910411" w:rsidP="00E242F0">
            <w:pPr>
              <w:widowControl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861 01 03 00 00 00 0000 000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-16569600,00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1A5B2E" w:rsidRDefault="00910411" w:rsidP="00E242F0">
            <w:pPr>
              <w:widowControl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864CC">
              <w:rPr>
                <w:rFonts w:ascii="Times New Roman" w:hAnsi="Times New Roman" w:cs="Times New Roman"/>
              </w:rPr>
              <w:t>Иные 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861 01 06 00 00 00 0000 000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E242F0">
            <w:pPr>
              <w:widowControl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1A5B2E" w:rsidRDefault="00910411" w:rsidP="00E242F0">
            <w:pPr>
              <w:widowControl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10550500,00</w:t>
            </w:r>
          </w:p>
        </w:tc>
      </w:tr>
      <w:tr w:rsidR="00910411" w:rsidRPr="001A5B2E">
        <w:trPr>
          <w:trHeight w:val="5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1A5B2E" w:rsidRDefault="00910411" w:rsidP="001A5B2E">
            <w:pPr>
              <w:widowControl/>
              <w:autoSpaceDE/>
              <w:autoSpaceDN/>
              <w:adjustRightInd/>
              <w:ind w:firstLine="164"/>
              <w:jc w:val="center"/>
              <w:rPr>
                <w:rFonts w:ascii="Times New Roman" w:hAnsi="Times New Roman" w:cs="Times New Roman"/>
              </w:rPr>
            </w:pPr>
            <w:r w:rsidRPr="001A5B2E">
              <w:rPr>
                <w:rFonts w:ascii="Times New Roman" w:hAnsi="Times New Roman" w:cs="Times New Roman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10846400,00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11" w:rsidRPr="00E242F0" w:rsidRDefault="00910411" w:rsidP="00E242F0">
            <w:pPr>
              <w:ind w:firstLine="2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242F0">
              <w:rPr>
                <w:rFonts w:ascii="Times New Roman" w:hAnsi="Times New Roman" w:cs="Times New Roman"/>
                <w:sz w:val="21"/>
                <w:szCs w:val="21"/>
              </w:rPr>
              <w:t>3948413,73</w:t>
            </w:r>
          </w:p>
        </w:tc>
      </w:tr>
    </w:tbl>
    <w:p w:rsidR="00910411" w:rsidRDefault="00910411" w:rsidP="00CD2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11" w:rsidRDefault="00910411" w:rsidP="00CD2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411" w:rsidRDefault="00910411" w:rsidP="001E04B6">
      <w:pPr>
        <w:jc w:val="center"/>
        <w:rPr>
          <w:rFonts w:ascii="Times New Roman" w:hAnsi="Times New Roman" w:cs="Times New Roman"/>
        </w:rPr>
        <w:sectPr w:rsidR="00910411" w:rsidSect="00486DAB">
          <w:headerReference w:type="default" r:id="rId7"/>
          <w:headerReference w:type="first" r:id="rId8"/>
          <w:pgSz w:w="11906" w:h="16838" w:code="9"/>
          <w:pgMar w:top="851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2" w:type="dxa"/>
        <w:tblLook w:val="00A0"/>
      </w:tblPr>
      <w:tblGrid>
        <w:gridCol w:w="4606"/>
        <w:gridCol w:w="5033"/>
      </w:tblGrid>
      <w:tr w:rsidR="00910411">
        <w:tc>
          <w:tcPr>
            <w:tcW w:w="4606" w:type="dxa"/>
          </w:tcPr>
          <w:p w:rsidR="00910411" w:rsidRPr="00BE70E2" w:rsidRDefault="00910411" w:rsidP="00AA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</w:p>
          <w:p w:rsidR="00910411" w:rsidRPr="00BE70E2" w:rsidRDefault="00910411" w:rsidP="00BE70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0E2">
              <w:rPr>
                <w:rFonts w:ascii="Times New Roman" w:hAnsi="Times New Roman" w:cs="Times New Roman"/>
                <w:sz w:val="24"/>
                <w:szCs w:val="24"/>
              </w:rPr>
              <w:t>от _________________ № ___</w:t>
            </w:r>
          </w:p>
        </w:tc>
      </w:tr>
    </w:tbl>
    <w:p w:rsidR="00910411" w:rsidRDefault="00910411" w:rsidP="001E04B6">
      <w:pPr>
        <w:jc w:val="center"/>
        <w:rPr>
          <w:rFonts w:ascii="Times New Roman" w:hAnsi="Times New Roman" w:cs="Times New Roman"/>
        </w:rPr>
      </w:pPr>
    </w:p>
    <w:p w:rsidR="00910411" w:rsidRPr="00353686" w:rsidRDefault="00910411" w:rsidP="001E0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686">
        <w:rPr>
          <w:rFonts w:ascii="Times New Roman" w:hAnsi="Times New Roman" w:cs="Times New Roman"/>
          <w:sz w:val="24"/>
          <w:szCs w:val="24"/>
        </w:rPr>
        <w:t>Отчет о состоянии и движении муниципального долга</w:t>
      </w:r>
    </w:p>
    <w:p w:rsidR="00910411" w:rsidRDefault="00910411" w:rsidP="001E0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686">
        <w:rPr>
          <w:rFonts w:ascii="Times New Roman" w:hAnsi="Times New Roman" w:cs="Times New Roman"/>
          <w:sz w:val="24"/>
          <w:szCs w:val="24"/>
        </w:rPr>
        <w:t>муниципального образования  Тенькинский район Магаданской области за 2015 год</w:t>
      </w:r>
    </w:p>
    <w:p w:rsidR="00910411" w:rsidRPr="00353686" w:rsidRDefault="00910411" w:rsidP="001E04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2" w:type="dxa"/>
        <w:tblLayout w:type="fixed"/>
        <w:tblLook w:val="00A0"/>
      </w:tblPr>
      <w:tblGrid>
        <w:gridCol w:w="1275"/>
        <w:gridCol w:w="709"/>
        <w:gridCol w:w="992"/>
        <w:gridCol w:w="709"/>
        <w:gridCol w:w="606"/>
        <w:gridCol w:w="679"/>
        <w:gridCol w:w="709"/>
        <w:gridCol w:w="597"/>
        <w:gridCol w:w="709"/>
        <w:gridCol w:w="709"/>
        <w:gridCol w:w="709"/>
        <w:gridCol w:w="708"/>
        <w:gridCol w:w="567"/>
      </w:tblGrid>
      <w:tr w:rsidR="00910411" w:rsidRPr="0021171C">
        <w:trPr>
          <w:trHeight w:val="7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left="113" w:right="113" w:hanging="221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Номер и дата договора  (соглашения)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right="113" w:hanging="124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right="113" w:hanging="124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Целевое назначение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Дата погашения обязательства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Дата уплаты %%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353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Объем долга на 01.01.2015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353686">
            <w:pPr>
              <w:ind w:right="113" w:hanging="56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Получено</w:t>
            </w:r>
          </w:p>
          <w:p w:rsidR="00910411" w:rsidRPr="0021171C" w:rsidRDefault="00910411" w:rsidP="003536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353686">
            <w:pPr>
              <w:ind w:right="113" w:hanging="56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Погашено</w:t>
            </w:r>
          </w:p>
          <w:p w:rsidR="00910411" w:rsidRPr="0021171C" w:rsidRDefault="00910411" w:rsidP="0035368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1E04B6">
            <w:pPr>
              <w:ind w:firstLine="85"/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Объем долга на 01.01.2016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910411" w:rsidRPr="0021171C">
        <w:trPr>
          <w:cantSplit/>
          <w:trHeight w:val="127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1E04B6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1E04B6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1E04B6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Всего</w:t>
            </w:r>
          </w:p>
        </w:tc>
      </w:tr>
      <w:tr w:rsidR="00910411" w:rsidRPr="0021171C">
        <w:trPr>
          <w:cantSplit/>
          <w:trHeight w:val="1417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6310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  <w:color w:val="FF0000"/>
              </w:rPr>
            </w:pPr>
            <w:r w:rsidRPr="0021171C">
              <w:rPr>
                <w:rFonts w:ascii="Times New Roman" w:hAnsi="Times New Roman" w:cs="Times New Roman"/>
              </w:rPr>
              <w:t>44569566,0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3592543,63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48162109,63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44569566,0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3592543,63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48162109,63</w:t>
            </w:r>
          </w:p>
        </w:tc>
      </w:tr>
      <w:tr w:rsidR="00910411" w:rsidRPr="0021171C">
        <w:trPr>
          <w:cantSplit/>
          <w:trHeight w:val="1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 xml:space="preserve">№12/02-ОБ-106от 10.02.2012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AA2409">
            <w:pPr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 xml:space="preserve">Министерство финансов </w:t>
            </w:r>
          </w:p>
          <w:p w:rsidR="00910411" w:rsidRPr="0021171C" w:rsidRDefault="00910411" w:rsidP="00AA2409">
            <w:pPr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AA2409">
            <w:pPr>
              <w:jc w:val="center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Покрытие временного кассового разрыва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2869566,0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551310,75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3420876,75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AA240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21171C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AA240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21171C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2869566,0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551310,75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3420876,75</w:t>
            </w:r>
          </w:p>
        </w:tc>
      </w:tr>
      <w:tr w:rsidR="00910411" w:rsidRPr="0021171C">
        <w:trPr>
          <w:cantSplit/>
          <w:trHeight w:val="14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№13/02-ОБ-120 от 24.01.2013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16800000,0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1120000,0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17920000,0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AA240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21171C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AA2409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21171C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16800000,0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1120000,0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17920000,0</w:t>
            </w:r>
          </w:p>
        </w:tc>
      </w:tr>
      <w:tr w:rsidR="00910411" w:rsidRPr="0021171C">
        <w:trPr>
          <w:cantSplit/>
          <w:trHeight w:val="1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0411" w:rsidRPr="0021171C" w:rsidRDefault="00910411" w:rsidP="006310C5">
            <w:pPr>
              <w:ind w:left="113" w:right="113" w:firstLine="0"/>
              <w:jc w:val="left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№ 14/02-ОБ- 2   от 16.10.2014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11" w:rsidRPr="0021171C" w:rsidRDefault="00910411" w:rsidP="00AA24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24900000,0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1921232,88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26821232,88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AA2409">
            <w:pPr>
              <w:ind w:left="113" w:right="113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AA2409">
            <w:pPr>
              <w:ind w:left="113" w:right="113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24900000,0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1921232,88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10411" w:rsidRPr="0021171C" w:rsidRDefault="00910411" w:rsidP="0021171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21171C">
              <w:rPr>
                <w:rFonts w:ascii="Times New Roman" w:hAnsi="Times New Roman" w:cs="Times New Roman"/>
              </w:rPr>
              <w:t>26821232,88</w:t>
            </w:r>
          </w:p>
        </w:tc>
      </w:tr>
    </w:tbl>
    <w:p w:rsidR="00910411" w:rsidRDefault="00910411" w:rsidP="00353686">
      <w:pPr>
        <w:ind w:firstLine="0"/>
        <w:rPr>
          <w:rFonts w:ascii="Times New Roman" w:hAnsi="Times New Roman" w:cs="Times New Roman"/>
        </w:rPr>
      </w:pPr>
    </w:p>
    <w:p w:rsidR="00910411" w:rsidRDefault="00910411" w:rsidP="00F845A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sectPr w:rsidR="00910411" w:rsidSect="00353686">
      <w:pgSz w:w="11906" w:h="16838" w:code="9"/>
      <w:pgMar w:top="851" w:right="1134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11" w:rsidRPr="00737862" w:rsidRDefault="00910411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910411" w:rsidRPr="00737862" w:rsidRDefault="00910411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11" w:rsidRPr="00737862" w:rsidRDefault="00910411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910411" w:rsidRPr="00737862" w:rsidRDefault="00910411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11" w:rsidRPr="00737862" w:rsidRDefault="00910411" w:rsidP="00986325">
    <w:pPr>
      <w:pStyle w:val="Header"/>
      <w:ind w:firstLine="0"/>
      <w:rPr>
        <w:sz w:val="18"/>
        <w:szCs w:val="18"/>
      </w:rPr>
    </w:pPr>
    <w:r w:rsidRPr="003D0EBB">
      <w:rPr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11" w:rsidRPr="00737862" w:rsidRDefault="00910411">
    <w:pPr>
      <w:pStyle w:val="Header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E9"/>
    <w:rsid w:val="00000C83"/>
    <w:rsid w:val="00001C42"/>
    <w:rsid w:val="00002105"/>
    <w:rsid w:val="00003700"/>
    <w:rsid w:val="0000634F"/>
    <w:rsid w:val="00010D7F"/>
    <w:rsid w:val="000127DC"/>
    <w:rsid w:val="000139AC"/>
    <w:rsid w:val="000147F0"/>
    <w:rsid w:val="00020509"/>
    <w:rsid w:val="00022853"/>
    <w:rsid w:val="000228A2"/>
    <w:rsid w:val="00023969"/>
    <w:rsid w:val="00025675"/>
    <w:rsid w:val="00025ABA"/>
    <w:rsid w:val="0003473D"/>
    <w:rsid w:val="000362F8"/>
    <w:rsid w:val="00036C62"/>
    <w:rsid w:val="00041EE5"/>
    <w:rsid w:val="000422A7"/>
    <w:rsid w:val="00042C6A"/>
    <w:rsid w:val="00043BB0"/>
    <w:rsid w:val="00044586"/>
    <w:rsid w:val="00045716"/>
    <w:rsid w:val="00050720"/>
    <w:rsid w:val="00050822"/>
    <w:rsid w:val="00050ACF"/>
    <w:rsid w:val="00053AE3"/>
    <w:rsid w:val="000562B9"/>
    <w:rsid w:val="00064A86"/>
    <w:rsid w:val="00065091"/>
    <w:rsid w:val="00067FBB"/>
    <w:rsid w:val="000706F9"/>
    <w:rsid w:val="00070ED9"/>
    <w:rsid w:val="000765AD"/>
    <w:rsid w:val="00076B72"/>
    <w:rsid w:val="000773DE"/>
    <w:rsid w:val="000804A3"/>
    <w:rsid w:val="00081417"/>
    <w:rsid w:val="00081AA5"/>
    <w:rsid w:val="0008417F"/>
    <w:rsid w:val="00086B2F"/>
    <w:rsid w:val="00087D42"/>
    <w:rsid w:val="00093D25"/>
    <w:rsid w:val="000A00DD"/>
    <w:rsid w:val="000A0ED4"/>
    <w:rsid w:val="000A2109"/>
    <w:rsid w:val="000A3B66"/>
    <w:rsid w:val="000A44EC"/>
    <w:rsid w:val="000A5133"/>
    <w:rsid w:val="000B1606"/>
    <w:rsid w:val="000B185C"/>
    <w:rsid w:val="000B2899"/>
    <w:rsid w:val="000B49C2"/>
    <w:rsid w:val="000B51FA"/>
    <w:rsid w:val="000B5BC2"/>
    <w:rsid w:val="000B7011"/>
    <w:rsid w:val="000C0827"/>
    <w:rsid w:val="000C194D"/>
    <w:rsid w:val="000C1E50"/>
    <w:rsid w:val="000C242A"/>
    <w:rsid w:val="000C2935"/>
    <w:rsid w:val="000C2BB1"/>
    <w:rsid w:val="000C3183"/>
    <w:rsid w:val="000C7225"/>
    <w:rsid w:val="000D0E04"/>
    <w:rsid w:val="000D2441"/>
    <w:rsid w:val="000D492B"/>
    <w:rsid w:val="000D6FFA"/>
    <w:rsid w:val="000E2C48"/>
    <w:rsid w:val="000E3078"/>
    <w:rsid w:val="000E5188"/>
    <w:rsid w:val="000E65F9"/>
    <w:rsid w:val="000F2AE8"/>
    <w:rsid w:val="000F351D"/>
    <w:rsid w:val="000F36ED"/>
    <w:rsid w:val="00106844"/>
    <w:rsid w:val="001075B4"/>
    <w:rsid w:val="00107759"/>
    <w:rsid w:val="00110F88"/>
    <w:rsid w:val="00113C6A"/>
    <w:rsid w:val="00114590"/>
    <w:rsid w:val="001145AD"/>
    <w:rsid w:val="00115185"/>
    <w:rsid w:val="00117E83"/>
    <w:rsid w:val="00120413"/>
    <w:rsid w:val="00120642"/>
    <w:rsid w:val="00121508"/>
    <w:rsid w:val="001220C7"/>
    <w:rsid w:val="00122822"/>
    <w:rsid w:val="001246C8"/>
    <w:rsid w:val="00127219"/>
    <w:rsid w:val="00127C83"/>
    <w:rsid w:val="00131899"/>
    <w:rsid w:val="00137998"/>
    <w:rsid w:val="00141D38"/>
    <w:rsid w:val="00142B8C"/>
    <w:rsid w:val="00143119"/>
    <w:rsid w:val="001445AD"/>
    <w:rsid w:val="001471F0"/>
    <w:rsid w:val="00147311"/>
    <w:rsid w:val="00150B3C"/>
    <w:rsid w:val="0015105A"/>
    <w:rsid w:val="0015218D"/>
    <w:rsid w:val="00152985"/>
    <w:rsid w:val="00153D27"/>
    <w:rsid w:val="0015401D"/>
    <w:rsid w:val="0015456B"/>
    <w:rsid w:val="00155831"/>
    <w:rsid w:val="00156747"/>
    <w:rsid w:val="00162836"/>
    <w:rsid w:val="001634C5"/>
    <w:rsid w:val="00166D5E"/>
    <w:rsid w:val="0017228F"/>
    <w:rsid w:val="0017266D"/>
    <w:rsid w:val="00176B0D"/>
    <w:rsid w:val="0018244A"/>
    <w:rsid w:val="00182530"/>
    <w:rsid w:val="00183210"/>
    <w:rsid w:val="001842D8"/>
    <w:rsid w:val="0018609A"/>
    <w:rsid w:val="00187EE3"/>
    <w:rsid w:val="001941E4"/>
    <w:rsid w:val="00194824"/>
    <w:rsid w:val="0019739D"/>
    <w:rsid w:val="001A0A18"/>
    <w:rsid w:val="001A0A7D"/>
    <w:rsid w:val="001A1EBA"/>
    <w:rsid w:val="001A2A48"/>
    <w:rsid w:val="001A2D07"/>
    <w:rsid w:val="001A4691"/>
    <w:rsid w:val="001A5B2E"/>
    <w:rsid w:val="001A6867"/>
    <w:rsid w:val="001B53AC"/>
    <w:rsid w:val="001B6BEA"/>
    <w:rsid w:val="001C2519"/>
    <w:rsid w:val="001C2608"/>
    <w:rsid w:val="001C2C49"/>
    <w:rsid w:val="001C2F7E"/>
    <w:rsid w:val="001C3CE3"/>
    <w:rsid w:val="001C3D90"/>
    <w:rsid w:val="001C4A5B"/>
    <w:rsid w:val="001D01AC"/>
    <w:rsid w:val="001D0ADA"/>
    <w:rsid w:val="001D1228"/>
    <w:rsid w:val="001D1718"/>
    <w:rsid w:val="001D1ACD"/>
    <w:rsid w:val="001D3646"/>
    <w:rsid w:val="001D50FB"/>
    <w:rsid w:val="001D516F"/>
    <w:rsid w:val="001E04B6"/>
    <w:rsid w:val="001E22A3"/>
    <w:rsid w:val="001E2373"/>
    <w:rsid w:val="001E745B"/>
    <w:rsid w:val="001F038F"/>
    <w:rsid w:val="001F0D3E"/>
    <w:rsid w:val="001F33E8"/>
    <w:rsid w:val="001F7E24"/>
    <w:rsid w:val="0020174A"/>
    <w:rsid w:val="00201E4B"/>
    <w:rsid w:val="002025C7"/>
    <w:rsid w:val="00206584"/>
    <w:rsid w:val="0020664A"/>
    <w:rsid w:val="00206A09"/>
    <w:rsid w:val="00206CA1"/>
    <w:rsid w:val="00210DBB"/>
    <w:rsid w:val="0021171C"/>
    <w:rsid w:val="00212BB0"/>
    <w:rsid w:val="002133D2"/>
    <w:rsid w:val="00213D20"/>
    <w:rsid w:val="00216414"/>
    <w:rsid w:val="002170BA"/>
    <w:rsid w:val="00220C5E"/>
    <w:rsid w:val="00220D92"/>
    <w:rsid w:val="002218C1"/>
    <w:rsid w:val="00222782"/>
    <w:rsid w:val="00222C8F"/>
    <w:rsid w:val="00227A31"/>
    <w:rsid w:val="0023039D"/>
    <w:rsid w:val="00231C4B"/>
    <w:rsid w:val="002372B4"/>
    <w:rsid w:val="002379DC"/>
    <w:rsid w:val="00240284"/>
    <w:rsid w:val="0024066C"/>
    <w:rsid w:val="002410C0"/>
    <w:rsid w:val="00241471"/>
    <w:rsid w:val="00245338"/>
    <w:rsid w:val="00250442"/>
    <w:rsid w:val="002563BF"/>
    <w:rsid w:val="002604EA"/>
    <w:rsid w:val="00263359"/>
    <w:rsid w:val="0026345A"/>
    <w:rsid w:val="0026577D"/>
    <w:rsid w:val="00265912"/>
    <w:rsid w:val="00267A20"/>
    <w:rsid w:val="002712FE"/>
    <w:rsid w:val="00272C51"/>
    <w:rsid w:val="00273E78"/>
    <w:rsid w:val="0028054E"/>
    <w:rsid w:val="002821A0"/>
    <w:rsid w:val="00291771"/>
    <w:rsid w:val="00293313"/>
    <w:rsid w:val="002945FD"/>
    <w:rsid w:val="002A4323"/>
    <w:rsid w:val="002A4C1B"/>
    <w:rsid w:val="002A54FC"/>
    <w:rsid w:val="002A5AFF"/>
    <w:rsid w:val="002A6F7F"/>
    <w:rsid w:val="002B152D"/>
    <w:rsid w:val="002B2527"/>
    <w:rsid w:val="002B2726"/>
    <w:rsid w:val="002B28CB"/>
    <w:rsid w:val="002B4931"/>
    <w:rsid w:val="002B6502"/>
    <w:rsid w:val="002B7742"/>
    <w:rsid w:val="002C225A"/>
    <w:rsid w:val="002C40A9"/>
    <w:rsid w:val="002C4A68"/>
    <w:rsid w:val="002C4D52"/>
    <w:rsid w:val="002C4F01"/>
    <w:rsid w:val="002C59C3"/>
    <w:rsid w:val="002D27BF"/>
    <w:rsid w:val="002D5A49"/>
    <w:rsid w:val="002D5BF3"/>
    <w:rsid w:val="002D7BE2"/>
    <w:rsid w:val="002D7FBD"/>
    <w:rsid w:val="002E1AD5"/>
    <w:rsid w:val="002E25F3"/>
    <w:rsid w:val="002E2924"/>
    <w:rsid w:val="002E2BD5"/>
    <w:rsid w:val="002E5790"/>
    <w:rsid w:val="002E7A19"/>
    <w:rsid w:val="002F3887"/>
    <w:rsid w:val="002F4D4B"/>
    <w:rsid w:val="0030125F"/>
    <w:rsid w:val="003028D2"/>
    <w:rsid w:val="00305BBA"/>
    <w:rsid w:val="00306698"/>
    <w:rsid w:val="00306F87"/>
    <w:rsid w:val="003071D6"/>
    <w:rsid w:val="00307228"/>
    <w:rsid w:val="00314020"/>
    <w:rsid w:val="00314AE6"/>
    <w:rsid w:val="003159E2"/>
    <w:rsid w:val="0031686E"/>
    <w:rsid w:val="00316D4E"/>
    <w:rsid w:val="0031731A"/>
    <w:rsid w:val="0032082B"/>
    <w:rsid w:val="00321482"/>
    <w:rsid w:val="003251DF"/>
    <w:rsid w:val="00325FD0"/>
    <w:rsid w:val="00327371"/>
    <w:rsid w:val="0033161D"/>
    <w:rsid w:val="00331A9D"/>
    <w:rsid w:val="00332B65"/>
    <w:rsid w:val="00333B3E"/>
    <w:rsid w:val="00335038"/>
    <w:rsid w:val="00335F89"/>
    <w:rsid w:val="00342090"/>
    <w:rsid w:val="0034380C"/>
    <w:rsid w:val="0034407E"/>
    <w:rsid w:val="0035103D"/>
    <w:rsid w:val="003528C5"/>
    <w:rsid w:val="00353686"/>
    <w:rsid w:val="00353C50"/>
    <w:rsid w:val="00354EB6"/>
    <w:rsid w:val="003552EC"/>
    <w:rsid w:val="00355421"/>
    <w:rsid w:val="003575C2"/>
    <w:rsid w:val="00357DB5"/>
    <w:rsid w:val="00362295"/>
    <w:rsid w:val="0036231D"/>
    <w:rsid w:val="00362922"/>
    <w:rsid w:val="00362A3B"/>
    <w:rsid w:val="003634CE"/>
    <w:rsid w:val="003656C0"/>
    <w:rsid w:val="00367EA5"/>
    <w:rsid w:val="00370C6B"/>
    <w:rsid w:val="003715B1"/>
    <w:rsid w:val="00372089"/>
    <w:rsid w:val="003738F6"/>
    <w:rsid w:val="003766FF"/>
    <w:rsid w:val="00381689"/>
    <w:rsid w:val="00383307"/>
    <w:rsid w:val="00384168"/>
    <w:rsid w:val="0038632F"/>
    <w:rsid w:val="003873C5"/>
    <w:rsid w:val="00393D7F"/>
    <w:rsid w:val="00393DAB"/>
    <w:rsid w:val="00397B23"/>
    <w:rsid w:val="00397C95"/>
    <w:rsid w:val="00397D9A"/>
    <w:rsid w:val="003A0429"/>
    <w:rsid w:val="003A06E1"/>
    <w:rsid w:val="003A1595"/>
    <w:rsid w:val="003A5C20"/>
    <w:rsid w:val="003B0751"/>
    <w:rsid w:val="003B33EB"/>
    <w:rsid w:val="003B51EC"/>
    <w:rsid w:val="003C04FA"/>
    <w:rsid w:val="003C2320"/>
    <w:rsid w:val="003C30B9"/>
    <w:rsid w:val="003C4321"/>
    <w:rsid w:val="003C4E14"/>
    <w:rsid w:val="003C4E97"/>
    <w:rsid w:val="003C7978"/>
    <w:rsid w:val="003D01ED"/>
    <w:rsid w:val="003D01FC"/>
    <w:rsid w:val="003D0EBB"/>
    <w:rsid w:val="003D296E"/>
    <w:rsid w:val="003D302E"/>
    <w:rsid w:val="003D4E75"/>
    <w:rsid w:val="003D7AE2"/>
    <w:rsid w:val="003E13FF"/>
    <w:rsid w:val="003E214F"/>
    <w:rsid w:val="003E22A1"/>
    <w:rsid w:val="003E419A"/>
    <w:rsid w:val="003E4A43"/>
    <w:rsid w:val="003E5ACA"/>
    <w:rsid w:val="003F365D"/>
    <w:rsid w:val="003F529C"/>
    <w:rsid w:val="003F5BE0"/>
    <w:rsid w:val="003F6B1A"/>
    <w:rsid w:val="003F764C"/>
    <w:rsid w:val="00401C70"/>
    <w:rsid w:val="0040251B"/>
    <w:rsid w:val="00403133"/>
    <w:rsid w:val="004033DA"/>
    <w:rsid w:val="00405E26"/>
    <w:rsid w:val="004068E2"/>
    <w:rsid w:val="004069D6"/>
    <w:rsid w:val="00413CBC"/>
    <w:rsid w:val="00420D15"/>
    <w:rsid w:val="00423388"/>
    <w:rsid w:val="00423C75"/>
    <w:rsid w:val="004256F1"/>
    <w:rsid w:val="00425CDB"/>
    <w:rsid w:val="004260CB"/>
    <w:rsid w:val="004335DC"/>
    <w:rsid w:val="00433AE9"/>
    <w:rsid w:val="004341CD"/>
    <w:rsid w:val="00442408"/>
    <w:rsid w:val="00443D2F"/>
    <w:rsid w:val="00444175"/>
    <w:rsid w:val="0044517E"/>
    <w:rsid w:val="004464D2"/>
    <w:rsid w:val="004467C2"/>
    <w:rsid w:val="004469CF"/>
    <w:rsid w:val="004500EF"/>
    <w:rsid w:val="00451602"/>
    <w:rsid w:val="004518ED"/>
    <w:rsid w:val="00452969"/>
    <w:rsid w:val="004533C5"/>
    <w:rsid w:val="004538E5"/>
    <w:rsid w:val="00453E70"/>
    <w:rsid w:val="00454CD7"/>
    <w:rsid w:val="00455433"/>
    <w:rsid w:val="004568ED"/>
    <w:rsid w:val="00456CEA"/>
    <w:rsid w:val="00456E4C"/>
    <w:rsid w:val="00456EE9"/>
    <w:rsid w:val="004610DD"/>
    <w:rsid w:val="00463648"/>
    <w:rsid w:val="00467C62"/>
    <w:rsid w:val="0047063B"/>
    <w:rsid w:val="004717ED"/>
    <w:rsid w:val="00472079"/>
    <w:rsid w:val="004763D8"/>
    <w:rsid w:val="004767E8"/>
    <w:rsid w:val="004775DF"/>
    <w:rsid w:val="00481832"/>
    <w:rsid w:val="00482341"/>
    <w:rsid w:val="00482591"/>
    <w:rsid w:val="004867F8"/>
    <w:rsid w:val="00486DAB"/>
    <w:rsid w:val="0048722A"/>
    <w:rsid w:val="00490718"/>
    <w:rsid w:val="004935EF"/>
    <w:rsid w:val="00493C5C"/>
    <w:rsid w:val="00493DA9"/>
    <w:rsid w:val="00496A6D"/>
    <w:rsid w:val="00497853"/>
    <w:rsid w:val="004A3C82"/>
    <w:rsid w:val="004A419A"/>
    <w:rsid w:val="004A4638"/>
    <w:rsid w:val="004A594E"/>
    <w:rsid w:val="004A659D"/>
    <w:rsid w:val="004B4208"/>
    <w:rsid w:val="004B5A8D"/>
    <w:rsid w:val="004B695A"/>
    <w:rsid w:val="004C3229"/>
    <w:rsid w:val="004C60EE"/>
    <w:rsid w:val="004C6445"/>
    <w:rsid w:val="004C74AF"/>
    <w:rsid w:val="004D063B"/>
    <w:rsid w:val="004D161A"/>
    <w:rsid w:val="004D3238"/>
    <w:rsid w:val="004D3399"/>
    <w:rsid w:val="004D487A"/>
    <w:rsid w:val="004E1684"/>
    <w:rsid w:val="004F02B1"/>
    <w:rsid w:val="004F059D"/>
    <w:rsid w:val="004F122B"/>
    <w:rsid w:val="004F1250"/>
    <w:rsid w:val="004F3859"/>
    <w:rsid w:val="004F3B02"/>
    <w:rsid w:val="004F43A8"/>
    <w:rsid w:val="004F6575"/>
    <w:rsid w:val="0050102D"/>
    <w:rsid w:val="00502719"/>
    <w:rsid w:val="005042C9"/>
    <w:rsid w:val="0050717B"/>
    <w:rsid w:val="005113FC"/>
    <w:rsid w:val="00511BD9"/>
    <w:rsid w:val="005144D2"/>
    <w:rsid w:val="00514716"/>
    <w:rsid w:val="0051580F"/>
    <w:rsid w:val="00522237"/>
    <w:rsid w:val="0052245E"/>
    <w:rsid w:val="00525922"/>
    <w:rsid w:val="00526798"/>
    <w:rsid w:val="00530627"/>
    <w:rsid w:val="0053085A"/>
    <w:rsid w:val="005308B3"/>
    <w:rsid w:val="005313A8"/>
    <w:rsid w:val="00531421"/>
    <w:rsid w:val="00531F4F"/>
    <w:rsid w:val="00532A08"/>
    <w:rsid w:val="00534124"/>
    <w:rsid w:val="00534FCA"/>
    <w:rsid w:val="005369D1"/>
    <w:rsid w:val="005432E5"/>
    <w:rsid w:val="00547C56"/>
    <w:rsid w:val="00551269"/>
    <w:rsid w:val="00554C00"/>
    <w:rsid w:val="00555138"/>
    <w:rsid w:val="005556B5"/>
    <w:rsid w:val="005573E0"/>
    <w:rsid w:val="005578BD"/>
    <w:rsid w:val="00561165"/>
    <w:rsid w:val="0056202D"/>
    <w:rsid w:val="00562FEB"/>
    <w:rsid w:val="00563896"/>
    <w:rsid w:val="00565016"/>
    <w:rsid w:val="0057056A"/>
    <w:rsid w:val="005707CC"/>
    <w:rsid w:val="005708F2"/>
    <w:rsid w:val="00575AE1"/>
    <w:rsid w:val="005775F6"/>
    <w:rsid w:val="00581B55"/>
    <w:rsid w:val="00581F60"/>
    <w:rsid w:val="00582534"/>
    <w:rsid w:val="00582BF6"/>
    <w:rsid w:val="005831DA"/>
    <w:rsid w:val="00585054"/>
    <w:rsid w:val="00585584"/>
    <w:rsid w:val="005864EA"/>
    <w:rsid w:val="00591323"/>
    <w:rsid w:val="00592B62"/>
    <w:rsid w:val="00593326"/>
    <w:rsid w:val="00595B32"/>
    <w:rsid w:val="005962DF"/>
    <w:rsid w:val="005971EE"/>
    <w:rsid w:val="005A29FA"/>
    <w:rsid w:val="005A312F"/>
    <w:rsid w:val="005A59AD"/>
    <w:rsid w:val="005A74F9"/>
    <w:rsid w:val="005B0D1B"/>
    <w:rsid w:val="005B1564"/>
    <w:rsid w:val="005B4C5D"/>
    <w:rsid w:val="005B5FA3"/>
    <w:rsid w:val="005C10AB"/>
    <w:rsid w:val="005C1F1E"/>
    <w:rsid w:val="005C208C"/>
    <w:rsid w:val="005C3A42"/>
    <w:rsid w:val="005C4605"/>
    <w:rsid w:val="005C692B"/>
    <w:rsid w:val="005C7363"/>
    <w:rsid w:val="005C769A"/>
    <w:rsid w:val="005D2263"/>
    <w:rsid w:val="005D2463"/>
    <w:rsid w:val="005D3808"/>
    <w:rsid w:val="005D3C61"/>
    <w:rsid w:val="005D49CD"/>
    <w:rsid w:val="005D4FF5"/>
    <w:rsid w:val="005D6164"/>
    <w:rsid w:val="005D73AA"/>
    <w:rsid w:val="005E10DF"/>
    <w:rsid w:val="005E203F"/>
    <w:rsid w:val="005E4440"/>
    <w:rsid w:val="005E5647"/>
    <w:rsid w:val="005E6473"/>
    <w:rsid w:val="005F0210"/>
    <w:rsid w:val="005F43A9"/>
    <w:rsid w:val="005F7436"/>
    <w:rsid w:val="0060110E"/>
    <w:rsid w:val="00601829"/>
    <w:rsid w:val="00601AB3"/>
    <w:rsid w:val="00601EB7"/>
    <w:rsid w:val="00603054"/>
    <w:rsid w:val="006042E9"/>
    <w:rsid w:val="006057F2"/>
    <w:rsid w:val="00607C07"/>
    <w:rsid w:val="006130E8"/>
    <w:rsid w:val="006134FC"/>
    <w:rsid w:val="006179A7"/>
    <w:rsid w:val="00622F3C"/>
    <w:rsid w:val="00623EC6"/>
    <w:rsid w:val="006260E8"/>
    <w:rsid w:val="006261A0"/>
    <w:rsid w:val="0063039E"/>
    <w:rsid w:val="00630DE0"/>
    <w:rsid w:val="006310C5"/>
    <w:rsid w:val="006331BF"/>
    <w:rsid w:val="00634ACA"/>
    <w:rsid w:val="006358AE"/>
    <w:rsid w:val="00636A55"/>
    <w:rsid w:val="006371FB"/>
    <w:rsid w:val="00637E20"/>
    <w:rsid w:val="00641C39"/>
    <w:rsid w:val="006422B2"/>
    <w:rsid w:val="00642602"/>
    <w:rsid w:val="00643793"/>
    <w:rsid w:val="00644ADE"/>
    <w:rsid w:val="00644FB1"/>
    <w:rsid w:val="00645807"/>
    <w:rsid w:val="00653BF4"/>
    <w:rsid w:val="00656EE0"/>
    <w:rsid w:val="0066243E"/>
    <w:rsid w:val="00663F15"/>
    <w:rsid w:val="00665552"/>
    <w:rsid w:val="0067023F"/>
    <w:rsid w:val="00675160"/>
    <w:rsid w:val="00676BB7"/>
    <w:rsid w:val="00677670"/>
    <w:rsid w:val="006777B6"/>
    <w:rsid w:val="0068064E"/>
    <w:rsid w:val="0068226D"/>
    <w:rsid w:val="00682FD7"/>
    <w:rsid w:val="00683529"/>
    <w:rsid w:val="00685D66"/>
    <w:rsid w:val="00690874"/>
    <w:rsid w:val="006934E4"/>
    <w:rsid w:val="0069362F"/>
    <w:rsid w:val="00695CBF"/>
    <w:rsid w:val="00695EA9"/>
    <w:rsid w:val="00696218"/>
    <w:rsid w:val="00696C8A"/>
    <w:rsid w:val="006A021C"/>
    <w:rsid w:val="006A36B6"/>
    <w:rsid w:val="006B021B"/>
    <w:rsid w:val="006B1BFF"/>
    <w:rsid w:val="006B227B"/>
    <w:rsid w:val="006B334D"/>
    <w:rsid w:val="006B3B24"/>
    <w:rsid w:val="006B6BEE"/>
    <w:rsid w:val="006B73C9"/>
    <w:rsid w:val="006B7DD5"/>
    <w:rsid w:val="006C200B"/>
    <w:rsid w:val="006C62AF"/>
    <w:rsid w:val="006D2619"/>
    <w:rsid w:val="006E16B3"/>
    <w:rsid w:val="006E24AD"/>
    <w:rsid w:val="006E336F"/>
    <w:rsid w:val="006E3611"/>
    <w:rsid w:val="006E59B3"/>
    <w:rsid w:val="006E5B01"/>
    <w:rsid w:val="006F100D"/>
    <w:rsid w:val="006F28C5"/>
    <w:rsid w:val="006F4064"/>
    <w:rsid w:val="006F4625"/>
    <w:rsid w:val="006F5DDD"/>
    <w:rsid w:val="006F604E"/>
    <w:rsid w:val="006F6D5A"/>
    <w:rsid w:val="006F72E6"/>
    <w:rsid w:val="006F7445"/>
    <w:rsid w:val="006F7F82"/>
    <w:rsid w:val="00701A4F"/>
    <w:rsid w:val="00703370"/>
    <w:rsid w:val="007058A9"/>
    <w:rsid w:val="007072E5"/>
    <w:rsid w:val="00710818"/>
    <w:rsid w:val="007112B1"/>
    <w:rsid w:val="00711D0E"/>
    <w:rsid w:val="00711D96"/>
    <w:rsid w:val="00713986"/>
    <w:rsid w:val="00714DA5"/>
    <w:rsid w:val="007163F6"/>
    <w:rsid w:val="00716E0C"/>
    <w:rsid w:val="00717CFA"/>
    <w:rsid w:val="00721E26"/>
    <w:rsid w:val="00723ED3"/>
    <w:rsid w:val="0072687B"/>
    <w:rsid w:val="00726D08"/>
    <w:rsid w:val="00727191"/>
    <w:rsid w:val="007276CC"/>
    <w:rsid w:val="0073281F"/>
    <w:rsid w:val="00733D09"/>
    <w:rsid w:val="00733D5A"/>
    <w:rsid w:val="00737862"/>
    <w:rsid w:val="007401FB"/>
    <w:rsid w:val="00744720"/>
    <w:rsid w:val="00746326"/>
    <w:rsid w:val="007522C2"/>
    <w:rsid w:val="00753129"/>
    <w:rsid w:val="00755A68"/>
    <w:rsid w:val="00756455"/>
    <w:rsid w:val="00756A0C"/>
    <w:rsid w:val="00761431"/>
    <w:rsid w:val="007632C9"/>
    <w:rsid w:val="00767778"/>
    <w:rsid w:val="00770EC1"/>
    <w:rsid w:val="007750CE"/>
    <w:rsid w:val="00777CC6"/>
    <w:rsid w:val="00780AD0"/>
    <w:rsid w:val="0078238C"/>
    <w:rsid w:val="00783970"/>
    <w:rsid w:val="007845B6"/>
    <w:rsid w:val="00790586"/>
    <w:rsid w:val="007908E3"/>
    <w:rsid w:val="007921E8"/>
    <w:rsid w:val="007944DD"/>
    <w:rsid w:val="007964C1"/>
    <w:rsid w:val="00797C26"/>
    <w:rsid w:val="00797D44"/>
    <w:rsid w:val="007A04D2"/>
    <w:rsid w:val="007A231E"/>
    <w:rsid w:val="007A3177"/>
    <w:rsid w:val="007A3752"/>
    <w:rsid w:val="007A38D2"/>
    <w:rsid w:val="007A39B9"/>
    <w:rsid w:val="007A3A7B"/>
    <w:rsid w:val="007A4D6D"/>
    <w:rsid w:val="007A54FC"/>
    <w:rsid w:val="007A62AE"/>
    <w:rsid w:val="007B02FC"/>
    <w:rsid w:val="007B0312"/>
    <w:rsid w:val="007B2CF9"/>
    <w:rsid w:val="007B3CE9"/>
    <w:rsid w:val="007B3D56"/>
    <w:rsid w:val="007B579B"/>
    <w:rsid w:val="007B6BC1"/>
    <w:rsid w:val="007B6C24"/>
    <w:rsid w:val="007C1204"/>
    <w:rsid w:val="007C130D"/>
    <w:rsid w:val="007C22D3"/>
    <w:rsid w:val="007C41C8"/>
    <w:rsid w:val="007C4AF2"/>
    <w:rsid w:val="007C5DCE"/>
    <w:rsid w:val="007C60DF"/>
    <w:rsid w:val="007D25BA"/>
    <w:rsid w:val="007D2B15"/>
    <w:rsid w:val="007D5FD3"/>
    <w:rsid w:val="007D6A61"/>
    <w:rsid w:val="007D6CD8"/>
    <w:rsid w:val="007E08CC"/>
    <w:rsid w:val="007E2E14"/>
    <w:rsid w:val="007E548C"/>
    <w:rsid w:val="007E6731"/>
    <w:rsid w:val="007E7836"/>
    <w:rsid w:val="007F0F42"/>
    <w:rsid w:val="007F0F6C"/>
    <w:rsid w:val="007F2A01"/>
    <w:rsid w:val="00800788"/>
    <w:rsid w:val="008017A4"/>
    <w:rsid w:val="0080224D"/>
    <w:rsid w:val="00802E98"/>
    <w:rsid w:val="00803B52"/>
    <w:rsid w:val="008070F2"/>
    <w:rsid w:val="00814D7C"/>
    <w:rsid w:val="008158E4"/>
    <w:rsid w:val="00817139"/>
    <w:rsid w:val="008217EC"/>
    <w:rsid w:val="008219F4"/>
    <w:rsid w:val="008228B8"/>
    <w:rsid w:val="00822AD7"/>
    <w:rsid w:val="00822E4A"/>
    <w:rsid w:val="00822F7A"/>
    <w:rsid w:val="00823D30"/>
    <w:rsid w:val="008273B6"/>
    <w:rsid w:val="00830B46"/>
    <w:rsid w:val="00830EB8"/>
    <w:rsid w:val="0083107A"/>
    <w:rsid w:val="008323AA"/>
    <w:rsid w:val="0083349A"/>
    <w:rsid w:val="008338E6"/>
    <w:rsid w:val="00835A66"/>
    <w:rsid w:val="00837048"/>
    <w:rsid w:val="008409CF"/>
    <w:rsid w:val="00841DEB"/>
    <w:rsid w:val="0084229F"/>
    <w:rsid w:val="00844C35"/>
    <w:rsid w:val="00845121"/>
    <w:rsid w:val="00845BDB"/>
    <w:rsid w:val="00845CE7"/>
    <w:rsid w:val="008460E1"/>
    <w:rsid w:val="0085043C"/>
    <w:rsid w:val="008516CF"/>
    <w:rsid w:val="00852F71"/>
    <w:rsid w:val="008547BF"/>
    <w:rsid w:val="00861A76"/>
    <w:rsid w:val="00861FFA"/>
    <w:rsid w:val="00862D91"/>
    <w:rsid w:val="008637E9"/>
    <w:rsid w:val="00863BA8"/>
    <w:rsid w:val="00864234"/>
    <w:rsid w:val="00865310"/>
    <w:rsid w:val="0086558F"/>
    <w:rsid w:val="00865812"/>
    <w:rsid w:val="0086673E"/>
    <w:rsid w:val="00867309"/>
    <w:rsid w:val="008678D6"/>
    <w:rsid w:val="008729E7"/>
    <w:rsid w:val="00873CA4"/>
    <w:rsid w:val="00875921"/>
    <w:rsid w:val="008764BE"/>
    <w:rsid w:val="00877122"/>
    <w:rsid w:val="00877D3F"/>
    <w:rsid w:val="008809A4"/>
    <w:rsid w:val="0088302E"/>
    <w:rsid w:val="0088392E"/>
    <w:rsid w:val="00885157"/>
    <w:rsid w:val="00885360"/>
    <w:rsid w:val="00886F94"/>
    <w:rsid w:val="00887A7A"/>
    <w:rsid w:val="00887CFC"/>
    <w:rsid w:val="00892EC7"/>
    <w:rsid w:val="00893309"/>
    <w:rsid w:val="008968CF"/>
    <w:rsid w:val="00897116"/>
    <w:rsid w:val="00897D44"/>
    <w:rsid w:val="008A1C97"/>
    <w:rsid w:val="008A2C78"/>
    <w:rsid w:val="008A3408"/>
    <w:rsid w:val="008A3476"/>
    <w:rsid w:val="008B2505"/>
    <w:rsid w:val="008B2CEF"/>
    <w:rsid w:val="008B417F"/>
    <w:rsid w:val="008B5E50"/>
    <w:rsid w:val="008C1CAD"/>
    <w:rsid w:val="008C36E6"/>
    <w:rsid w:val="008C3A0D"/>
    <w:rsid w:val="008C4FBE"/>
    <w:rsid w:val="008C5064"/>
    <w:rsid w:val="008D207E"/>
    <w:rsid w:val="008D211D"/>
    <w:rsid w:val="008E2F64"/>
    <w:rsid w:val="008E341F"/>
    <w:rsid w:val="008E636D"/>
    <w:rsid w:val="008E726E"/>
    <w:rsid w:val="008E7EF2"/>
    <w:rsid w:val="008F0866"/>
    <w:rsid w:val="008F1072"/>
    <w:rsid w:val="008F3D0F"/>
    <w:rsid w:val="008F5DE4"/>
    <w:rsid w:val="008F7D77"/>
    <w:rsid w:val="00900402"/>
    <w:rsid w:val="00902344"/>
    <w:rsid w:val="00903475"/>
    <w:rsid w:val="00903798"/>
    <w:rsid w:val="00903CE4"/>
    <w:rsid w:val="00904172"/>
    <w:rsid w:val="0090478A"/>
    <w:rsid w:val="00905EC3"/>
    <w:rsid w:val="009062EA"/>
    <w:rsid w:val="00907724"/>
    <w:rsid w:val="00910411"/>
    <w:rsid w:val="009109F0"/>
    <w:rsid w:val="00910CD4"/>
    <w:rsid w:val="0091249F"/>
    <w:rsid w:val="00915095"/>
    <w:rsid w:val="0091540F"/>
    <w:rsid w:val="0091782E"/>
    <w:rsid w:val="00921A47"/>
    <w:rsid w:val="009235FC"/>
    <w:rsid w:val="00925A7D"/>
    <w:rsid w:val="00926835"/>
    <w:rsid w:val="009269CB"/>
    <w:rsid w:val="00930C7E"/>
    <w:rsid w:val="00937700"/>
    <w:rsid w:val="00941299"/>
    <w:rsid w:val="009441BE"/>
    <w:rsid w:val="00944449"/>
    <w:rsid w:val="009458E2"/>
    <w:rsid w:val="0094737C"/>
    <w:rsid w:val="009477FF"/>
    <w:rsid w:val="00950875"/>
    <w:rsid w:val="0095329E"/>
    <w:rsid w:val="00953D86"/>
    <w:rsid w:val="00957344"/>
    <w:rsid w:val="00957BD5"/>
    <w:rsid w:val="00960A4A"/>
    <w:rsid w:val="00963FC1"/>
    <w:rsid w:val="00964464"/>
    <w:rsid w:val="00965010"/>
    <w:rsid w:val="00967695"/>
    <w:rsid w:val="0097117C"/>
    <w:rsid w:val="00971B62"/>
    <w:rsid w:val="00971F41"/>
    <w:rsid w:val="0097214A"/>
    <w:rsid w:val="00973774"/>
    <w:rsid w:val="009752EA"/>
    <w:rsid w:val="00976217"/>
    <w:rsid w:val="0097791F"/>
    <w:rsid w:val="00977EA6"/>
    <w:rsid w:val="00982644"/>
    <w:rsid w:val="00984E32"/>
    <w:rsid w:val="00986325"/>
    <w:rsid w:val="00986404"/>
    <w:rsid w:val="0099127F"/>
    <w:rsid w:val="009913C3"/>
    <w:rsid w:val="00991629"/>
    <w:rsid w:val="00992D80"/>
    <w:rsid w:val="00993078"/>
    <w:rsid w:val="0099451A"/>
    <w:rsid w:val="009948EA"/>
    <w:rsid w:val="00994AEF"/>
    <w:rsid w:val="00995EB6"/>
    <w:rsid w:val="00996776"/>
    <w:rsid w:val="009A0BE7"/>
    <w:rsid w:val="009A4F1A"/>
    <w:rsid w:val="009A6901"/>
    <w:rsid w:val="009A6BD4"/>
    <w:rsid w:val="009B036A"/>
    <w:rsid w:val="009B34C5"/>
    <w:rsid w:val="009B66AE"/>
    <w:rsid w:val="009B6991"/>
    <w:rsid w:val="009B7BAE"/>
    <w:rsid w:val="009C07FA"/>
    <w:rsid w:val="009C1D8A"/>
    <w:rsid w:val="009C32AD"/>
    <w:rsid w:val="009C5F84"/>
    <w:rsid w:val="009D16BD"/>
    <w:rsid w:val="009D3531"/>
    <w:rsid w:val="009D3E78"/>
    <w:rsid w:val="009D4776"/>
    <w:rsid w:val="009D4B24"/>
    <w:rsid w:val="009D78B2"/>
    <w:rsid w:val="009D7B0A"/>
    <w:rsid w:val="009E2FCB"/>
    <w:rsid w:val="009E381E"/>
    <w:rsid w:val="009E52B7"/>
    <w:rsid w:val="009E5596"/>
    <w:rsid w:val="009E5E70"/>
    <w:rsid w:val="009F119E"/>
    <w:rsid w:val="009F200B"/>
    <w:rsid w:val="009F2DB8"/>
    <w:rsid w:val="009F76BC"/>
    <w:rsid w:val="00A00AFB"/>
    <w:rsid w:val="00A016AD"/>
    <w:rsid w:val="00A040A4"/>
    <w:rsid w:val="00A0437A"/>
    <w:rsid w:val="00A06EC6"/>
    <w:rsid w:val="00A132AD"/>
    <w:rsid w:val="00A137A3"/>
    <w:rsid w:val="00A1412B"/>
    <w:rsid w:val="00A1560E"/>
    <w:rsid w:val="00A1766C"/>
    <w:rsid w:val="00A2063D"/>
    <w:rsid w:val="00A20FE9"/>
    <w:rsid w:val="00A214D4"/>
    <w:rsid w:val="00A26F3D"/>
    <w:rsid w:val="00A30971"/>
    <w:rsid w:val="00A31D51"/>
    <w:rsid w:val="00A3205B"/>
    <w:rsid w:val="00A32401"/>
    <w:rsid w:val="00A357FD"/>
    <w:rsid w:val="00A376C6"/>
    <w:rsid w:val="00A40BDA"/>
    <w:rsid w:val="00A4101E"/>
    <w:rsid w:val="00A424B3"/>
    <w:rsid w:val="00A42874"/>
    <w:rsid w:val="00A43467"/>
    <w:rsid w:val="00A515B4"/>
    <w:rsid w:val="00A51684"/>
    <w:rsid w:val="00A52869"/>
    <w:rsid w:val="00A54A08"/>
    <w:rsid w:val="00A5634A"/>
    <w:rsid w:val="00A57961"/>
    <w:rsid w:val="00A63248"/>
    <w:rsid w:val="00A633F5"/>
    <w:rsid w:val="00A666D5"/>
    <w:rsid w:val="00A66965"/>
    <w:rsid w:val="00A66F0B"/>
    <w:rsid w:val="00A718A9"/>
    <w:rsid w:val="00A71B7C"/>
    <w:rsid w:val="00A7336B"/>
    <w:rsid w:val="00A73B5A"/>
    <w:rsid w:val="00A74B25"/>
    <w:rsid w:val="00A7521B"/>
    <w:rsid w:val="00A769A2"/>
    <w:rsid w:val="00A76B66"/>
    <w:rsid w:val="00A775B1"/>
    <w:rsid w:val="00A80095"/>
    <w:rsid w:val="00A81CA9"/>
    <w:rsid w:val="00A82D89"/>
    <w:rsid w:val="00A861C8"/>
    <w:rsid w:val="00A864CC"/>
    <w:rsid w:val="00A87495"/>
    <w:rsid w:val="00A87FB0"/>
    <w:rsid w:val="00A9128B"/>
    <w:rsid w:val="00A91330"/>
    <w:rsid w:val="00A92F3D"/>
    <w:rsid w:val="00A93015"/>
    <w:rsid w:val="00A93412"/>
    <w:rsid w:val="00A94739"/>
    <w:rsid w:val="00A95037"/>
    <w:rsid w:val="00A95239"/>
    <w:rsid w:val="00A96377"/>
    <w:rsid w:val="00AA1260"/>
    <w:rsid w:val="00AA2409"/>
    <w:rsid w:val="00AA33BB"/>
    <w:rsid w:val="00AA3DF0"/>
    <w:rsid w:val="00AA63D5"/>
    <w:rsid w:val="00AA6B81"/>
    <w:rsid w:val="00AA6C06"/>
    <w:rsid w:val="00AA7474"/>
    <w:rsid w:val="00AB177B"/>
    <w:rsid w:val="00AB1B01"/>
    <w:rsid w:val="00AB4BBE"/>
    <w:rsid w:val="00AB4FEC"/>
    <w:rsid w:val="00AB5A69"/>
    <w:rsid w:val="00AC49B3"/>
    <w:rsid w:val="00AC6C72"/>
    <w:rsid w:val="00AD09B6"/>
    <w:rsid w:val="00AD1B07"/>
    <w:rsid w:val="00AD3365"/>
    <w:rsid w:val="00AE0AA1"/>
    <w:rsid w:val="00AE3B78"/>
    <w:rsid w:val="00AE4A5F"/>
    <w:rsid w:val="00AE576D"/>
    <w:rsid w:val="00AE630F"/>
    <w:rsid w:val="00AF1E4E"/>
    <w:rsid w:val="00AF44B1"/>
    <w:rsid w:val="00AF494D"/>
    <w:rsid w:val="00AF5F73"/>
    <w:rsid w:val="00B0198E"/>
    <w:rsid w:val="00B05663"/>
    <w:rsid w:val="00B07DF1"/>
    <w:rsid w:val="00B134F4"/>
    <w:rsid w:val="00B13693"/>
    <w:rsid w:val="00B1509A"/>
    <w:rsid w:val="00B15E48"/>
    <w:rsid w:val="00B17110"/>
    <w:rsid w:val="00B20A0B"/>
    <w:rsid w:val="00B22734"/>
    <w:rsid w:val="00B270FD"/>
    <w:rsid w:val="00B27BB2"/>
    <w:rsid w:val="00B27ED5"/>
    <w:rsid w:val="00B30228"/>
    <w:rsid w:val="00B30301"/>
    <w:rsid w:val="00B30643"/>
    <w:rsid w:val="00B30896"/>
    <w:rsid w:val="00B31198"/>
    <w:rsid w:val="00B3130D"/>
    <w:rsid w:val="00B31D8C"/>
    <w:rsid w:val="00B36F0A"/>
    <w:rsid w:val="00B371BE"/>
    <w:rsid w:val="00B42A4D"/>
    <w:rsid w:val="00B467D8"/>
    <w:rsid w:val="00B477E3"/>
    <w:rsid w:val="00B53030"/>
    <w:rsid w:val="00B5635D"/>
    <w:rsid w:val="00B57B1E"/>
    <w:rsid w:val="00B57E6A"/>
    <w:rsid w:val="00B6038D"/>
    <w:rsid w:val="00B6100F"/>
    <w:rsid w:val="00B61B0D"/>
    <w:rsid w:val="00B621EA"/>
    <w:rsid w:val="00B62D37"/>
    <w:rsid w:val="00B63DCF"/>
    <w:rsid w:val="00B651A3"/>
    <w:rsid w:val="00B67580"/>
    <w:rsid w:val="00B701C3"/>
    <w:rsid w:val="00B72755"/>
    <w:rsid w:val="00B73184"/>
    <w:rsid w:val="00B809B4"/>
    <w:rsid w:val="00B80B9F"/>
    <w:rsid w:val="00B83576"/>
    <w:rsid w:val="00B848F6"/>
    <w:rsid w:val="00B8512E"/>
    <w:rsid w:val="00B861AF"/>
    <w:rsid w:val="00B90AA1"/>
    <w:rsid w:val="00B91B4B"/>
    <w:rsid w:val="00B92121"/>
    <w:rsid w:val="00B92CAA"/>
    <w:rsid w:val="00B92DCE"/>
    <w:rsid w:val="00B93554"/>
    <w:rsid w:val="00B93890"/>
    <w:rsid w:val="00B94405"/>
    <w:rsid w:val="00B95A58"/>
    <w:rsid w:val="00B95C03"/>
    <w:rsid w:val="00BA167E"/>
    <w:rsid w:val="00BA1EF8"/>
    <w:rsid w:val="00BA42C5"/>
    <w:rsid w:val="00BA5198"/>
    <w:rsid w:val="00BA6194"/>
    <w:rsid w:val="00BA718D"/>
    <w:rsid w:val="00BA74D7"/>
    <w:rsid w:val="00BA7BDE"/>
    <w:rsid w:val="00BB0DF1"/>
    <w:rsid w:val="00BB1C79"/>
    <w:rsid w:val="00BB2AA5"/>
    <w:rsid w:val="00BB69E5"/>
    <w:rsid w:val="00BC2F77"/>
    <w:rsid w:val="00BC42B0"/>
    <w:rsid w:val="00BC46A0"/>
    <w:rsid w:val="00BC48D8"/>
    <w:rsid w:val="00BC5F5E"/>
    <w:rsid w:val="00BC68F0"/>
    <w:rsid w:val="00BC7112"/>
    <w:rsid w:val="00BC7D17"/>
    <w:rsid w:val="00BD14DE"/>
    <w:rsid w:val="00BD17EF"/>
    <w:rsid w:val="00BD609B"/>
    <w:rsid w:val="00BD734B"/>
    <w:rsid w:val="00BD7D20"/>
    <w:rsid w:val="00BE0FB8"/>
    <w:rsid w:val="00BE6FE1"/>
    <w:rsid w:val="00BE70E2"/>
    <w:rsid w:val="00BF30A2"/>
    <w:rsid w:val="00BF3680"/>
    <w:rsid w:val="00BF6A60"/>
    <w:rsid w:val="00BF6F89"/>
    <w:rsid w:val="00BF77F7"/>
    <w:rsid w:val="00BF7C22"/>
    <w:rsid w:val="00C00541"/>
    <w:rsid w:val="00C0455C"/>
    <w:rsid w:val="00C059A9"/>
    <w:rsid w:val="00C1265E"/>
    <w:rsid w:val="00C12EB8"/>
    <w:rsid w:val="00C138EC"/>
    <w:rsid w:val="00C2174B"/>
    <w:rsid w:val="00C21C2E"/>
    <w:rsid w:val="00C224A8"/>
    <w:rsid w:val="00C24B79"/>
    <w:rsid w:val="00C26986"/>
    <w:rsid w:val="00C3111B"/>
    <w:rsid w:val="00C32AB6"/>
    <w:rsid w:val="00C35883"/>
    <w:rsid w:val="00C37F8A"/>
    <w:rsid w:val="00C414D9"/>
    <w:rsid w:val="00C41BFF"/>
    <w:rsid w:val="00C41F04"/>
    <w:rsid w:val="00C44AF0"/>
    <w:rsid w:val="00C47294"/>
    <w:rsid w:val="00C5099A"/>
    <w:rsid w:val="00C517F9"/>
    <w:rsid w:val="00C535A2"/>
    <w:rsid w:val="00C53B3C"/>
    <w:rsid w:val="00C5576C"/>
    <w:rsid w:val="00C57AE4"/>
    <w:rsid w:val="00C607E8"/>
    <w:rsid w:val="00C61E7F"/>
    <w:rsid w:val="00C62088"/>
    <w:rsid w:val="00C62171"/>
    <w:rsid w:val="00C6478A"/>
    <w:rsid w:val="00C64913"/>
    <w:rsid w:val="00C65032"/>
    <w:rsid w:val="00C72A18"/>
    <w:rsid w:val="00C73D17"/>
    <w:rsid w:val="00C75378"/>
    <w:rsid w:val="00C75FD4"/>
    <w:rsid w:val="00C76788"/>
    <w:rsid w:val="00C87A38"/>
    <w:rsid w:val="00C902FE"/>
    <w:rsid w:val="00C9152E"/>
    <w:rsid w:val="00C92532"/>
    <w:rsid w:val="00C94EC9"/>
    <w:rsid w:val="00C977FE"/>
    <w:rsid w:val="00C97915"/>
    <w:rsid w:val="00CA1043"/>
    <w:rsid w:val="00CA46E9"/>
    <w:rsid w:val="00CA5E88"/>
    <w:rsid w:val="00CB2273"/>
    <w:rsid w:val="00CB4086"/>
    <w:rsid w:val="00CB4E85"/>
    <w:rsid w:val="00CB547D"/>
    <w:rsid w:val="00CB5C85"/>
    <w:rsid w:val="00CB7EEF"/>
    <w:rsid w:val="00CC1898"/>
    <w:rsid w:val="00CC1A7C"/>
    <w:rsid w:val="00CC1D5C"/>
    <w:rsid w:val="00CC3C4C"/>
    <w:rsid w:val="00CC62F5"/>
    <w:rsid w:val="00CC7C1D"/>
    <w:rsid w:val="00CC7F07"/>
    <w:rsid w:val="00CD29D8"/>
    <w:rsid w:val="00CD4B3E"/>
    <w:rsid w:val="00CD4F13"/>
    <w:rsid w:val="00CD709B"/>
    <w:rsid w:val="00CD7728"/>
    <w:rsid w:val="00CE09B9"/>
    <w:rsid w:val="00CE2669"/>
    <w:rsid w:val="00CE344A"/>
    <w:rsid w:val="00CE34C2"/>
    <w:rsid w:val="00CE4179"/>
    <w:rsid w:val="00CE65F9"/>
    <w:rsid w:val="00CF0436"/>
    <w:rsid w:val="00CF15D5"/>
    <w:rsid w:val="00CF2EB7"/>
    <w:rsid w:val="00CF3730"/>
    <w:rsid w:val="00CF56C0"/>
    <w:rsid w:val="00CF6274"/>
    <w:rsid w:val="00D023E6"/>
    <w:rsid w:val="00D03798"/>
    <w:rsid w:val="00D04075"/>
    <w:rsid w:val="00D054CC"/>
    <w:rsid w:val="00D11050"/>
    <w:rsid w:val="00D111DF"/>
    <w:rsid w:val="00D16885"/>
    <w:rsid w:val="00D20BEA"/>
    <w:rsid w:val="00D21519"/>
    <w:rsid w:val="00D22F5E"/>
    <w:rsid w:val="00D247AA"/>
    <w:rsid w:val="00D24B34"/>
    <w:rsid w:val="00D2595E"/>
    <w:rsid w:val="00D27D1B"/>
    <w:rsid w:val="00D30711"/>
    <w:rsid w:val="00D30923"/>
    <w:rsid w:val="00D30E41"/>
    <w:rsid w:val="00D32975"/>
    <w:rsid w:val="00D35AD8"/>
    <w:rsid w:val="00D402F1"/>
    <w:rsid w:val="00D439EF"/>
    <w:rsid w:val="00D44B2E"/>
    <w:rsid w:val="00D509B3"/>
    <w:rsid w:val="00D52184"/>
    <w:rsid w:val="00D5379F"/>
    <w:rsid w:val="00D60245"/>
    <w:rsid w:val="00D70C55"/>
    <w:rsid w:val="00D73918"/>
    <w:rsid w:val="00D755BE"/>
    <w:rsid w:val="00D765E8"/>
    <w:rsid w:val="00D818BC"/>
    <w:rsid w:val="00D84D98"/>
    <w:rsid w:val="00D857BF"/>
    <w:rsid w:val="00D86A5F"/>
    <w:rsid w:val="00D87142"/>
    <w:rsid w:val="00D91905"/>
    <w:rsid w:val="00D92194"/>
    <w:rsid w:val="00D94FCB"/>
    <w:rsid w:val="00D95748"/>
    <w:rsid w:val="00D95813"/>
    <w:rsid w:val="00DA1F4A"/>
    <w:rsid w:val="00DA2FD3"/>
    <w:rsid w:val="00DA6349"/>
    <w:rsid w:val="00DA7041"/>
    <w:rsid w:val="00DA7E28"/>
    <w:rsid w:val="00DB0802"/>
    <w:rsid w:val="00DB5CB7"/>
    <w:rsid w:val="00DC0619"/>
    <w:rsid w:val="00DC105A"/>
    <w:rsid w:val="00DC2DF2"/>
    <w:rsid w:val="00DC33E6"/>
    <w:rsid w:val="00DC3AF2"/>
    <w:rsid w:val="00DC3C1A"/>
    <w:rsid w:val="00DC54A2"/>
    <w:rsid w:val="00DC60B5"/>
    <w:rsid w:val="00DD0CE6"/>
    <w:rsid w:val="00DD2E23"/>
    <w:rsid w:val="00DD5E0F"/>
    <w:rsid w:val="00DD607D"/>
    <w:rsid w:val="00DD617E"/>
    <w:rsid w:val="00DD6B32"/>
    <w:rsid w:val="00DE2047"/>
    <w:rsid w:val="00DE4953"/>
    <w:rsid w:val="00DE6F5B"/>
    <w:rsid w:val="00DF1FE1"/>
    <w:rsid w:val="00DF2AE5"/>
    <w:rsid w:val="00DF2CDA"/>
    <w:rsid w:val="00DF4E5A"/>
    <w:rsid w:val="00DF5291"/>
    <w:rsid w:val="00E00781"/>
    <w:rsid w:val="00E018D1"/>
    <w:rsid w:val="00E01DA4"/>
    <w:rsid w:val="00E039EB"/>
    <w:rsid w:val="00E054A9"/>
    <w:rsid w:val="00E0685B"/>
    <w:rsid w:val="00E078CB"/>
    <w:rsid w:val="00E12DB6"/>
    <w:rsid w:val="00E144B3"/>
    <w:rsid w:val="00E1561E"/>
    <w:rsid w:val="00E2166C"/>
    <w:rsid w:val="00E23503"/>
    <w:rsid w:val="00E242F0"/>
    <w:rsid w:val="00E24405"/>
    <w:rsid w:val="00E24CFD"/>
    <w:rsid w:val="00E26AA9"/>
    <w:rsid w:val="00E27BDD"/>
    <w:rsid w:val="00E304EB"/>
    <w:rsid w:val="00E35A1A"/>
    <w:rsid w:val="00E378CF"/>
    <w:rsid w:val="00E40B41"/>
    <w:rsid w:val="00E43291"/>
    <w:rsid w:val="00E4335F"/>
    <w:rsid w:val="00E4625F"/>
    <w:rsid w:val="00E477BD"/>
    <w:rsid w:val="00E50A57"/>
    <w:rsid w:val="00E50E0C"/>
    <w:rsid w:val="00E51A81"/>
    <w:rsid w:val="00E51EBA"/>
    <w:rsid w:val="00E52514"/>
    <w:rsid w:val="00E5357F"/>
    <w:rsid w:val="00E5363B"/>
    <w:rsid w:val="00E5589E"/>
    <w:rsid w:val="00E55E92"/>
    <w:rsid w:val="00E5603E"/>
    <w:rsid w:val="00E56C75"/>
    <w:rsid w:val="00E61834"/>
    <w:rsid w:val="00E63468"/>
    <w:rsid w:val="00E6687F"/>
    <w:rsid w:val="00E67B2A"/>
    <w:rsid w:val="00E72E99"/>
    <w:rsid w:val="00E734F7"/>
    <w:rsid w:val="00E734FB"/>
    <w:rsid w:val="00E7637F"/>
    <w:rsid w:val="00E81AC0"/>
    <w:rsid w:val="00E81F2B"/>
    <w:rsid w:val="00E8287D"/>
    <w:rsid w:val="00E87C83"/>
    <w:rsid w:val="00E900DA"/>
    <w:rsid w:val="00E91482"/>
    <w:rsid w:val="00E9526B"/>
    <w:rsid w:val="00E959C5"/>
    <w:rsid w:val="00E95F71"/>
    <w:rsid w:val="00E961DC"/>
    <w:rsid w:val="00EA0297"/>
    <w:rsid w:val="00EA02A1"/>
    <w:rsid w:val="00EA4544"/>
    <w:rsid w:val="00EA4918"/>
    <w:rsid w:val="00EA51F8"/>
    <w:rsid w:val="00EA7293"/>
    <w:rsid w:val="00EB05D8"/>
    <w:rsid w:val="00EB09B1"/>
    <w:rsid w:val="00EB09F3"/>
    <w:rsid w:val="00EB17B6"/>
    <w:rsid w:val="00EB3D1D"/>
    <w:rsid w:val="00EB42D0"/>
    <w:rsid w:val="00EB7195"/>
    <w:rsid w:val="00EC048D"/>
    <w:rsid w:val="00EC1375"/>
    <w:rsid w:val="00EC28DA"/>
    <w:rsid w:val="00EC357C"/>
    <w:rsid w:val="00EC3A46"/>
    <w:rsid w:val="00ED2462"/>
    <w:rsid w:val="00ED42BE"/>
    <w:rsid w:val="00ED42F6"/>
    <w:rsid w:val="00ED4820"/>
    <w:rsid w:val="00ED5E9C"/>
    <w:rsid w:val="00ED77A5"/>
    <w:rsid w:val="00EE08A7"/>
    <w:rsid w:val="00EE277B"/>
    <w:rsid w:val="00EE3C4D"/>
    <w:rsid w:val="00EE669D"/>
    <w:rsid w:val="00EE6EDD"/>
    <w:rsid w:val="00EE70D1"/>
    <w:rsid w:val="00EE797A"/>
    <w:rsid w:val="00EE7F24"/>
    <w:rsid w:val="00EF3D27"/>
    <w:rsid w:val="00EF531C"/>
    <w:rsid w:val="00EF53BC"/>
    <w:rsid w:val="00EF5969"/>
    <w:rsid w:val="00EF6D78"/>
    <w:rsid w:val="00F05F4F"/>
    <w:rsid w:val="00F07DD9"/>
    <w:rsid w:val="00F1083A"/>
    <w:rsid w:val="00F112D8"/>
    <w:rsid w:val="00F1233E"/>
    <w:rsid w:val="00F133B4"/>
    <w:rsid w:val="00F1427C"/>
    <w:rsid w:val="00F14856"/>
    <w:rsid w:val="00F14B59"/>
    <w:rsid w:val="00F21AD5"/>
    <w:rsid w:val="00F24721"/>
    <w:rsid w:val="00F26C56"/>
    <w:rsid w:val="00F34640"/>
    <w:rsid w:val="00F35C2E"/>
    <w:rsid w:val="00F375C8"/>
    <w:rsid w:val="00F4122E"/>
    <w:rsid w:val="00F42B2E"/>
    <w:rsid w:val="00F4340C"/>
    <w:rsid w:val="00F438CB"/>
    <w:rsid w:val="00F44509"/>
    <w:rsid w:val="00F4596C"/>
    <w:rsid w:val="00F53366"/>
    <w:rsid w:val="00F53EDE"/>
    <w:rsid w:val="00F53F26"/>
    <w:rsid w:val="00F546FF"/>
    <w:rsid w:val="00F5626D"/>
    <w:rsid w:val="00F63486"/>
    <w:rsid w:val="00F660A0"/>
    <w:rsid w:val="00F67714"/>
    <w:rsid w:val="00F726CB"/>
    <w:rsid w:val="00F7348B"/>
    <w:rsid w:val="00F77FCB"/>
    <w:rsid w:val="00F808EA"/>
    <w:rsid w:val="00F80C45"/>
    <w:rsid w:val="00F81BB6"/>
    <w:rsid w:val="00F8255B"/>
    <w:rsid w:val="00F845A5"/>
    <w:rsid w:val="00F86536"/>
    <w:rsid w:val="00F91B2A"/>
    <w:rsid w:val="00F9401E"/>
    <w:rsid w:val="00F9792B"/>
    <w:rsid w:val="00FA349A"/>
    <w:rsid w:val="00FA5EFD"/>
    <w:rsid w:val="00FA6471"/>
    <w:rsid w:val="00FA6E1F"/>
    <w:rsid w:val="00FB0ED3"/>
    <w:rsid w:val="00FB5C28"/>
    <w:rsid w:val="00FB6C3B"/>
    <w:rsid w:val="00FB6D41"/>
    <w:rsid w:val="00FC041E"/>
    <w:rsid w:val="00FC0C7D"/>
    <w:rsid w:val="00FC0E16"/>
    <w:rsid w:val="00FC3735"/>
    <w:rsid w:val="00FC42BE"/>
    <w:rsid w:val="00FC49DD"/>
    <w:rsid w:val="00FC517D"/>
    <w:rsid w:val="00FC5886"/>
    <w:rsid w:val="00FC6337"/>
    <w:rsid w:val="00FC63C5"/>
    <w:rsid w:val="00FC6610"/>
    <w:rsid w:val="00FC7D22"/>
    <w:rsid w:val="00FD5270"/>
    <w:rsid w:val="00FD665F"/>
    <w:rsid w:val="00FD7FAD"/>
    <w:rsid w:val="00FE6F2C"/>
    <w:rsid w:val="00FF00DF"/>
    <w:rsid w:val="00FF2E10"/>
    <w:rsid w:val="00FF3D2A"/>
    <w:rsid w:val="00FF4D63"/>
    <w:rsid w:val="00FF5607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02E"/>
    <w:rPr>
      <w:rFonts w:ascii="Cambria" w:hAnsi="Cambria" w:cs="Cambria"/>
      <w:b/>
      <w:bCs/>
      <w:kern w:val="32"/>
      <w:sz w:val="32"/>
      <w:szCs w:val="32"/>
    </w:rPr>
  </w:style>
  <w:style w:type="paragraph" w:customStyle="1" w:styleId="4">
    <w:name w:val="Стиль Заголовок 4 + По ширине"/>
    <w:basedOn w:val="Normal"/>
    <w:uiPriority w:val="99"/>
    <w:rsid w:val="00FC517D"/>
    <w:pPr>
      <w:spacing w:before="240" w:after="240"/>
    </w:pPr>
  </w:style>
  <w:style w:type="character" w:customStyle="1" w:styleId="a">
    <w:name w:val="Цветовое выделение"/>
    <w:uiPriority w:val="99"/>
    <w:rsid w:val="00456EE9"/>
    <w:rPr>
      <w:b/>
      <w:bCs/>
      <w:color w:val="000080"/>
      <w:sz w:val="20"/>
      <w:szCs w:val="20"/>
    </w:rPr>
  </w:style>
  <w:style w:type="character" w:customStyle="1" w:styleId="a0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1">
    <w:name w:val="Текст (лев. подпись)"/>
    <w:basedOn w:val="Normal"/>
    <w:next w:val="Normal"/>
    <w:uiPriority w:val="99"/>
    <w:rsid w:val="00456EE9"/>
    <w:pPr>
      <w:ind w:firstLine="0"/>
      <w:jc w:val="left"/>
    </w:pPr>
  </w:style>
  <w:style w:type="paragraph" w:customStyle="1" w:styleId="a2">
    <w:name w:val="Текст (прав. подпись)"/>
    <w:basedOn w:val="Normal"/>
    <w:next w:val="Normal"/>
    <w:uiPriority w:val="99"/>
    <w:rsid w:val="00456EE9"/>
    <w:pPr>
      <w:ind w:firstLine="0"/>
      <w:jc w:val="right"/>
    </w:pPr>
  </w:style>
  <w:style w:type="paragraph" w:customStyle="1" w:styleId="a3">
    <w:name w:val="Таблицы (моноширинный)"/>
    <w:basedOn w:val="Normal"/>
    <w:next w:val="Normal"/>
    <w:uiPriority w:val="99"/>
    <w:rsid w:val="00456EE9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Normal"/>
    <w:next w:val="Normal"/>
    <w:uiPriority w:val="99"/>
    <w:rsid w:val="00456EE9"/>
    <w:pPr>
      <w:ind w:firstLine="0"/>
      <w:jc w:val="left"/>
    </w:pPr>
  </w:style>
  <w:style w:type="table" w:styleId="TableGrid">
    <w:name w:val="Table Grid"/>
    <w:basedOn w:val="TableNormal"/>
    <w:uiPriority w:val="99"/>
    <w:rsid w:val="005A29FA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072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20A0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948EA"/>
    <w:pPr>
      <w:widowControl/>
      <w:autoSpaceDE/>
      <w:autoSpaceDN/>
      <w:adjustRightInd/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7F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072"/>
    <w:rPr>
      <w:rFonts w:ascii="Arial" w:hAnsi="Arial" w:cs="Arial"/>
    </w:rPr>
  </w:style>
  <w:style w:type="paragraph" w:customStyle="1" w:styleId="ConsPlusNormal">
    <w:name w:val="ConsPlusNormal"/>
    <w:uiPriority w:val="99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2E"/>
    <w:rPr>
      <w:rFonts w:cs="Times New Roman"/>
      <w:sz w:val="2"/>
      <w:szCs w:val="2"/>
    </w:rPr>
  </w:style>
  <w:style w:type="paragraph" w:customStyle="1" w:styleId="1">
    <w:name w:val="Знак1 Знак Знак Знак"/>
    <w:basedOn w:val="Normal"/>
    <w:uiPriority w:val="99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05F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5F4F"/>
    <w:rPr>
      <w:rFonts w:ascii="Arial" w:hAnsi="Arial" w:cs="Arial"/>
    </w:rPr>
  </w:style>
  <w:style w:type="paragraph" w:customStyle="1" w:styleId="a5">
    <w:name w:val="Заголовок статьи"/>
    <w:basedOn w:val="Normal"/>
    <w:next w:val="Normal"/>
    <w:uiPriority w:val="99"/>
    <w:rsid w:val="00325FD0"/>
    <w:pPr>
      <w:widowControl/>
      <w:ind w:left="1612" w:hanging="892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C60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C60B5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0">
    <w:name w:val="xl70"/>
    <w:basedOn w:val="Normal"/>
    <w:uiPriority w:val="99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71">
    <w:name w:val="xl71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6">
    <w:name w:val="xl86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9">
    <w:name w:val="xl89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Normal"/>
    <w:uiPriority w:val="99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91">
    <w:name w:val="xl91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4">
    <w:name w:val="xl94"/>
    <w:basedOn w:val="Normal"/>
    <w:uiPriority w:val="99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96">
    <w:name w:val="xl96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"/>
    <w:uiPriority w:val="99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9">
    <w:name w:val="xl99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Normal"/>
    <w:uiPriority w:val="99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color w:val="FF0000"/>
      <w:sz w:val="22"/>
      <w:szCs w:val="22"/>
    </w:rPr>
  </w:style>
  <w:style w:type="paragraph" w:customStyle="1" w:styleId="xl105">
    <w:name w:val="xl105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06">
    <w:name w:val="xl106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Normal"/>
    <w:uiPriority w:val="99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10">
    <w:name w:val="xl110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11">
    <w:name w:val="xl111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3">
    <w:name w:val="xl113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14">
    <w:name w:val="xl114"/>
    <w:basedOn w:val="Normal"/>
    <w:uiPriority w:val="99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Normal"/>
    <w:uiPriority w:val="99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6">
    <w:name w:val="xl116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17">
    <w:name w:val="xl117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9">
    <w:name w:val="xl119"/>
    <w:basedOn w:val="Normal"/>
    <w:uiPriority w:val="99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20">
    <w:name w:val="xl120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1">
    <w:name w:val="xl121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Normal"/>
    <w:uiPriority w:val="99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23">
    <w:name w:val="xl123"/>
    <w:basedOn w:val="Normal"/>
    <w:uiPriority w:val="99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xl124">
    <w:name w:val="xl124"/>
    <w:basedOn w:val="Normal"/>
    <w:uiPriority w:val="99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xl125">
    <w:name w:val="xl125"/>
    <w:basedOn w:val="Normal"/>
    <w:uiPriority w:val="99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xl126">
    <w:name w:val="xl126"/>
    <w:basedOn w:val="Normal"/>
    <w:uiPriority w:val="99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2"/>
      <w:szCs w:val="22"/>
    </w:rPr>
  </w:style>
  <w:style w:type="paragraph" w:customStyle="1" w:styleId="font5">
    <w:name w:val="font5"/>
    <w:basedOn w:val="Normal"/>
    <w:uiPriority w:val="99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font6">
    <w:name w:val="font6"/>
    <w:basedOn w:val="Normal"/>
    <w:uiPriority w:val="99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0C2BB1"/>
    <w:pPr>
      <w:ind w:left="720"/>
    </w:pPr>
  </w:style>
  <w:style w:type="paragraph" w:customStyle="1" w:styleId="xl131">
    <w:name w:val="xl131"/>
    <w:basedOn w:val="Normal"/>
    <w:uiPriority w:val="99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Normal"/>
    <w:uiPriority w:val="99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33">
    <w:name w:val="xl133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Normal"/>
    <w:uiPriority w:val="99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5">
    <w:name w:val="xl135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36">
    <w:name w:val="xl136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37">
    <w:name w:val="xl137"/>
    <w:basedOn w:val="Normal"/>
    <w:uiPriority w:val="99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38">
    <w:name w:val="xl138"/>
    <w:basedOn w:val="Normal"/>
    <w:uiPriority w:val="99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40">
    <w:name w:val="xl140"/>
    <w:basedOn w:val="Normal"/>
    <w:uiPriority w:val="99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41">
    <w:name w:val="xl141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42">
    <w:name w:val="xl142"/>
    <w:basedOn w:val="Normal"/>
    <w:uiPriority w:val="99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43">
    <w:name w:val="xl143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44">
    <w:name w:val="xl144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45">
    <w:name w:val="xl145"/>
    <w:basedOn w:val="Normal"/>
    <w:uiPriority w:val="99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46">
    <w:name w:val="xl146"/>
    <w:basedOn w:val="Normal"/>
    <w:uiPriority w:val="99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47">
    <w:name w:val="xl147"/>
    <w:basedOn w:val="Normal"/>
    <w:uiPriority w:val="99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48">
    <w:name w:val="xl148"/>
    <w:basedOn w:val="Normal"/>
    <w:uiPriority w:val="99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Normal"/>
    <w:uiPriority w:val="99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51">
    <w:name w:val="xl151"/>
    <w:basedOn w:val="Normal"/>
    <w:uiPriority w:val="99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</w:rPr>
  </w:style>
  <w:style w:type="paragraph" w:customStyle="1" w:styleId="xl152">
    <w:name w:val="xl152"/>
    <w:basedOn w:val="Normal"/>
    <w:uiPriority w:val="99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color w:val="FF0000"/>
      <w:sz w:val="22"/>
      <w:szCs w:val="22"/>
    </w:rPr>
  </w:style>
  <w:style w:type="paragraph" w:customStyle="1" w:styleId="xl153">
    <w:name w:val="xl153"/>
    <w:basedOn w:val="Normal"/>
    <w:uiPriority w:val="99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Normal"/>
    <w:uiPriority w:val="99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9">
    <w:name w:val="xl159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60">
    <w:name w:val="xl160"/>
    <w:basedOn w:val="Normal"/>
    <w:uiPriority w:val="99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Normal"/>
    <w:uiPriority w:val="99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63">
    <w:name w:val="xl163"/>
    <w:basedOn w:val="Normal"/>
    <w:uiPriority w:val="99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64">
    <w:name w:val="xl164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Normal"/>
    <w:uiPriority w:val="99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70">
    <w:name w:val="xl170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72">
    <w:name w:val="xl172"/>
    <w:basedOn w:val="Normal"/>
    <w:uiPriority w:val="99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color w:val="FF0000"/>
      <w:sz w:val="22"/>
      <w:szCs w:val="22"/>
    </w:rPr>
  </w:style>
  <w:style w:type="paragraph" w:customStyle="1" w:styleId="xl173">
    <w:name w:val="xl173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85">
    <w:name w:val="xl185"/>
    <w:basedOn w:val="Normal"/>
    <w:uiPriority w:val="99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Normal"/>
    <w:uiPriority w:val="99"/>
    <w:rsid w:val="002406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5">
    <w:name w:val="xl65"/>
    <w:basedOn w:val="Normal"/>
    <w:uiPriority w:val="99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86">
    <w:name w:val="xl186"/>
    <w:basedOn w:val="Normal"/>
    <w:uiPriority w:val="99"/>
    <w:rsid w:val="00941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87">
    <w:name w:val="xl187"/>
    <w:basedOn w:val="Normal"/>
    <w:uiPriority w:val="99"/>
    <w:rsid w:val="009412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746326"/>
    <w:pPr>
      <w:widowControl/>
      <w:adjustRightInd/>
      <w:ind w:firstLine="0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746326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113</Pages>
  <Words>23267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Maksimec</cp:lastModifiedBy>
  <cp:revision>15</cp:revision>
  <cp:lastPrinted>2016-03-24T12:34:00Z</cp:lastPrinted>
  <dcterms:created xsi:type="dcterms:W3CDTF">2016-03-23T09:01:00Z</dcterms:created>
  <dcterms:modified xsi:type="dcterms:W3CDTF">2016-03-27T12:09:00Z</dcterms:modified>
</cp:coreProperties>
</file>