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26" w:rsidRPr="00953926" w:rsidRDefault="00953926" w:rsidP="00953926">
      <w:pPr>
        <w:jc w:val="center"/>
        <w:rPr>
          <w:b/>
          <w:sz w:val="28"/>
          <w:szCs w:val="28"/>
        </w:rPr>
      </w:pPr>
      <w:bookmarkStart w:id="0" w:name="_GoBack"/>
      <w:r w:rsidRPr="00953926">
        <w:rPr>
          <w:b/>
          <w:sz w:val="28"/>
          <w:szCs w:val="28"/>
        </w:rPr>
        <w:t>Мониторинг освоения основной образовательной программы.</w:t>
      </w:r>
    </w:p>
    <w:bookmarkEnd w:id="0"/>
    <w:p w:rsidR="00953926" w:rsidRPr="0004153C" w:rsidRDefault="00953926" w:rsidP="0095392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617"/>
        <w:gridCol w:w="1785"/>
        <w:gridCol w:w="1762"/>
        <w:gridCol w:w="1889"/>
      </w:tblGrid>
      <w:tr w:rsidR="00953926" w:rsidRPr="0004153C" w:rsidTr="00C26453">
        <w:trPr>
          <w:trHeight w:val="473"/>
        </w:trPr>
        <w:tc>
          <w:tcPr>
            <w:tcW w:w="2518" w:type="dxa"/>
            <w:vMerge w:val="restart"/>
            <w:shd w:val="clear" w:color="auto" w:fill="auto"/>
          </w:tcPr>
          <w:p w:rsidR="00953926" w:rsidRPr="0004153C" w:rsidRDefault="00953926" w:rsidP="00C26453">
            <w:pPr>
              <w:jc w:val="both"/>
            </w:pPr>
            <w:r w:rsidRPr="0004153C">
              <w:t>Наименование образовательной области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53926" w:rsidRPr="0004153C" w:rsidRDefault="00953926" w:rsidP="00C26453">
            <w:pPr>
              <w:jc w:val="both"/>
            </w:pPr>
            <w:r w:rsidRPr="0004153C">
              <w:t>Количество детей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953926" w:rsidRPr="0004153C" w:rsidRDefault="00953926" w:rsidP="00C26453">
            <w:pPr>
              <w:jc w:val="both"/>
            </w:pPr>
            <w:r w:rsidRPr="0004153C">
              <w:t>Уровень освоения программы</w:t>
            </w: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3926" w:rsidRPr="0004153C" w:rsidRDefault="00953926" w:rsidP="00C26453">
            <w:pPr>
              <w:jc w:val="both"/>
            </w:pPr>
            <w:r w:rsidRPr="0004153C">
              <w:t>2019-2020 учебный год</w:t>
            </w:r>
          </w:p>
        </w:tc>
      </w:tr>
      <w:tr w:rsidR="00953926" w:rsidRPr="0004153C" w:rsidTr="00C26453">
        <w:trPr>
          <w:trHeight w:val="482"/>
        </w:trPr>
        <w:tc>
          <w:tcPr>
            <w:tcW w:w="2518" w:type="dxa"/>
            <w:vMerge/>
            <w:shd w:val="clear" w:color="auto" w:fill="auto"/>
          </w:tcPr>
          <w:p w:rsidR="00953926" w:rsidRPr="0004153C" w:rsidRDefault="00953926" w:rsidP="00C26453">
            <w:pPr>
              <w:jc w:val="both"/>
            </w:pPr>
          </w:p>
        </w:tc>
        <w:tc>
          <w:tcPr>
            <w:tcW w:w="1617" w:type="dxa"/>
            <w:vMerge/>
            <w:shd w:val="clear" w:color="auto" w:fill="auto"/>
          </w:tcPr>
          <w:p w:rsidR="00953926" w:rsidRPr="0004153C" w:rsidRDefault="00953926" w:rsidP="00C26453">
            <w:pPr>
              <w:jc w:val="both"/>
            </w:pPr>
          </w:p>
        </w:tc>
        <w:tc>
          <w:tcPr>
            <w:tcW w:w="1785" w:type="dxa"/>
            <w:vMerge/>
            <w:shd w:val="clear" w:color="auto" w:fill="auto"/>
          </w:tcPr>
          <w:p w:rsidR="00953926" w:rsidRPr="0004153C" w:rsidRDefault="00953926" w:rsidP="00C26453">
            <w:pPr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3926" w:rsidRPr="0004153C" w:rsidRDefault="00953926" w:rsidP="00C26453">
            <w:pPr>
              <w:jc w:val="both"/>
            </w:pPr>
            <w:r w:rsidRPr="0004153C">
              <w:t>Начало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3926" w:rsidRPr="0004153C" w:rsidRDefault="00953926" w:rsidP="00C26453">
            <w:pPr>
              <w:jc w:val="both"/>
            </w:pPr>
            <w:r w:rsidRPr="0004153C">
              <w:t>Конец года</w:t>
            </w:r>
          </w:p>
        </w:tc>
      </w:tr>
      <w:tr w:rsidR="00953926" w:rsidRPr="0004153C" w:rsidTr="00C26453">
        <w:tc>
          <w:tcPr>
            <w:tcW w:w="2518" w:type="dxa"/>
            <w:shd w:val="clear" w:color="auto" w:fill="auto"/>
          </w:tcPr>
          <w:p w:rsidR="00953926" w:rsidRPr="0004153C" w:rsidRDefault="00953926" w:rsidP="00C26453">
            <w:pPr>
              <w:jc w:val="both"/>
            </w:pPr>
            <w:r w:rsidRPr="0004153C">
              <w:t>Социально-коммуникативное развитие</w:t>
            </w:r>
          </w:p>
        </w:tc>
        <w:tc>
          <w:tcPr>
            <w:tcW w:w="1617" w:type="dxa"/>
            <w:shd w:val="clear" w:color="auto" w:fill="auto"/>
          </w:tcPr>
          <w:p w:rsidR="00953926" w:rsidRPr="0004153C" w:rsidRDefault="00953926" w:rsidP="00C26453">
            <w:pPr>
              <w:jc w:val="both"/>
            </w:pPr>
            <w:r>
              <w:t>255</w:t>
            </w:r>
          </w:p>
        </w:tc>
        <w:tc>
          <w:tcPr>
            <w:tcW w:w="1785" w:type="dxa"/>
            <w:shd w:val="clear" w:color="auto" w:fill="auto"/>
          </w:tcPr>
          <w:p w:rsidR="00953926" w:rsidRPr="0004153C" w:rsidRDefault="00953926" w:rsidP="00C26453">
            <w:pPr>
              <w:jc w:val="both"/>
            </w:pPr>
            <w:r w:rsidRPr="0004153C">
              <w:t>высокий средний</w:t>
            </w:r>
          </w:p>
          <w:p w:rsidR="00953926" w:rsidRPr="0004153C" w:rsidRDefault="00953926" w:rsidP="00C26453">
            <w:pPr>
              <w:jc w:val="both"/>
            </w:pPr>
            <w:r w:rsidRPr="0004153C">
              <w:t>низкий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auto"/>
          </w:tcPr>
          <w:p w:rsidR="00953926" w:rsidRDefault="00953926" w:rsidP="00C26453">
            <w:pPr>
              <w:jc w:val="both"/>
            </w:pPr>
            <w:r>
              <w:t>20%</w:t>
            </w:r>
          </w:p>
          <w:p w:rsidR="00953926" w:rsidRDefault="00953926" w:rsidP="00C26453">
            <w:pPr>
              <w:jc w:val="both"/>
            </w:pPr>
            <w:r>
              <w:t>41%</w:t>
            </w:r>
          </w:p>
          <w:p w:rsidR="00953926" w:rsidRPr="0004153C" w:rsidRDefault="00953926" w:rsidP="00C26453">
            <w:pPr>
              <w:jc w:val="both"/>
            </w:pPr>
            <w:r>
              <w:t>39%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shd w:val="clear" w:color="auto" w:fill="auto"/>
          </w:tcPr>
          <w:p w:rsidR="00953926" w:rsidRDefault="00953926" w:rsidP="00C26453">
            <w:pPr>
              <w:jc w:val="both"/>
            </w:pPr>
            <w:r>
              <w:t>42%</w:t>
            </w:r>
          </w:p>
          <w:p w:rsidR="00953926" w:rsidRDefault="00953926" w:rsidP="00C26453">
            <w:pPr>
              <w:jc w:val="both"/>
            </w:pPr>
            <w:r>
              <w:t>46%</w:t>
            </w:r>
          </w:p>
          <w:p w:rsidR="00953926" w:rsidRPr="0004153C" w:rsidRDefault="00953926" w:rsidP="00C26453">
            <w:pPr>
              <w:jc w:val="both"/>
            </w:pPr>
            <w:r>
              <w:t>12%</w:t>
            </w:r>
          </w:p>
        </w:tc>
      </w:tr>
      <w:tr w:rsidR="00953926" w:rsidRPr="0004153C" w:rsidTr="00C26453">
        <w:tc>
          <w:tcPr>
            <w:tcW w:w="2518" w:type="dxa"/>
            <w:shd w:val="clear" w:color="auto" w:fill="auto"/>
          </w:tcPr>
          <w:p w:rsidR="00953926" w:rsidRPr="0004153C" w:rsidRDefault="00953926" w:rsidP="00C26453">
            <w:pPr>
              <w:jc w:val="both"/>
            </w:pPr>
            <w:r w:rsidRPr="0004153C">
              <w:t>Познавательное развитие</w:t>
            </w:r>
          </w:p>
        </w:tc>
        <w:tc>
          <w:tcPr>
            <w:tcW w:w="1617" w:type="dxa"/>
            <w:shd w:val="clear" w:color="auto" w:fill="auto"/>
          </w:tcPr>
          <w:p w:rsidR="00953926" w:rsidRDefault="00953926" w:rsidP="00C26453">
            <w:r w:rsidRPr="00396D3E">
              <w:t>255</w:t>
            </w:r>
          </w:p>
        </w:tc>
        <w:tc>
          <w:tcPr>
            <w:tcW w:w="1785" w:type="dxa"/>
            <w:shd w:val="clear" w:color="auto" w:fill="auto"/>
          </w:tcPr>
          <w:p w:rsidR="00953926" w:rsidRPr="0004153C" w:rsidRDefault="00953926" w:rsidP="00C26453">
            <w:pPr>
              <w:jc w:val="both"/>
            </w:pPr>
            <w:r w:rsidRPr="0004153C">
              <w:t>высокий средний</w:t>
            </w:r>
          </w:p>
          <w:p w:rsidR="00953926" w:rsidRPr="0004153C" w:rsidRDefault="00953926" w:rsidP="00C26453">
            <w:pPr>
              <w:jc w:val="both"/>
            </w:pPr>
            <w:r w:rsidRPr="0004153C">
              <w:t>низкий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auto"/>
          </w:tcPr>
          <w:p w:rsidR="00953926" w:rsidRDefault="00953926" w:rsidP="00C26453">
            <w:pPr>
              <w:jc w:val="both"/>
            </w:pPr>
            <w:r>
              <w:t>22%</w:t>
            </w:r>
          </w:p>
          <w:p w:rsidR="00953926" w:rsidRDefault="00953926" w:rsidP="00C26453">
            <w:pPr>
              <w:jc w:val="both"/>
            </w:pPr>
            <w:r>
              <w:t>31%</w:t>
            </w:r>
          </w:p>
          <w:p w:rsidR="00953926" w:rsidRPr="0004153C" w:rsidRDefault="00953926" w:rsidP="00C26453">
            <w:pPr>
              <w:jc w:val="both"/>
            </w:pPr>
            <w:r>
              <w:t>47%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shd w:val="clear" w:color="auto" w:fill="auto"/>
          </w:tcPr>
          <w:p w:rsidR="00953926" w:rsidRDefault="00953926" w:rsidP="00C26453">
            <w:pPr>
              <w:jc w:val="both"/>
            </w:pPr>
            <w:r>
              <w:t>31%</w:t>
            </w:r>
          </w:p>
          <w:p w:rsidR="00953926" w:rsidRDefault="00953926" w:rsidP="00C26453">
            <w:pPr>
              <w:jc w:val="both"/>
            </w:pPr>
            <w:r>
              <w:t>49%</w:t>
            </w:r>
          </w:p>
          <w:p w:rsidR="00953926" w:rsidRPr="0004153C" w:rsidRDefault="00953926" w:rsidP="00C26453">
            <w:pPr>
              <w:jc w:val="both"/>
            </w:pPr>
            <w:r>
              <w:t>20%</w:t>
            </w:r>
          </w:p>
        </w:tc>
      </w:tr>
      <w:tr w:rsidR="00953926" w:rsidRPr="0004153C" w:rsidTr="00C26453">
        <w:tc>
          <w:tcPr>
            <w:tcW w:w="2518" w:type="dxa"/>
            <w:shd w:val="clear" w:color="auto" w:fill="auto"/>
          </w:tcPr>
          <w:p w:rsidR="00953926" w:rsidRPr="0004153C" w:rsidRDefault="00953926" w:rsidP="00C26453">
            <w:pPr>
              <w:jc w:val="both"/>
            </w:pPr>
            <w:r w:rsidRPr="0004153C">
              <w:t>Речевое развитие</w:t>
            </w:r>
          </w:p>
        </w:tc>
        <w:tc>
          <w:tcPr>
            <w:tcW w:w="1617" w:type="dxa"/>
            <w:shd w:val="clear" w:color="auto" w:fill="auto"/>
          </w:tcPr>
          <w:p w:rsidR="00953926" w:rsidRDefault="00953926" w:rsidP="00C26453">
            <w:r w:rsidRPr="00396D3E">
              <w:t>255</w:t>
            </w:r>
          </w:p>
        </w:tc>
        <w:tc>
          <w:tcPr>
            <w:tcW w:w="1785" w:type="dxa"/>
            <w:shd w:val="clear" w:color="auto" w:fill="auto"/>
          </w:tcPr>
          <w:p w:rsidR="00953926" w:rsidRPr="0004153C" w:rsidRDefault="00953926" w:rsidP="00C26453">
            <w:pPr>
              <w:jc w:val="both"/>
            </w:pPr>
            <w:r w:rsidRPr="0004153C">
              <w:t>высокий средний</w:t>
            </w:r>
          </w:p>
          <w:p w:rsidR="00953926" w:rsidRPr="0004153C" w:rsidRDefault="00953926" w:rsidP="00C26453">
            <w:pPr>
              <w:jc w:val="both"/>
            </w:pPr>
            <w:r w:rsidRPr="0004153C">
              <w:t>низкий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auto"/>
          </w:tcPr>
          <w:p w:rsidR="00953926" w:rsidRDefault="00953926" w:rsidP="00C26453">
            <w:pPr>
              <w:jc w:val="both"/>
            </w:pPr>
            <w:r>
              <w:t>11%</w:t>
            </w:r>
          </w:p>
          <w:p w:rsidR="00953926" w:rsidRDefault="00953926" w:rsidP="00C26453">
            <w:pPr>
              <w:jc w:val="both"/>
            </w:pPr>
            <w:r>
              <w:t>42%</w:t>
            </w:r>
          </w:p>
          <w:p w:rsidR="00953926" w:rsidRPr="0004153C" w:rsidRDefault="00953926" w:rsidP="00C26453">
            <w:pPr>
              <w:jc w:val="both"/>
            </w:pPr>
            <w:r>
              <w:t>32%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shd w:val="clear" w:color="auto" w:fill="auto"/>
          </w:tcPr>
          <w:p w:rsidR="00953926" w:rsidRDefault="00953926" w:rsidP="00C26453">
            <w:pPr>
              <w:jc w:val="both"/>
            </w:pPr>
            <w:r>
              <w:t>32%</w:t>
            </w:r>
          </w:p>
          <w:p w:rsidR="00953926" w:rsidRDefault="00953926" w:rsidP="00C26453">
            <w:pPr>
              <w:jc w:val="both"/>
            </w:pPr>
            <w:r>
              <w:t>47%</w:t>
            </w:r>
          </w:p>
          <w:p w:rsidR="00953926" w:rsidRPr="0004153C" w:rsidRDefault="00953926" w:rsidP="00C26453">
            <w:pPr>
              <w:jc w:val="both"/>
            </w:pPr>
            <w:r>
              <w:t>21%</w:t>
            </w:r>
          </w:p>
        </w:tc>
      </w:tr>
      <w:tr w:rsidR="00953926" w:rsidRPr="0004153C" w:rsidTr="00C26453">
        <w:tc>
          <w:tcPr>
            <w:tcW w:w="2518" w:type="dxa"/>
            <w:shd w:val="clear" w:color="auto" w:fill="auto"/>
          </w:tcPr>
          <w:p w:rsidR="00953926" w:rsidRPr="0004153C" w:rsidRDefault="00953926" w:rsidP="00C26453">
            <w:pPr>
              <w:jc w:val="both"/>
            </w:pPr>
            <w:proofErr w:type="gramStart"/>
            <w:r w:rsidRPr="0004153C">
              <w:t>Художественно-эстетической</w:t>
            </w:r>
            <w:proofErr w:type="gramEnd"/>
            <w:r w:rsidRPr="0004153C">
              <w:t xml:space="preserve"> развитие</w:t>
            </w:r>
          </w:p>
        </w:tc>
        <w:tc>
          <w:tcPr>
            <w:tcW w:w="1617" w:type="dxa"/>
            <w:shd w:val="clear" w:color="auto" w:fill="auto"/>
          </w:tcPr>
          <w:p w:rsidR="00953926" w:rsidRDefault="00953926" w:rsidP="00C26453">
            <w:r w:rsidRPr="00396D3E">
              <w:t>255</w:t>
            </w:r>
          </w:p>
        </w:tc>
        <w:tc>
          <w:tcPr>
            <w:tcW w:w="1785" w:type="dxa"/>
            <w:shd w:val="clear" w:color="auto" w:fill="auto"/>
          </w:tcPr>
          <w:p w:rsidR="00953926" w:rsidRPr="0004153C" w:rsidRDefault="00953926" w:rsidP="00C26453">
            <w:pPr>
              <w:jc w:val="both"/>
            </w:pPr>
            <w:r w:rsidRPr="0004153C">
              <w:t>высокий средний</w:t>
            </w:r>
          </w:p>
          <w:p w:rsidR="00953926" w:rsidRPr="0004153C" w:rsidRDefault="00953926" w:rsidP="00C26453">
            <w:pPr>
              <w:jc w:val="both"/>
            </w:pPr>
            <w:r w:rsidRPr="0004153C">
              <w:t>низкий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auto"/>
          </w:tcPr>
          <w:p w:rsidR="00953926" w:rsidRDefault="00953926" w:rsidP="00C26453">
            <w:pPr>
              <w:jc w:val="both"/>
            </w:pPr>
            <w:r>
              <w:t>16%</w:t>
            </w:r>
          </w:p>
          <w:p w:rsidR="00953926" w:rsidRDefault="00953926" w:rsidP="00C26453">
            <w:pPr>
              <w:jc w:val="both"/>
            </w:pPr>
            <w:r>
              <w:t>21%</w:t>
            </w:r>
          </w:p>
          <w:p w:rsidR="00953926" w:rsidRPr="0004153C" w:rsidRDefault="00953926" w:rsidP="00C26453">
            <w:pPr>
              <w:jc w:val="both"/>
            </w:pPr>
            <w:r>
              <w:t>63%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shd w:val="clear" w:color="auto" w:fill="auto"/>
          </w:tcPr>
          <w:p w:rsidR="00953926" w:rsidRDefault="00953926" w:rsidP="00C26453">
            <w:pPr>
              <w:jc w:val="both"/>
            </w:pPr>
            <w:r>
              <w:t>26%</w:t>
            </w:r>
          </w:p>
          <w:p w:rsidR="00953926" w:rsidRDefault="00953926" w:rsidP="00C26453">
            <w:pPr>
              <w:jc w:val="both"/>
            </w:pPr>
            <w:r>
              <w:t>53%</w:t>
            </w:r>
          </w:p>
          <w:p w:rsidR="00953926" w:rsidRPr="0004153C" w:rsidRDefault="00953926" w:rsidP="00C26453">
            <w:pPr>
              <w:jc w:val="both"/>
            </w:pPr>
            <w:r>
              <w:t>21%</w:t>
            </w:r>
          </w:p>
        </w:tc>
      </w:tr>
      <w:tr w:rsidR="00953926" w:rsidRPr="0004153C" w:rsidTr="00C26453">
        <w:tc>
          <w:tcPr>
            <w:tcW w:w="2518" w:type="dxa"/>
            <w:shd w:val="clear" w:color="auto" w:fill="auto"/>
          </w:tcPr>
          <w:p w:rsidR="00953926" w:rsidRPr="0004153C" w:rsidRDefault="00953926" w:rsidP="00C26453">
            <w:pPr>
              <w:jc w:val="both"/>
            </w:pPr>
            <w:r w:rsidRPr="0004153C">
              <w:t>Физическое развитие</w:t>
            </w:r>
          </w:p>
        </w:tc>
        <w:tc>
          <w:tcPr>
            <w:tcW w:w="1617" w:type="dxa"/>
            <w:shd w:val="clear" w:color="auto" w:fill="auto"/>
          </w:tcPr>
          <w:p w:rsidR="00953926" w:rsidRDefault="00953926" w:rsidP="00C26453">
            <w:r w:rsidRPr="00396D3E">
              <w:t>255</w:t>
            </w:r>
          </w:p>
        </w:tc>
        <w:tc>
          <w:tcPr>
            <w:tcW w:w="1785" w:type="dxa"/>
            <w:shd w:val="clear" w:color="auto" w:fill="auto"/>
          </w:tcPr>
          <w:p w:rsidR="00953926" w:rsidRPr="0004153C" w:rsidRDefault="00953926" w:rsidP="00C26453">
            <w:pPr>
              <w:jc w:val="both"/>
            </w:pPr>
            <w:r w:rsidRPr="0004153C">
              <w:t>высокий средний</w:t>
            </w:r>
          </w:p>
          <w:p w:rsidR="00953926" w:rsidRPr="0004153C" w:rsidRDefault="00953926" w:rsidP="00C26453">
            <w:pPr>
              <w:jc w:val="both"/>
            </w:pPr>
            <w:r w:rsidRPr="0004153C">
              <w:t>низкий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auto"/>
          </w:tcPr>
          <w:p w:rsidR="00953926" w:rsidRDefault="00953926" w:rsidP="00C26453">
            <w:pPr>
              <w:jc w:val="both"/>
            </w:pPr>
            <w:r>
              <w:t>18%</w:t>
            </w:r>
          </w:p>
          <w:p w:rsidR="00953926" w:rsidRDefault="00953926" w:rsidP="00C26453">
            <w:pPr>
              <w:jc w:val="both"/>
            </w:pPr>
            <w:r>
              <w:t>38%</w:t>
            </w:r>
          </w:p>
          <w:p w:rsidR="00953926" w:rsidRPr="0004153C" w:rsidRDefault="00953926" w:rsidP="00C26453">
            <w:pPr>
              <w:jc w:val="both"/>
            </w:pPr>
            <w:r>
              <w:t>44%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shd w:val="clear" w:color="auto" w:fill="auto"/>
          </w:tcPr>
          <w:p w:rsidR="00953926" w:rsidRDefault="00953926" w:rsidP="00C26453">
            <w:pPr>
              <w:jc w:val="both"/>
            </w:pPr>
            <w:r>
              <w:t>38%</w:t>
            </w:r>
          </w:p>
          <w:p w:rsidR="00953926" w:rsidRDefault="00953926" w:rsidP="00C26453">
            <w:pPr>
              <w:jc w:val="both"/>
            </w:pPr>
            <w:r>
              <w:t>53%</w:t>
            </w:r>
          </w:p>
          <w:p w:rsidR="00953926" w:rsidRPr="0004153C" w:rsidRDefault="00953926" w:rsidP="00C26453">
            <w:pPr>
              <w:jc w:val="both"/>
            </w:pPr>
            <w:r>
              <w:t>9%</w:t>
            </w:r>
          </w:p>
        </w:tc>
      </w:tr>
    </w:tbl>
    <w:p w:rsidR="00953926" w:rsidRPr="0004153C" w:rsidRDefault="00953926" w:rsidP="00953926">
      <w:pPr>
        <w:jc w:val="both"/>
      </w:pPr>
    </w:p>
    <w:p w:rsidR="00953926" w:rsidRDefault="00953926" w:rsidP="00953926">
      <w:pPr>
        <w:jc w:val="both"/>
      </w:pPr>
      <w:r>
        <w:tab/>
      </w:r>
      <w:r>
        <w:t>Динамика и контроль решения программных образовательных задач отражается в результатах мониторингов усвоения образовательных программ ДОО.</w:t>
      </w:r>
    </w:p>
    <w:p w:rsidR="00953926" w:rsidRDefault="00953926" w:rsidP="00953926">
      <w:pPr>
        <w:jc w:val="both"/>
      </w:pPr>
      <w:r>
        <w:tab/>
        <w:t xml:space="preserve">Мониторинг проводился для выявления промежуточных результатов освоения Основной образовательной программы и оценки динамики достижений воспитанников. Педагоги всех ДОО фиксируют результаты мониторинга в диагностических картах. </w:t>
      </w:r>
    </w:p>
    <w:p w:rsidR="00953926" w:rsidRDefault="00953926" w:rsidP="00953926">
      <w:pPr>
        <w:jc w:val="both"/>
      </w:pPr>
      <w:r>
        <w:t>Дата проведения: с</w:t>
      </w:r>
      <w:r>
        <w:tab/>
        <w:t>01.09– 15.09.2019 г. – первый этап, с 10.05 – 25.05.1020 г. – второй этап (итоговый).</w:t>
      </w:r>
    </w:p>
    <w:p w:rsidR="00953926" w:rsidRDefault="00953926" w:rsidP="00953926">
      <w:pPr>
        <w:jc w:val="both"/>
      </w:pPr>
      <w:r>
        <w:tab/>
        <w:t xml:space="preserve">В связи с тем, что на конец учебного года ДОО  функционировали в условиях  неблагополучной эпидемиологической ситуации в режиме дежурных групп, диагностика была проведена только с присутствующими детьми. Объективно отнести результаты мониторинга к результатам освоения образовательной программы всех детей не представляло возможности </w:t>
      </w:r>
      <w:proofErr w:type="spellStart"/>
      <w:proofErr w:type="gramStart"/>
      <w:r>
        <w:t>возможности</w:t>
      </w:r>
      <w:proofErr w:type="spellEnd"/>
      <w:proofErr w:type="gramEnd"/>
      <w:r>
        <w:t>.</w:t>
      </w:r>
    </w:p>
    <w:p w:rsidR="00953926" w:rsidRDefault="00953926" w:rsidP="00953926">
      <w:pPr>
        <w:jc w:val="both"/>
      </w:pPr>
      <w:r>
        <w:tab/>
        <w:t>На основании проведенного мониторинга,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953926" w:rsidRDefault="00953926" w:rsidP="00953926">
      <w:pPr>
        <w:jc w:val="both"/>
      </w:pPr>
      <w:r>
        <w:tab/>
        <w:t>Исходя из показателей результативности освоения программного материала по всем направлениям деятельности, можно сказать о том, что коллективы ДОО хорошо справились со всеми поставленными задачами по реализации ООП.   Этому способствовало: правильно построенный образовательный процесс, создана предметно-развивающая среда, профессионализм педагогов, индивидуальный дифференцированный подход к детям, использование в работе разного дидактического материала, качественное проведение занятий с детьми, партнерские отношения с семьей.</w:t>
      </w:r>
    </w:p>
    <w:p w:rsidR="00953926" w:rsidRDefault="00953926" w:rsidP="00953926">
      <w:pPr>
        <w:jc w:val="both"/>
      </w:pPr>
      <w:r>
        <w:tab/>
        <w:t xml:space="preserve">Однако следует отметить незначительное количество детей с низким уровнем. Наиболее типичные причины недостаточной эффективности уровня усвоения программного материала следующие: вновь прибывшие дети; часто болеющие; задержка речевого развития; принадлежность к другой национальности; особенность контингента воспитанников. </w:t>
      </w:r>
    </w:p>
    <w:p w:rsidR="00953926" w:rsidRDefault="00953926" w:rsidP="00953926">
      <w:pPr>
        <w:jc w:val="both"/>
      </w:pPr>
      <w:r>
        <w:tab/>
        <w:t>Педагогам были даны рекомендации: разработать планы индивидуальных маршрутов для детей показавшим низкий уровень усвоения программного материала, уделить больше внимания созданию речевой среды в группах, а также продолжать работу по формированию двигательной активности, здорового образа жизни воспитанников</w:t>
      </w:r>
    </w:p>
    <w:p w:rsidR="00F72983" w:rsidRDefault="00F72983"/>
    <w:sectPr w:rsidR="00F72983" w:rsidSect="0095392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26"/>
    <w:rsid w:val="00953926"/>
    <w:rsid w:val="00F7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2021-10-22T02:57:00Z</dcterms:created>
  <dcterms:modified xsi:type="dcterms:W3CDTF">2021-10-22T02:58:00Z</dcterms:modified>
</cp:coreProperties>
</file>