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headerReference w:type="even" r:id="rId5"/>
          <w:headerReference w:type="default" r:id="rId6"/>
          <w:footerReference w:type="even" r:id="rId7"/>
          <w:footnotePr>
            <w:pos w:val="pageBottom"/>
            <w:numFmt w:val="decimal"/>
            <w:numRestart w:val="continuous"/>
          </w:footnotePr>
          <w:pgSz w:w="11900" w:h="16840"/>
          <w:pgMar w:top="1844" w:left="0" w:right="0" w:bottom="2141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5603875</wp:posOffset>
            </wp:positionH>
            <wp:positionV relativeFrom="paragraph">
              <wp:posOffset>12700</wp:posOffset>
            </wp:positionV>
            <wp:extent cx="969010" cy="216535"/>
            <wp:wrapSquare wrapText="left"/>
            <wp:docPr id="7" name="Shape 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969010" cy="2165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№ 2-ЖКК/58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3" type="#_x0000_t202" style="position:absolute;margin-left:361.80000000000001pt;margin-top:1.pt;width:76.299999999999997pt;height:17.050000000000001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№ 2-ЖКК/58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«03» декабря 2015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тарифов на питьевую воду (питьевое</w:t>
        <w:br/>
        <w:t>водоснабжение), водоотведение для потребителей МУП «Стекольный</w:t>
        <w:br/>
        <w:t>комэнерго» на 2016-2018 годы, утверждении производственных</w:t>
        <w:br/>
        <w:t>программ МУП «Стекольный комэнерго» в сфере холодного</w:t>
        <w:br/>
        <w:t>водоснабжения, в сфере отведения и очистки сточных вод</w:t>
        <w:br/>
        <w:t>на 2016-2018 годы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07 декабря 2011 г. № 416- 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а также учитывая итоги рассмотрения данного вопроса Правлением департамента цен и тарифов Магаданской области (протокол от 03 декабря 2015 г. № 24),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78" w:val="left"/>
        </w:tabs>
        <w:bidi w:val="0"/>
        <w:spacing w:before="0" w:after="38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тарифы на питьевую воду (питьевое водоснабжение), водоотведение для потребителей МУП «Стекольный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комэнерго» с календарной разбивкой, согласно приложению № 1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1" w:val="left"/>
        </w:tabs>
        <w:bidi w:val="0"/>
        <w:spacing w:before="0" w:after="0" w:line="372" w:lineRule="auto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Тарифы, установленные в пункте 1 настоящего приказа, действуют с 01 января 2016 г. по 31 декабря 2018 г.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1" w:val="left"/>
        </w:tabs>
        <w:bidi w:val="0"/>
        <w:spacing w:before="0" w:after="0" w:line="372" w:lineRule="auto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долгосрочные параметры регулирования тарифов в сфере холодного водоснабжения, водоотведения для МУП «Стекольный комэнерго» на 2016-2018 годы, с применением метода индексации, согласно приложению № 2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1" w:val="left"/>
        </w:tabs>
        <w:bidi w:val="0"/>
        <w:spacing w:before="0" w:after="0" w:line="372" w:lineRule="auto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производственные программы МУП «Стекольный комэнерго» в сфере холодного водоснабжения на 2016-2018 годы, согласно приложениям № 3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1" w:val="left"/>
        </w:tabs>
        <w:bidi w:val="0"/>
        <w:spacing w:before="0" w:after="0" w:line="372" w:lineRule="auto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производственные программы МУП «Стекольный комэнерго» в сфере отведения и очистки сточных вод на 2016-2018 годы, согласно приложениям № 4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1" w:val="left"/>
        </w:tabs>
        <w:bidi w:val="0"/>
        <w:spacing w:before="0" w:after="1380" w:line="372" w:lineRule="auto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12700</wp:posOffset>
            </wp:positionV>
            <wp:extent cx="1027430" cy="225425"/>
            <wp:wrapSquare wrapText="bothSides"/>
            <wp:docPr id="9" name="Shape 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7430" cy="22542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5" type="#_x0000_t202" style="position:absolute;margin-left:1.45pt;margin-top:1.pt;width:80.900000000000006pt;height:17.75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приказу департамента цен и тарифов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Магаданской области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03 декабря 2015 г. № 2-ЖКК/58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260" w:right="14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 на питьевую воду (питьевое водоснабжение), водоотведение для потребителей МУП «Стекольный комэнерго» на 2016-2018 годы</w:t>
      </w:r>
    </w:p>
    <w:tbl>
      <w:tblPr>
        <w:tblOverlap w:val="never"/>
        <w:jc w:val="center"/>
        <w:tblLayout w:type="fixed"/>
      </w:tblPr>
      <w:tblGrid>
        <w:gridCol w:w="523"/>
        <w:gridCol w:w="1862"/>
        <w:gridCol w:w="1675"/>
        <w:gridCol w:w="1483"/>
        <w:gridCol w:w="1675"/>
        <w:gridCol w:w="1502"/>
      </w:tblGrid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показателя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Тарифы в сфере питьевого водоснабжения, водоотведения, руб. за 1 куб.м</w:t>
            </w:r>
          </w:p>
        </w:tc>
      </w:tr>
      <w:tr>
        <w:trPr>
          <w:trHeight w:val="10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категория «потребители»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т.ч.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категория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«население» (с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категория «потребители» (без НДС)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т.ч.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категория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«население» (с НДС)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51,93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61,28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65,41</w:t>
            </w:r>
          </w:p>
        </w:tc>
      </w:tr>
      <w:tr>
        <w:trPr>
          <w:trHeight w:val="58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Питьевая вода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(питьевое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55,43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65,41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58,69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69,25</w:t>
            </w:r>
          </w:p>
        </w:tc>
      </w:tr>
      <w:tr>
        <w:trPr>
          <w:trHeight w:val="44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водоснабжение)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80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74,00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78,39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81,85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96,58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Водоотведение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81,85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96,58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101,79</w:t>
            </w:r>
          </w:p>
        </w:tc>
      </w:tr>
      <w:tr>
        <w:trPr>
          <w:trHeight w:val="8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</w:tr>
      <w:tr>
        <w:trPr>
          <w:trHeight w:val="55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86,26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101,79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90,64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106,96</w:t>
            </w:r>
          </w:p>
        </w:tc>
      </w:tr>
    </w:tbl>
    <w:p>
      <w:pPr>
        <w:widowControl w:val="0"/>
        <w:spacing w:line="14" w:lineRule="exact"/>
      </w:pPr>
    </w:p>
    <w:sectPr>
      <w:type w:val="continuous"/>
      <w:pgSz w:w="11900" w:h="16840"/>
      <w:pgMar w:top="1844" w:left="1589" w:right="1518" w:bottom="214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4" behindDoc="1" locked="0" layoutInCell="1" allowOverlap="1">
          <wp:simplePos x="0" y="0"/>
          <wp:positionH relativeFrom="page">
            <wp:posOffset>6507480</wp:posOffset>
          </wp:positionH>
          <wp:positionV relativeFrom="page">
            <wp:posOffset>9931400</wp:posOffset>
          </wp:positionV>
          <wp:extent cx="52070" cy="82550"/>
          <wp:wrapNone/>
          <wp:docPr id="5" name="Shape 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2070" cy="8255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1" type="#_x0000_t202" style="position:absolute;margin-left:512.39999999999998pt;margin-top:782.pt;width:4.0999999999999996pt;height:6.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ru-RU"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3767455</wp:posOffset>
          </wp:positionH>
          <wp:positionV relativeFrom="page">
            <wp:posOffset>360680</wp:posOffset>
          </wp:positionV>
          <wp:extent cx="52070" cy="85090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2070" cy="8509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64999999999998pt;margin-top:28.399999999999999pt;width:4.0999999999999996pt;height:6.7000000000000002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  <w:spacing w:val="0"/>
                    <w:w w:val="100"/>
                    <w:position w:val="0"/>
                    <w:sz w:val="18"/>
                    <w:szCs w:val="18"/>
                    <w:shd w:val="clear" w:color="auto" w:fill="auto"/>
                    <w:lang w:val="ru-RU" w:eastAsia="ru-RU" w:bidi="ru-RU"/>
                  </w:rPr>
                  <w:t>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3813175</wp:posOffset>
          </wp:positionH>
          <wp:positionV relativeFrom="page">
            <wp:posOffset>360680</wp:posOffset>
          </wp:positionV>
          <wp:extent cx="45720" cy="85090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45720" cy="8509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3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29" type="#_x0000_t202" style="position:absolute;margin-left:300.25pt;margin-top:28.399999999999999pt;width:3.6000000000000001pt;height:6.700000000000000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2"/>
                    <w:szCs w:val="22"/>
                    <w:shd w:val="clear" w:color="auto" w:fill="auto"/>
                    <w:lang w:val="ru-RU" w:eastAsia="ru-RU" w:bidi="ru-RU"/>
                  </w:rPr>
                  <w:t>3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after="110"/>
      <w:ind w:left="49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