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0" w:firstLine="0"/>
      </w:pPr>
      <w:r>
        <w:rPr>
          <w:lang w:val="ru-RU"/>
          <w:w w:val="100"/>
          <w:color w:val="000000"/>
          <w:position w:val="0"/>
        </w:rPr>
        <w:t>Нельзя жилье переписать! Продать его иль завещать?</w:t>
      </w:r>
    </w:p>
    <w:p>
      <w:pPr>
        <w:pStyle w:val="Style3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Как переписать квартиру? Такой вопрос в Дни консультаций часто задают сотрудникам Управления Росреестра жители Читы и края. «Переписать квартиру, дом, или другой объект недвижимости невозможно. Такого понятия в законодательстве не существует. Говорит заместитель начальника отдела государственной регистрации недвижимости забайкальского Управления Росрееестра Ксения Белоусова, - Имущество можно подарить, передать по завещанию, продать, но только не переписать».</w:t>
      </w:r>
    </w:p>
    <w:p>
      <w:pPr>
        <w:pStyle w:val="Style5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Передача любой недвижимости осуществляется через сделку, права, приобретаемые в результате которой подлежат обязательной государственной регистрации. Гарантии госрегистрации, нужны, прежде всего, собственнику. С ними владелец недвижимости может свободно ею распоряжаться. Однако вопрос, каким видом сделки воспользоваться при передаче права собственности на недвижимость другому человеку, порой становится неразрешимой задачей.</w:t>
      </w:r>
    </w:p>
    <w:p>
      <w:pPr>
        <w:pStyle w:val="Style3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Продать родному сыну</w:t>
      </w:r>
    </w:p>
    <w:p>
      <w:pPr>
        <w:pStyle w:val="Style5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Наиболее распространенный вид сделки сегодня - договор купли- продажи. По такому договору продавец обязуется передать в собственность покупателя имущество, а покупатель обязуется принять его, уплатив за это определенную денежную сумму. При оформлении такой сделки покупателю полагается налоговый вычет, благодаря которому в течение трех лет он сможет вернуть в свой бюджет 13% от уплаченной суммы. Однако надо помнить, что при покупке недвижимости на собственника ложится бремя налогообложения.</w:t>
      </w:r>
    </w:p>
    <w:p>
      <w:pPr>
        <w:pStyle w:val="Style5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Купля-продажа не подходит тем, кто намеревается стать единоличным собственником недвижимости, но является семьянином, потому что если покупатель состоит в браке, то та же квартира станет совместной собственностью супругов. К примеру, если мать хочет передать квартиру женатому сыну, но боится, что, в случае развода, он получит лишь ее половину, то лучше недвижимость подарить.</w:t>
      </w:r>
    </w:p>
    <w:p>
      <w:pPr>
        <w:pStyle w:val="Style3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В подарок - квартиру</w:t>
      </w:r>
    </w:p>
    <w:p>
      <w:pPr>
        <w:pStyle w:val="Style5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Для того чтобы совершить сделку дарения, необходимо заключить договор, следуя которому собственник безвозмездно передает или обязуется передать имущество. По Гражданскому кодексу РФ, оформление договора через нотариуса - обязательно только в одном случае, когда недвижимость делится по долям, например, на нескольких членов семьи. Кстати, дарение - это безвозмездная сделка, поэтому недвижимость, переходящая из рук в руки в таком порядке не облагается налогом. И все же слишком хорошо - тоже плохо. Вот и сделка «дарение» хороша не для всех.</w:t>
      </w:r>
    </w:p>
    <w:p>
      <w:pPr>
        <w:pStyle w:val="Style7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rStyle w:val="CharStyle9"/>
          <w:i/>
          <w:iCs/>
        </w:rPr>
        <w:t>От исполнения договора можно отказаться!</w:t>
      </w:r>
    </w:p>
    <w:p>
      <w:pPr>
        <w:pStyle w:val="Style7"/>
        <w:framePr w:w="9418" w:h="14658" w:hRule="exact" w:wrap="none" w:vAnchor="page" w:hAnchor="page" w:x="1258" w:y="134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9"/>
          <w:i/>
          <w:iCs/>
        </w:rPr>
        <w:t>Если имущественное или семейное положение либо состояние здоровья собственника изменилось так, что дарение приведет к существенному снижению его уровня жизни, он может отменить договор. Кроме того, в соответствии со ст.578 ГК РФ, даритель вправе отменить дарение, если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/>
          <w:w w:val="100"/>
          <w:spacing w:val="0"/>
          <w:color w:val="000000"/>
          <w:position w:val="0"/>
        </w:rPr>
        <w:t>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«Решили с дедом квартиру внучке подарить. Надо поскорее документы оформить. Мы ведь не вечны, мало ли что может случиться», - говорит пенсионерка Анна Иннокентьевна.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Подписать договор дарения достаточно просто. Но дедам ради этой сделки придется не легко. Для регистрации договора и перехода права собственности необходимо подготовить пакет документов, получив их в разных организациях. Может быть, поэтому, многие юристы утверждают, что пожилым людям не стоит передавать недвижимость внукам или детям путем дарения, лучше и гораздо проще ее завещать.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rStyle w:val="CharStyle10"/>
        </w:rPr>
        <w:t xml:space="preserve">Наследство с одним недостатком </w:t>
      </w:r>
      <w:r>
        <w:rPr>
          <w:lang w:val="ru-RU"/>
          <w:w w:val="100"/>
          <w:color w:val="000000"/>
          <w:position w:val="0"/>
        </w:rPr>
        <w:t>Завещание - довольно простая форма передачи недвижимости. Оно позволяет передать имущество конкретному человеку без оформления лишних документов. Это - односторонняя сделка, которая создает права и обязанности после открытия наследства. К примеру, дочь ухаживает за больной матерью, а сын не принимает участия в ее судьбе. Мать хочет, чтобы квартира после ее смерти перешла к дочке и пишет завещание.</w:t>
      </w:r>
    </w:p>
    <w:p>
      <w:pPr>
        <w:pStyle w:val="Style7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spacing w:val="0"/>
          <w:color w:val="000000"/>
          <w:position w:val="0"/>
        </w:rPr>
        <w:t>Не могут быть наследниками граждане, которые своими умышленными противоправными действиями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(если эти обстоятельства подтверждены в судебном порядке).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/>
      </w:pPr>
      <w:r>
        <w:rPr>
          <w:lang w:val="ru-RU"/>
          <w:w w:val="100"/>
          <w:color w:val="000000"/>
          <w:position w:val="0"/>
        </w:rPr>
        <w:t>Гражданский кодекс гласит, что завещание может быть совершено гражданином, обладающим в момент его совершения дееспособностью в полном объеме.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Если оно не написано, недвижимость делится между всеми близкими родственниками в порядке установленной законодательно очередности. «Завещание позволяет пожилым людям не томиться в очередях и не собирать бумаги, необходимые для регистрации недвижимости. Им достаточно заверить его у нотариуса, и недвижимость перейдет к наследнику с момента его вступления в наследство. Он-то и будет подавать документы на государственную регистрацию права собственности», - рассказывает Ксения Белоусова.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У всех видов сделок есть как плюсы, так и минусы. Наследство, при всей своей простоте и доступности не лишено недостатка. Наследник должен быть готов к тому, что кто-то из родственников или близких друзей может оспорить его права. Правда, в случае с завещанием, возможно это только в том случае, если суд признает его недействительным.</w:t>
      </w:r>
    </w:p>
    <w:p>
      <w:pPr>
        <w:pStyle w:val="Style5"/>
        <w:framePr w:w="9442" w:h="14681" w:hRule="exact" w:wrap="none" w:vAnchor="page" w:hAnchor="page" w:x="1213" w:y="1272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Если выбор' сделан, и подходящий вид отчуждения недвижимости определен, дорога участников договоров или наследников прямиком ведет в МФЦ или Кадастровую палату, где будут приняты документы на регистрацию сделки или права собственности на недвижимость. Кстати, по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20" w:h="2632" w:hRule="exact" w:wrap="none" w:vAnchor="page" w:hAnchor="page" w:x="1107" w:y="902"/>
        <w:widowControl w:val="0"/>
        <w:keepNext w:val="0"/>
        <w:keepLines w:val="0"/>
        <w:shd w:val="clear" w:color="auto" w:fill="auto"/>
        <w:bidi w:val="0"/>
        <w:spacing w:before="0" w:after="0"/>
        <w:ind w:left="20" w:right="320" w:firstLine="0"/>
      </w:pPr>
      <w:r>
        <w:rPr>
          <w:rStyle w:val="CharStyle11"/>
        </w:rPr>
        <w:t>основному закону, регламентирующему порядок регистрации недвижимости, подать документы можно одновременно и на регистрацию прав и на кадастровый учет объекта недвижимости, если он не проходил ранее, учетную процедуру. После приема, без участия заявителей документы, будут переданы в Управление Росреестра, где проводится их правовая экспертиза и определяется законность сделок. По завершению этих юридических процедур владельцы смогут распоряжаться полученной недвижимостью по собственному усмотрению.</w:t>
      </w:r>
    </w:p>
    <w:p>
      <w:pPr>
        <w:pStyle w:val="Style5"/>
        <w:framePr w:wrap="none" w:vAnchor="page" w:hAnchor="page" w:x="1107" w:y="3740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rStyle w:val="CharStyle11"/>
        </w:rPr>
        <w:t>Анастасия Ломовских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2) + Интервал 0 pt"/>
    <w:basedOn w:val="CharStyle8"/>
    <w:rPr>
      <w:lang w:val="ru-RU"/>
      <w:w w:val="100"/>
      <w:spacing w:val="-1"/>
      <w:color w:val="000000"/>
      <w:position w:val="0"/>
    </w:rPr>
  </w:style>
  <w:style w:type="character" w:customStyle="1" w:styleId="CharStyle10">
    <w:name w:val="Основной текст + Полужирный"/>
    <w:basedOn w:val="CharStyle6"/>
    <w:rPr>
      <w:lang w:val="ru-RU"/>
      <w:b/>
      <w:bCs/>
      <w:w w:val="100"/>
      <w:color w:val="000000"/>
      <w:position w:val="0"/>
    </w:rPr>
  </w:style>
  <w:style w:type="character" w:customStyle="1" w:styleId="CharStyle11">
    <w:name w:val="Основной текст + Интервал 0 pt"/>
    <w:basedOn w:val="CharStyle6"/>
    <w:rPr>
      <w:lang w:val="ru-RU"/>
      <w:w w:val="100"/>
      <w:spacing w:val="3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line="322" w:lineRule="exact"/>
      <w:ind w:firstLine="52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322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