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BAA" w:rsidRPr="00AD4BAA" w:rsidRDefault="00AD4BAA" w:rsidP="00AD4BAA">
      <w:pPr>
        <w:jc w:val="center"/>
        <w:rPr>
          <w:b/>
          <w:sz w:val="32"/>
          <w:szCs w:val="25"/>
        </w:rPr>
      </w:pPr>
      <w:bookmarkStart w:id="0" w:name="_GoBack"/>
      <w:r w:rsidRPr="00AD4BAA">
        <w:rPr>
          <w:b/>
          <w:sz w:val="32"/>
          <w:szCs w:val="25"/>
        </w:rPr>
        <w:t>Организации и индивидуальные предприниматели</w:t>
      </w:r>
    </w:p>
    <w:bookmarkEnd w:id="0"/>
    <w:p w:rsidR="00AD4BAA" w:rsidRPr="00AD4BAA" w:rsidRDefault="00AD4BAA" w:rsidP="00AD4BAA">
      <w:pPr>
        <w:jc w:val="center"/>
        <w:rPr>
          <w:b/>
          <w:sz w:val="22"/>
          <w:szCs w:val="22"/>
        </w:rPr>
      </w:pPr>
    </w:p>
    <w:p w:rsidR="00AD4BAA" w:rsidRPr="00AD4BAA" w:rsidRDefault="00AD4BAA" w:rsidP="00AD4BAA">
      <w:pPr>
        <w:ind w:firstLine="567"/>
        <w:jc w:val="both"/>
        <w:rPr>
          <w:sz w:val="25"/>
          <w:szCs w:val="25"/>
        </w:rPr>
      </w:pPr>
      <w:r w:rsidRPr="00AD4BAA">
        <w:rPr>
          <w:rFonts w:eastAsia="Calibri"/>
          <w:color w:val="000000"/>
          <w:sz w:val="25"/>
          <w:szCs w:val="25"/>
          <w:lang w:eastAsia="en-US"/>
        </w:rPr>
        <w:t xml:space="preserve">По данным </w:t>
      </w:r>
      <w:proofErr w:type="spellStart"/>
      <w:r w:rsidRPr="00AD4BAA">
        <w:rPr>
          <w:rFonts w:eastAsia="Calibri"/>
          <w:color w:val="000000"/>
          <w:sz w:val="25"/>
          <w:szCs w:val="25"/>
          <w:lang w:eastAsia="en-US"/>
        </w:rPr>
        <w:t>Пермьстата</w:t>
      </w:r>
      <w:proofErr w:type="spellEnd"/>
      <w:r w:rsidRPr="00AD4BAA">
        <w:rPr>
          <w:rFonts w:eastAsia="Calibri"/>
          <w:color w:val="000000"/>
          <w:sz w:val="25"/>
          <w:szCs w:val="25"/>
          <w:lang w:eastAsia="en-US"/>
        </w:rPr>
        <w:t xml:space="preserve"> н</w:t>
      </w:r>
      <w:r w:rsidRPr="00AD4BAA">
        <w:rPr>
          <w:sz w:val="25"/>
          <w:szCs w:val="25"/>
        </w:rPr>
        <w:t xml:space="preserve">а 01 января 2021 года в </w:t>
      </w:r>
      <w:proofErr w:type="spellStart"/>
      <w:r w:rsidRPr="00AD4BAA">
        <w:rPr>
          <w:sz w:val="25"/>
          <w:szCs w:val="25"/>
        </w:rPr>
        <w:t>Верещагинском</w:t>
      </w:r>
      <w:proofErr w:type="spellEnd"/>
      <w:r w:rsidRPr="00AD4BAA">
        <w:rPr>
          <w:sz w:val="25"/>
          <w:szCs w:val="25"/>
        </w:rPr>
        <w:t xml:space="preserve"> городском округе зарегистрировано 306 организаций различных организационно - правовых форм собственности (2019 год – 371 ед.), 851 индивидуальный предприниматель (2019 год – 946 ед.), 2 нотариуса и 6 адвокатов. </w:t>
      </w:r>
    </w:p>
    <w:p w:rsidR="00AD4BAA" w:rsidRPr="00AD4BAA" w:rsidRDefault="00AD4BAA" w:rsidP="00AD4BAA">
      <w:pPr>
        <w:ind w:firstLine="567"/>
        <w:jc w:val="both"/>
        <w:rPr>
          <w:b/>
          <w:color w:val="000000"/>
          <w:sz w:val="25"/>
          <w:szCs w:val="25"/>
          <w:lang w:eastAsia="en-US"/>
        </w:rPr>
      </w:pPr>
      <w:r w:rsidRPr="00AD4BAA">
        <w:rPr>
          <w:rFonts w:eastAsia="Calibri"/>
          <w:color w:val="000000"/>
          <w:sz w:val="25"/>
          <w:szCs w:val="25"/>
          <w:lang w:eastAsia="en-US"/>
        </w:rPr>
        <w:t xml:space="preserve">Снижение количества хозяйствующих субъектов произошло в сферах: «Торговля» (снижение на 65 ед.), «Образование» (снижение на 25 ед.), «Государственное управление» (снижение на 19 ед.), </w:t>
      </w:r>
      <w:r w:rsidRPr="00AD4BAA">
        <w:rPr>
          <w:rFonts w:eastAsia="Calibri"/>
          <w:color w:val="000000"/>
          <w:sz w:val="25"/>
          <w:szCs w:val="25"/>
          <w:shd w:val="clear" w:color="auto" w:fill="FFFFFF"/>
          <w:lang w:eastAsia="en-US"/>
        </w:rPr>
        <w:t xml:space="preserve">связано с распространением новой </w:t>
      </w:r>
      <w:proofErr w:type="spellStart"/>
      <w:r w:rsidRPr="00AD4BAA">
        <w:rPr>
          <w:rFonts w:eastAsia="Calibri"/>
          <w:color w:val="000000"/>
          <w:sz w:val="25"/>
          <w:szCs w:val="25"/>
          <w:shd w:val="clear" w:color="auto" w:fill="FFFFFF"/>
          <w:lang w:eastAsia="en-US"/>
        </w:rPr>
        <w:t>коронавирусной</w:t>
      </w:r>
      <w:proofErr w:type="spellEnd"/>
      <w:r w:rsidRPr="00AD4BAA">
        <w:rPr>
          <w:rFonts w:eastAsia="Calibri"/>
          <w:color w:val="000000"/>
          <w:sz w:val="25"/>
          <w:szCs w:val="25"/>
          <w:shd w:val="clear" w:color="auto" w:fill="FFFFFF"/>
          <w:lang w:eastAsia="en-US"/>
        </w:rPr>
        <w:t xml:space="preserve"> инфекцией и оптимизацией учреждений образований и органов местного управления.</w:t>
      </w:r>
    </w:p>
    <w:p w:rsidR="004C569B" w:rsidRPr="00AD4BAA" w:rsidRDefault="00AD4BAA" w:rsidP="00AD4BAA">
      <w:pPr>
        <w:ind w:firstLine="567"/>
        <w:jc w:val="both"/>
        <w:rPr>
          <w:color w:val="000000"/>
          <w:sz w:val="25"/>
          <w:szCs w:val="25"/>
          <w:lang w:eastAsia="en-US"/>
        </w:rPr>
      </w:pPr>
      <w:r w:rsidRPr="00AD4BAA">
        <w:rPr>
          <w:color w:val="000000"/>
          <w:sz w:val="25"/>
          <w:szCs w:val="25"/>
          <w:lang w:eastAsia="en-US"/>
        </w:rPr>
        <w:t>Наиболее популярным видом деятельности хозяйствующих субъектов является «Оптовая и розничная торговля» 33,4% (387 ед.), на втором месте - «Транспортировка и хранение» 10,7% (124 ед.), третьем месте - «Предоставление прочих видов услуг» 7,7% (89 ед.)</w:t>
      </w:r>
      <w:r w:rsidRPr="00AD4BAA">
        <w:rPr>
          <w:color w:val="000000"/>
          <w:sz w:val="25"/>
          <w:szCs w:val="25"/>
          <w:lang w:eastAsia="en-US"/>
        </w:rPr>
        <w:t>.</w:t>
      </w:r>
    </w:p>
    <w:p w:rsidR="00AD4BAA" w:rsidRDefault="00AD4BAA" w:rsidP="00AD4BAA">
      <w:pPr>
        <w:jc w:val="both"/>
      </w:pPr>
      <w:r w:rsidRPr="00AD4BAA">
        <w:drawing>
          <wp:inline distT="0" distB="0" distL="0" distR="0" wp14:anchorId="388D7A46" wp14:editId="269894BE">
            <wp:extent cx="9621672" cy="518604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AD4BAA" w:rsidSect="00AD4BAA">
      <w:pgSz w:w="16838" w:h="11906" w:orient="landscape"/>
      <w:pgMar w:top="426" w:right="568" w:bottom="28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BAA"/>
    <w:rsid w:val="004C569B"/>
    <w:rsid w:val="00AD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C33C1"/>
  <w15:chartTrackingRefBased/>
  <w15:docId w15:val="{092C1082-FF96-45F6-8C16-DCC57866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BA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B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4B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8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7131910646257172E-2"/>
          <c:y val="0.10138907115777195"/>
          <c:w val="0.52726523222587773"/>
          <c:h val="0.7964635738435389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</c:v>
                </c:pt>
              </c:strCache>
            </c:strRef>
          </c:tx>
          <c:dPt>
            <c:idx val="0"/>
            <c:bubble3D val="0"/>
            <c:spPr>
              <a:solidFill>
                <a:srgbClr val="D026B8"/>
              </a:solidFill>
            </c:spPr>
            <c:extLst>
              <c:ext xmlns:c16="http://schemas.microsoft.com/office/drawing/2014/chart" uri="{C3380CC4-5D6E-409C-BE32-E72D297353CC}">
                <c16:uniqueId val="{00000001-567C-42F0-A5B3-B8F98F17A81B}"/>
              </c:ext>
            </c:extLst>
          </c:dPt>
          <c:dPt>
            <c:idx val="1"/>
            <c:bubble3D val="0"/>
            <c:spPr>
              <a:solidFill>
                <a:srgbClr val="000000"/>
              </a:solidFill>
            </c:spPr>
            <c:extLst>
              <c:ext xmlns:c16="http://schemas.microsoft.com/office/drawing/2014/chart" uri="{C3380CC4-5D6E-409C-BE32-E72D297353CC}">
                <c16:uniqueId val="{00000003-567C-42F0-A5B3-B8F98F17A81B}"/>
              </c:ext>
            </c:extLst>
          </c:dPt>
          <c:dPt>
            <c:idx val="2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5-567C-42F0-A5B3-B8F98F17A81B}"/>
              </c:ext>
            </c:extLst>
          </c:dPt>
          <c:dPt>
            <c:idx val="3"/>
            <c:bubble3D val="0"/>
            <c:spPr>
              <a:solidFill>
                <a:srgbClr val="FFCCFF"/>
              </a:solidFill>
            </c:spPr>
            <c:extLst>
              <c:ext xmlns:c16="http://schemas.microsoft.com/office/drawing/2014/chart" uri="{C3380CC4-5D6E-409C-BE32-E72D297353CC}">
                <c16:uniqueId val="{00000007-567C-42F0-A5B3-B8F98F17A81B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9-567C-42F0-A5B3-B8F98F17A81B}"/>
              </c:ext>
            </c:extLst>
          </c:dPt>
          <c:dPt>
            <c:idx val="5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B-567C-42F0-A5B3-B8F98F17A81B}"/>
              </c:ext>
            </c:extLst>
          </c:dPt>
          <c:dPt>
            <c:idx val="6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D-567C-42F0-A5B3-B8F98F17A81B}"/>
              </c:ext>
            </c:extLst>
          </c:dPt>
          <c:dPt>
            <c:idx val="8"/>
            <c:bubble3D val="0"/>
            <c:extLst>
              <c:ext xmlns:c16="http://schemas.microsoft.com/office/drawing/2014/chart" uri="{C3380CC4-5D6E-409C-BE32-E72D297353CC}">
                <c16:uniqueId val="{0000000E-567C-42F0-A5B3-B8F98F17A81B}"/>
              </c:ext>
            </c:extLst>
          </c:dPt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F-567C-42F0-A5B3-B8F98F17A81B}"/>
              </c:ext>
            </c:extLst>
          </c:dPt>
          <c:dLbls>
            <c:dLbl>
              <c:idx val="0"/>
              <c:layout>
                <c:manualLayout>
                  <c:x val="-3.0645929198835211E-2"/>
                  <c:y val="-7.6648790199630524E-3"/>
                </c:manualLayout>
              </c:layout>
              <c:spPr/>
              <c:txPr>
                <a:bodyPr/>
                <a:lstStyle/>
                <a:p>
                  <a:pPr>
                    <a:defRPr sz="2238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67C-42F0-A5B3-B8F98F17A81B}"/>
                </c:ext>
              </c:extLst>
            </c:dLbl>
            <c:dLbl>
              <c:idx val="1"/>
              <c:layout>
                <c:manualLayout>
                  <c:x val="-2.8281041511457536E-2"/>
                  <c:y val="-2.5225680526994925E-3"/>
                </c:manualLayout>
              </c:layout>
              <c:spPr/>
              <c:txPr>
                <a:bodyPr/>
                <a:lstStyle/>
                <a:p>
                  <a:pPr>
                    <a:defRPr sz="2238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67C-42F0-A5B3-B8F98F17A81B}"/>
                </c:ext>
              </c:extLst>
            </c:dLbl>
            <c:dLbl>
              <c:idx val="2"/>
              <c:layout>
                <c:manualLayout>
                  <c:x val="-1.3886223203586881E-2"/>
                  <c:y val="5.2607960684534832E-4"/>
                </c:manualLayout>
              </c:layout>
              <c:spPr/>
              <c:txPr>
                <a:bodyPr/>
                <a:lstStyle/>
                <a:p>
                  <a:pPr>
                    <a:defRPr sz="2238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67C-42F0-A5B3-B8F98F17A81B}"/>
                </c:ext>
              </c:extLst>
            </c:dLbl>
            <c:dLbl>
              <c:idx val="3"/>
              <c:layout>
                <c:manualLayout>
                  <c:x val="-6.2902110237664562E-3"/>
                  <c:y val="-0.10863391673324772"/>
                </c:manualLayout>
              </c:layout>
              <c:spPr/>
              <c:txPr>
                <a:bodyPr/>
                <a:lstStyle/>
                <a:p>
                  <a:pPr>
                    <a:defRPr sz="2238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67C-42F0-A5B3-B8F98F17A81B}"/>
                </c:ext>
              </c:extLst>
            </c:dLbl>
            <c:dLbl>
              <c:idx val="5"/>
              <c:layout>
                <c:manualLayout>
                  <c:x val="4.7011509523684561E-3"/>
                  <c:y val="-7.0839941096511413E-2"/>
                </c:manualLayout>
              </c:layout>
              <c:spPr/>
              <c:txPr>
                <a:bodyPr/>
                <a:lstStyle/>
                <a:p>
                  <a:pPr>
                    <a:defRPr sz="2238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67C-42F0-A5B3-B8F98F17A81B}"/>
                </c:ext>
              </c:extLst>
            </c:dLbl>
            <c:dLbl>
              <c:idx val="6"/>
              <c:layout>
                <c:manualLayout>
                  <c:x val="3.862122008930686E-4"/>
                  <c:y val="-1.0643218547047285E-2"/>
                </c:manualLayout>
              </c:layout>
              <c:spPr/>
              <c:txPr>
                <a:bodyPr/>
                <a:lstStyle/>
                <a:p>
                  <a:pPr>
                    <a:defRPr sz="2238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567C-42F0-A5B3-B8F98F17A81B}"/>
                </c:ext>
              </c:extLst>
            </c:dLbl>
            <c:spPr>
              <a:noFill/>
              <a:ln w="2496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2238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Сельское хозяйство, охота и лесное хозяйство (5,9%)</c:v>
                </c:pt>
                <c:pt idx="1">
                  <c:v>Обрабатывающие производства (6,3%)</c:v>
                </c:pt>
                <c:pt idx="2">
                  <c:v>Строительство (13,2%)</c:v>
                </c:pt>
                <c:pt idx="3">
                  <c:v>Оптовая и розничная торговля; ремонт автотранспортных средств и мотоциклов (33,4%)</c:v>
                </c:pt>
                <c:pt idx="4">
                  <c:v>Транспортировка и хранение (10,7%)</c:v>
                </c:pt>
                <c:pt idx="5">
                  <c:v>Деятельность по операциям с недвижимым имуществом (4,1%)</c:v>
                </c:pt>
                <c:pt idx="6">
                  <c:v>Деятельность профессиональная, научная и техническая (5,2%)</c:v>
                </c:pt>
                <c:pt idx="7">
                  <c:v>Деятельность административная и сопутствующие дополнительные услуги (2,0%)</c:v>
                </c:pt>
                <c:pt idx="8">
                  <c:v>Деятельность в области культуры, спорта, организации досуга и развлечений (2,1%)</c:v>
                </c:pt>
                <c:pt idx="9">
                  <c:v>Прочие (17,1%)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68</c:v>
                </c:pt>
                <c:pt idx="1">
                  <c:v>73</c:v>
                </c:pt>
                <c:pt idx="2">
                  <c:v>153</c:v>
                </c:pt>
                <c:pt idx="3">
                  <c:v>387</c:v>
                </c:pt>
                <c:pt idx="4">
                  <c:v>124</c:v>
                </c:pt>
                <c:pt idx="5">
                  <c:v>47</c:v>
                </c:pt>
                <c:pt idx="6">
                  <c:v>60</c:v>
                </c:pt>
                <c:pt idx="7">
                  <c:v>23</c:v>
                </c:pt>
                <c:pt idx="8">
                  <c:v>24</c:v>
                </c:pt>
                <c:pt idx="9">
                  <c:v>198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567C-42F0-A5B3-B8F98F17A8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81">
          <a:noFill/>
        </a:ln>
      </c:spPr>
    </c:plotArea>
    <c:legend>
      <c:legendPos val="r"/>
      <c:layout>
        <c:manualLayout>
          <c:xMode val="edge"/>
          <c:yMode val="edge"/>
          <c:x val="0.64742573132393721"/>
          <c:y val="2.8044092841551255E-2"/>
          <c:w val="0.35257426867606273"/>
          <c:h val="0.94913968324865161"/>
        </c:manualLayout>
      </c:layout>
      <c:overlay val="0"/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61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2021-02-20T03:47:00Z</cp:lastPrinted>
  <dcterms:created xsi:type="dcterms:W3CDTF">2021-02-20T03:35:00Z</dcterms:created>
  <dcterms:modified xsi:type="dcterms:W3CDTF">2021-02-20T03:49:00Z</dcterms:modified>
</cp:coreProperties>
</file>