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7D" w:rsidRPr="00B64F29" w:rsidRDefault="00C3608B" w:rsidP="005C4E7D">
      <w:pPr>
        <w:pStyle w:val="p2"/>
        <w:shd w:val="clear" w:color="auto" w:fill="FFFFFF"/>
        <w:ind w:right="-1"/>
        <w:jc w:val="center"/>
        <w:rPr>
          <w:rFonts w:ascii="Tahoma" w:hAnsi="Tahoma" w:cs="Tahoma"/>
          <w:color w:val="003300"/>
        </w:rPr>
      </w:pPr>
      <w:r>
        <w:rPr>
          <w:rFonts w:ascii="Tahoma" w:hAnsi="Tahoma" w:cs="Tahoma"/>
          <w:noProof/>
          <w:color w:val="003300"/>
        </w:rPr>
      </w:r>
      <w:r w:rsidR="00D31DBB">
        <w:rPr>
          <w:rFonts w:ascii="Tahoma" w:hAnsi="Tahoma" w:cs="Tahoma"/>
          <w:noProof/>
          <w:color w:val="003300"/>
        </w:rPr>
        <w:pict>
          <v:shapetype id="_x0000_t202" coordsize="21600,21600" o:spt="202" path="m,l,21600r21600,l21600,xe">
            <v:stroke joinstyle="miter"/>
            <v:path gradientshapeok="t" o:connecttype="rect"/>
          </v:shapetype>
          <v:shape id="Text Box 4" o:spid="_x0000_s1026" type="#_x0000_t202" style="width:128.9pt;height:53.35pt;visibility:visible;mso-position-horizontal-relative:char;mso-position-vertical-relative:line" filled="f" stroked="f">
            <v:stroke joinstyle="round"/>
            <v:textbox style="mso-fit-shape-to-text:t" inset="2.5mm,1.3mm,2.5mm,1.3mm">
              <w:txbxContent>
                <w:p w:rsidR="004C3CB1" w:rsidRDefault="004C3CB1" w:rsidP="004C3CB1">
                  <w:pPr>
                    <w:pStyle w:val="a8"/>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jc w:val="center"/>
                    <w:textAlignment w:val="baseline"/>
                  </w:pPr>
                  <w:r>
                    <w:rPr>
                      <w:rFonts w:ascii="Arial" w:hAnsi="Arial" w:cs="Arial"/>
                      <w:color w:val="000000"/>
                      <w:kern w:val="24"/>
                    </w:rPr>
                    <w:t>МИНИСТЕРСТВО ПРОМЫШЛЕННОСТИ, ПРЕДПРИНИМАТЕЛЬСТВА</w:t>
                  </w:r>
                </w:p>
                <w:p w:rsidR="004C3CB1" w:rsidRDefault="004C3CB1" w:rsidP="004C3CB1">
                  <w:pPr>
                    <w:pStyle w:val="a8"/>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jc w:val="center"/>
                    <w:textAlignment w:val="baseline"/>
                  </w:pPr>
                  <w:r>
                    <w:rPr>
                      <w:rFonts w:ascii="Arial" w:hAnsi="Arial" w:cs="Arial"/>
                      <w:color w:val="000000"/>
                      <w:kern w:val="24"/>
                    </w:rPr>
                    <w:t>И ТОРГОВЛИ</w:t>
                  </w:r>
                </w:p>
                <w:p w:rsidR="004C3CB1" w:rsidRDefault="004C3CB1" w:rsidP="004C3CB1">
                  <w:pPr>
                    <w:pStyle w:val="a8"/>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jc w:val="center"/>
                    <w:textAlignment w:val="baseline"/>
                  </w:pPr>
                  <w:r>
                    <w:rPr>
                      <w:rFonts w:ascii="Arial" w:hAnsi="Arial" w:cs="Arial"/>
                      <w:color w:val="000000"/>
                      <w:kern w:val="24"/>
                    </w:rPr>
                    <w:t>ПЕРМСКОГО КРАЯ</w:t>
                  </w:r>
                </w:p>
              </w:txbxContent>
            </v:textbox>
            <w10:wrap type="none"/>
            <w10:anchorlock/>
          </v:shape>
        </w:pict>
      </w:r>
      <w:r w:rsidR="005C4E7D" w:rsidRPr="00B64F29">
        <w:rPr>
          <w:rFonts w:ascii="Tahoma" w:hAnsi="Tahoma" w:cs="Tahoma"/>
          <w:noProof/>
          <w:color w:val="003300"/>
        </w:rPr>
        <w:drawing>
          <wp:inline distT="0" distB="0" distL="0" distR="0">
            <wp:extent cx="2517140" cy="55308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l="15314" t="6798" r="57973" b="83223"/>
                    <a:stretch>
                      <a:fillRect/>
                    </a:stretch>
                  </pic:blipFill>
                  <pic:spPr bwMode="auto">
                    <a:xfrm>
                      <a:off x="0" y="0"/>
                      <a:ext cx="2517140" cy="553085"/>
                    </a:xfrm>
                    <a:prstGeom prst="rect">
                      <a:avLst/>
                    </a:prstGeom>
                    <a:noFill/>
                    <a:ln w="9525">
                      <a:noFill/>
                      <a:miter lim="800000"/>
                      <a:headEnd/>
                      <a:tailEnd/>
                    </a:ln>
                  </pic:spPr>
                </pic:pic>
              </a:graphicData>
            </a:graphic>
          </wp:inline>
        </w:drawing>
      </w:r>
      <w:r w:rsidR="005C4E7D" w:rsidRPr="00B64F29">
        <w:rPr>
          <w:rFonts w:ascii="Tahoma" w:hAnsi="Tahoma" w:cs="Tahoma"/>
          <w:noProof/>
          <w:color w:val="003300"/>
        </w:rPr>
        <w:drawing>
          <wp:inline distT="0" distB="0" distL="0" distR="0">
            <wp:extent cx="2449830" cy="50800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2449830" cy="508000"/>
                    </a:xfrm>
                    <a:prstGeom prst="rect">
                      <a:avLst/>
                    </a:prstGeom>
                    <a:noFill/>
                    <a:ln w="9525">
                      <a:noFill/>
                      <a:miter lim="800000"/>
                      <a:headEnd/>
                      <a:tailEnd/>
                    </a:ln>
                  </pic:spPr>
                </pic:pic>
              </a:graphicData>
            </a:graphic>
          </wp:inline>
        </w:drawing>
      </w:r>
    </w:p>
    <w:p w:rsidR="005C4E7D" w:rsidRPr="00B64F29" w:rsidRDefault="005C4E7D" w:rsidP="005C4E7D">
      <w:pPr>
        <w:pStyle w:val="a3"/>
        <w:jc w:val="center"/>
        <w:rPr>
          <w:rFonts w:ascii="Arial" w:hAnsi="Arial" w:cs="Arial"/>
          <w:b/>
          <w:color w:val="003300"/>
          <w:sz w:val="28"/>
          <w:szCs w:val="28"/>
        </w:rPr>
      </w:pPr>
    </w:p>
    <w:p w:rsidR="005C4E7D" w:rsidRPr="00B64F29" w:rsidRDefault="005C4E7D" w:rsidP="005C4E7D">
      <w:pPr>
        <w:pStyle w:val="a3"/>
        <w:jc w:val="center"/>
        <w:rPr>
          <w:rFonts w:ascii="Arial" w:hAnsi="Arial" w:cs="Arial"/>
          <w:b/>
          <w:color w:val="003300"/>
          <w:sz w:val="28"/>
          <w:szCs w:val="28"/>
        </w:rPr>
      </w:pPr>
      <w:r w:rsidRPr="00B64F29">
        <w:rPr>
          <w:rFonts w:ascii="Arial" w:hAnsi="Arial" w:cs="Arial"/>
          <w:b/>
          <w:color w:val="003300"/>
          <w:sz w:val="28"/>
          <w:szCs w:val="28"/>
        </w:rPr>
        <w:t>ТЕМА СЕМИНАРА:</w:t>
      </w:r>
    </w:p>
    <w:p w:rsidR="005C4E7D" w:rsidRPr="00B64F29" w:rsidRDefault="005C4E7D" w:rsidP="005C4E7D">
      <w:pPr>
        <w:pStyle w:val="p2"/>
        <w:shd w:val="clear" w:color="auto" w:fill="FFFFFF"/>
        <w:spacing w:before="99" w:beforeAutospacing="0" w:after="99" w:afterAutospacing="0"/>
        <w:jc w:val="center"/>
        <w:rPr>
          <w:b/>
          <w:i/>
          <w:color w:val="003300"/>
          <w:sz w:val="36"/>
          <w:szCs w:val="36"/>
          <w:shd w:val="clear" w:color="auto" w:fill="FFFFFF"/>
        </w:rPr>
      </w:pPr>
      <w:r w:rsidRPr="00B64F29">
        <w:rPr>
          <w:color w:val="003300"/>
          <w:sz w:val="36"/>
          <w:szCs w:val="36"/>
        </w:rPr>
        <w:t>«</w:t>
      </w:r>
      <w:r w:rsidR="00AF524C" w:rsidRPr="00B64F29">
        <w:rPr>
          <w:color w:val="003300"/>
          <w:sz w:val="36"/>
          <w:szCs w:val="36"/>
        </w:rPr>
        <w:t>Основы договорного права для предпринимателя</w:t>
      </w:r>
      <w:r w:rsidRPr="00B64F29">
        <w:rPr>
          <w:b/>
          <w:color w:val="003300"/>
          <w:sz w:val="36"/>
          <w:szCs w:val="36"/>
          <w:shd w:val="clear" w:color="auto" w:fill="FFFFFF"/>
        </w:rPr>
        <w:t>»</w:t>
      </w:r>
    </w:p>
    <w:tbl>
      <w:tblPr>
        <w:tblW w:w="16659" w:type="dxa"/>
        <w:tblLook w:val="04A0"/>
      </w:tblPr>
      <w:tblGrid>
        <w:gridCol w:w="5494"/>
        <w:gridCol w:w="5671"/>
        <w:gridCol w:w="5494"/>
      </w:tblGrid>
      <w:tr w:rsidR="005C4E7D" w:rsidRPr="00B64F29" w:rsidTr="00215B48">
        <w:trPr>
          <w:trHeight w:val="992"/>
        </w:trPr>
        <w:tc>
          <w:tcPr>
            <w:tcW w:w="5494" w:type="dxa"/>
            <w:tcBorders>
              <w:right w:val="single" w:sz="4" w:space="0" w:color="auto"/>
            </w:tcBorders>
            <w:shd w:val="clear" w:color="auto" w:fill="auto"/>
            <w:vAlign w:val="center"/>
          </w:tcPr>
          <w:p w:rsidR="005C4E7D" w:rsidRPr="00B64F29" w:rsidRDefault="005C4E7D" w:rsidP="00215B48">
            <w:pPr>
              <w:pStyle w:val="a3"/>
              <w:jc w:val="center"/>
              <w:rPr>
                <w:rFonts w:ascii="Arial" w:hAnsi="Arial" w:cs="Arial"/>
                <w:b/>
                <w:color w:val="003300"/>
                <w:sz w:val="18"/>
                <w:szCs w:val="18"/>
              </w:rPr>
            </w:pPr>
            <w:r w:rsidRPr="00B64F29">
              <w:rPr>
                <w:rFonts w:ascii="Arial" w:hAnsi="Arial" w:cs="Arial"/>
                <w:b/>
                <w:color w:val="003300"/>
                <w:sz w:val="18"/>
                <w:szCs w:val="18"/>
              </w:rPr>
              <w:t xml:space="preserve">ВРЕМЯ И МЕСТО ПРОВЕДЕНИЯ: </w:t>
            </w:r>
          </w:p>
          <w:p w:rsidR="005C4E7D" w:rsidRPr="00B64F29" w:rsidRDefault="005C4E7D" w:rsidP="00215B48">
            <w:pPr>
              <w:pStyle w:val="a3"/>
              <w:jc w:val="center"/>
              <w:rPr>
                <w:rFonts w:ascii="Arial" w:hAnsi="Arial" w:cs="Arial"/>
                <w:color w:val="003300"/>
                <w:sz w:val="18"/>
                <w:szCs w:val="18"/>
              </w:rPr>
            </w:pPr>
          </w:p>
          <w:p w:rsidR="005C4E7D" w:rsidRPr="00B64F29" w:rsidRDefault="005C4E7D" w:rsidP="00215B48">
            <w:pPr>
              <w:pStyle w:val="a3"/>
              <w:jc w:val="center"/>
              <w:rPr>
                <w:rFonts w:ascii="Arial" w:hAnsi="Arial" w:cs="Arial"/>
                <w:color w:val="003300"/>
                <w:sz w:val="18"/>
                <w:szCs w:val="18"/>
              </w:rPr>
            </w:pPr>
          </w:p>
        </w:tc>
        <w:tc>
          <w:tcPr>
            <w:tcW w:w="5671" w:type="dxa"/>
            <w:tcBorders>
              <w:right w:val="single" w:sz="4" w:space="0" w:color="auto"/>
            </w:tcBorders>
            <w:vAlign w:val="center"/>
          </w:tcPr>
          <w:p w:rsidR="005C4E7D" w:rsidRPr="00B64F29" w:rsidRDefault="005C4E7D" w:rsidP="00215B48">
            <w:pPr>
              <w:pStyle w:val="a3"/>
              <w:rPr>
                <w:rFonts w:ascii="Times New Roman" w:hAnsi="Times New Roman"/>
                <w:sz w:val="20"/>
                <w:szCs w:val="18"/>
              </w:rPr>
            </w:pPr>
            <w:r w:rsidRPr="00B64F29">
              <w:rPr>
                <w:rFonts w:ascii="Times New Roman" w:hAnsi="Times New Roman"/>
                <w:sz w:val="20"/>
                <w:szCs w:val="18"/>
              </w:rPr>
              <w:t>Мероприятие организовано при поддержке Пермского фонда развития предпринимательства (ПФРП) в целях реализации государственной программы "Экономическое развитие и инновационная экономика"</w:t>
            </w:r>
          </w:p>
          <w:p w:rsidR="005C4E7D" w:rsidRPr="00B64F29" w:rsidRDefault="005C4E7D" w:rsidP="005C4E7D">
            <w:pPr>
              <w:pStyle w:val="a3"/>
              <w:rPr>
                <w:rFonts w:ascii="Arial" w:hAnsi="Arial" w:cs="Arial"/>
                <w:sz w:val="18"/>
                <w:szCs w:val="18"/>
              </w:rPr>
            </w:pPr>
          </w:p>
        </w:tc>
        <w:tc>
          <w:tcPr>
            <w:tcW w:w="5494" w:type="dxa"/>
            <w:tcBorders>
              <w:left w:val="single" w:sz="4" w:space="0" w:color="auto"/>
            </w:tcBorders>
            <w:shd w:val="clear" w:color="auto" w:fill="auto"/>
            <w:vAlign w:val="center"/>
          </w:tcPr>
          <w:p w:rsidR="005C4E7D" w:rsidRPr="00B64F29" w:rsidRDefault="005C4E7D" w:rsidP="00215B48">
            <w:pPr>
              <w:pStyle w:val="a3"/>
              <w:jc w:val="center"/>
              <w:rPr>
                <w:rFonts w:ascii="Times New Roman" w:hAnsi="Times New Roman"/>
                <w:sz w:val="18"/>
                <w:szCs w:val="18"/>
              </w:rPr>
            </w:pPr>
            <w:r w:rsidRPr="00B64F29">
              <w:rPr>
                <w:rFonts w:ascii="Times New Roman" w:hAnsi="Times New Roman"/>
                <w:sz w:val="18"/>
                <w:szCs w:val="18"/>
              </w:rPr>
              <w:t>Проводит семинар Ассоциация "РГР. Пермский край"</w:t>
            </w:r>
          </w:p>
          <w:p w:rsidR="005C4E7D" w:rsidRPr="00B64F29" w:rsidRDefault="005C4E7D" w:rsidP="00215B48">
            <w:pPr>
              <w:pStyle w:val="a3"/>
              <w:jc w:val="center"/>
              <w:rPr>
                <w:rFonts w:ascii="Arial" w:hAnsi="Arial" w:cs="Arial"/>
                <w:sz w:val="18"/>
                <w:szCs w:val="18"/>
              </w:rPr>
            </w:pPr>
            <w:r w:rsidRPr="00B64F29">
              <w:rPr>
                <w:rFonts w:ascii="Times New Roman" w:hAnsi="Times New Roman"/>
                <w:sz w:val="18"/>
                <w:szCs w:val="18"/>
              </w:rPr>
              <w:t>Модератор ООО Правовая фирма «Налоги и право»</w:t>
            </w:r>
          </w:p>
        </w:tc>
      </w:tr>
    </w:tbl>
    <w:p w:rsidR="00CD10AB" w:rsidRPr="00B64F29" w:rsidRDefault="00CD10AB" w:rsidP="005C4E7D">
      <w:pPr>
        <w:pStyle w:val="a3"/>
        <w:jc w:val="both"/>
        <w:rPr>
          <w:rFonts w:ascii="Times New Roman" w:hAnsi="Times New Roman"/>
          <w:szCs w:val="20"/>
        </w:rPr>
      </w:pPr>
      <w:bookmarkStart w:id="0" w:name="OLE_LINK13"/>
      <w:bookmarkStart w:id="1" w:name="OLE_LINK14"/>
      <w:r w:rsidRPr="00B64F29">
        <w:rPr>
          <w:rFonts w:ascii="Times New Roman" w:hAnsi="Times New Roman"/>
          <w:b/>
          <w:i/>
          <w:szCs w:val="20"/>
        </w:rPr>
        <w:t>Красильникова Светлана Владимировна</w:t>
      </w:r>
      <w:r w:rsidRPr="00B64F29">
        <w:rPr>
          <w:rFonts w:ascii="Times New Roman" w:hAnsi="Times New Roman"/>
          <w:szCs w:val="20"/>
        </w:rPr>
        <w:t>: Эксперт по правовому сопровождению бизнеса, практикующий юрист.</w:t>
      </w:r>
    </w:p>
    <w:bookmarkEnd w:id="0"/>
    <w:bookmarkEnd w:id="1"/>
    <w:p w:rsidR="005C4E7D" w:rsidRPr="00B64F29" w:rsidRDefault="005C4E7D" w:rsidP="005C4E7D">
      <w:pPr>
        <w:pStyle w:val="a3"/>
        <w:jc w:val="both"/>
        <w:rPr>
          <w:rFonts w:ascii="Arial" w:hAnsi="Arial" w:cs="Arial"/>
          <w:color w:val="003300"/>
          <w:sz w:val="24"/>
        </w:rPr>
      </w:pPr>
      <w:r w:rsidRPr="00B64F29">
        <w:rPr>
          <w:rFonts w:ascii="Arial" w:hAnsi="Arial" w:cs="Arial"/>
          <w:b/>
          <w:color w:val="003300"/>
          <w:sz w:val="24"/>
          <w:szCs w:val="24"/>
          <w:vertAlign w:val="superscript"/>
        </w:rPr>
        <w:t>_______________________________________</w:t>
      </w:r>
      <w:r w:rsidRPr="00B64F29">
        <w:rPr>
          <w:rFonts w:ascii="Arial" w:hAnsi="Arial" w:cs="Arial"/>
          <w:b/>
          <w:color w:val="003300"/>
          <w:sz w:val="24"/>
          <w:szCs w:val="24"/>
        </w:rPr>
        <w:t>ВОПРОСЫ ПРОГРАММЫ</w:t>
      </w:r>
      <w:r w:rsidRPr="00B64F29">
        <w:rPr>
          <w:rFonts w:ascii="Arial" w:hAnsi="Arial" w:cs="Arial"/>
          <w:b/>
          <w:color w:val="003300"/>
          <w:sz w:val="24"/>
          <w:szCs w:val="24"/>
          <w:vertAlign w:val="superscript"/>
        </w:rPr>
        <w:t>_______________________________________________</w:t>
      </w:r>
    </w:p>
    <w:p w:rsidR="00AF524C" w:rsidRPr="00AF524C" w:rsidRDefault="00AF524C" w:rsidP="00AF524C">
      <w:pPr>
        <w:spacing w:after="0" w:line="240" w:lineRule="auto"/>
        <w:rPr>
          <w:rFonts w:ascii="Times New Roman" w:eastAsia="Times New Roman" w:hAnsi="Times New Roman" w:cs="Times New Roman"/>
          <w:color w:val="232323"/>
          <w:sz w:val="20"/>
          <w:szCs w:val="20"/>
        </w:rPr>
      </w:pPr>
      <w:r w:rsidRPr="00B64F29">
        <w:rPr>
          <w:rFonts w:ascii="Times New Roman" w:eastAsia="Times New Roman" w:hAnsi="Times New Roman" w:cs="Times New Roman"/>
          <w:b/>
          <w:bCs/>
          <w:i/>
          <w:iCs/>
          <w:color w:val="232323"/>
          <w:sz w:val="20"/>
          <w:szCs w:val="20"/>
        </w:rPr>
        <w:t>1. Общие положения договорного права </w:t>
      </w:r>
      <w:r w:rsidRPr="00B64F29">
        <w:rPr>
          <w:rFonts w:ascii="Times New Roman" w:eastAsia="Times New Roman" w:hAnsi="Times New Roman" w:cs="Times New Roman"/>
          <w:color w:val="232323"/>
          <w:sz w:val="20"/>
          <w:szCs w:val="20"/>
        </w:rPr>
        <w:br/>
        <w:t>- Принцип добросовестности в гражданском праве (новые нормы ГК РФ о добросовестности, недопустимости извлечения выгоды из недобросовестного поведения, взыскание убытков за недобросовестное поведение, признание сделок недействительными как следствие злоупотребления правом и др.). </w:t>
      </w:r>
      <w:r w:rsidRPr="00B64F29">
        <w:rPr>
          <w:rFonts w:ascii="Times New Roman" w:eastAsia="Times New Roman" w:hAnsi="Times New Roman" w:cs="Times New Roman"/>
          <w:color w:val="232323"/>
          <w:sz w:val="20"/>
          <w:szCs w:val="20"/>
        </w:rPr>
        <w:br/>
        <w:t>- Принцип свободы договора и его пределы. Разграничение императивных и диспозитивных норм (пределы императивности норм гражданского права, проблема квалификации норм договорного права в качестве императивных или диспозитивных, разбор конкретных примеров и другие вопросы). Судебный контроль справедливости договорных условий (новое в практике применения ст.428 ГК о договорах присоединения, возможность оспаривания несправедливых условий присоединяющимися коммерческими организациями, оспаривание несправедливых условий за рамками норм о договоре присоединения и др.).</w:t>
      </w:r>
      <w:r w:rsidRPr="00B64F29">
        <w:rPr>
          <w:rFonts w:ascii="Times New Roman" w:eastAsia="Times New Roman" w:hAnsi="Times New Roman" w:cs="Times New Roman"/>
          <w:color w:val="232323"/>
          <w:sz w:val="20"/>
          <w:szCs w:val="20"/>
        </w:rPr>
        <w:br/>
        <w:t>- Смешанные и непоименованные договоры (основные отличия, применение норм о поименованных договорах к договорам непоименованным, принципы регулирования смешанных договоров и др.).</w:t>
      </w:r>
      <w:r w:rsidRPr="00B64F29">
        <w:rPr>
          <w:rFonts w:ascii="Times New Roman" w:eastAsia="Times New Roman" w:hAnsi="Times New Roman" w:cs="Times New Roman"/>
          <w:color w:val="232323"/>
          <w:sz w:val="20"/>
          <w:szCs w:val="20"/>
        </w:rPr>
        <w:br/>
        <w:t>- Действие договора во времени (придание условиям договора обратной силы, смещение момента вступления договора в силу в будущее и др.). </w:t>
      </w:r>
      <w:r w:rsidRPr="00B64F29">
        <w:rPr>
          <w:rFonts w:ascii="Times New Roman" w:eastAsia="Times New Roman" w:hAnsi="Times New Roman" w:cs="Times New Roman"/>
          <w:color w:val="232323"/>
          <w:sz w:val="20"/>
          <w:szCs w:val="20"/>
        </w:rPr>
        <w:br/>
        <w:t>- Публичный договор (квалификация договоров в качестве публичных, преддоговорные споры, возможность утверждения судом условий, отличных от применяемых в отношении других потребителей, сочетание гражданско-правовых и антимонопольных средств защиты и др.). </w:t>
      </w:r>
      <w:r w:rsidRPr="00B64F29">
        <w:rPr>
          <w:rFonts w:ascii="Times New Roman" w:eastAsia="Times New Roman" w:hAnsi="Times New Roman" w:cs="Times New Roman"/>
          <w:color w:val="232323"/>
          <w:sz w:val="20"/>
          <w:szCs w:val="20"/>
        </w:rPr>
        <w:br/>
        <w:t>- Предварительный договор (специфика оформления и порождаемых правоотношений, последствия уклонения от заключения основного договора, принуждение к заключению и признание договора заключенным и др.). </w:t>
      </w:r>
      <w:r w:rsidRPr="00B64F29">
        <w:rPr>
          <w:rFonts w:ascii="Times New Roman" w:eastAsia="Times New Roman" w:hAnsi="Times New Roman" w:cs="Times New Roman"/>
          <w:color w:val="232323"/>
          <w:sz w:val="20"/>
          <w:szCs w:val="20"/>
        </w:rPr>
        <w:br/>
        <w:t xml:space="preserve">- Методы толкование договора (буквальное толкование и подразумеваемая воля сторон, интерпретация опечаток, толкование договора </w:t>
      </w:r>
      <w:proofErr w:type="spellStart"/>
      <w:r w:rsidRPr="00B64F29">
        <w:rPr>
          <w:rFonts w:ascii="Times New Roman" w:eastAsia="Times New Roman" w:hAnsi="Times New Roman" w:cs="Times New Roman"/>
          <w:color w:val="232323"/>
          <w:sz w:val="20"/>
          <w:szCs w:val="20"/>
        </w:rPr>
        <w:t>contra</w:t>
      </w:r>
      <w:proofErr w:type="spellEnd"/>
      <w:r w:rsidRPr="00B64F29">
        <w:rPr>
          <w:rFonts w:ascii="Times New Roman" w:eastAsia="Times New Roman" w:hAnsi="Times New Roman" w:cs="Times New Roman"/>
          <w:color w:val="232323"/>
          <w:sz w:val="20"/>
          <w:szCs w:val="20"/>
        </w:rPr>
        <w:t xml:space="preserve"> </w:t>
      </w:r>
      <w:proofErr w:type="spellStart"/>
      <w:r w:rsidRPr="00B64F29">
        <w:rPr>
          <w:rFonts w:ascii="Times New Roman" w:eastAsia="Times New Roman" w:hAnsi="Times New Roman" w:cs="Times New Roman"/>
          <w:color w:val="232323"/>
          <w:sz w:val="20"/>
          <w:szCs w:val="20"/>
        </w:rPr>
        <w:t>proferentem</w:t>
      </w:r>
      <w:proofErr w:type="spellEnd"/>
      <w:r w:rsidRPr="00B64F29">
        <w:rPr>
          <w:rFonts w:ascii="Times New Roman" w:eastAsia="Times New Roman" w:hAnsi="Times New Roman" w:cs="Times New Roman"/>
          <w:color w:val="232323"/>
          <w:sz w:val="20"/>
          <w:szCs w:val="20"/>
        </w:rPr>
        <w:t xml:space="preserve"> и др.).</w:t>
      </w:r>
      <w:r w:rsidRPr="00B64F29">
        <w:rPr>
          <w:rFonts w:ascii="Times New Roman" w:eastAsia="Times New Roman" w:hAnsi="Times New Roman" w:cs="Times New Roman"/>
          <w:color w:val="232323"/>
          <w:sz w:val="20"/>
          <w:szCs w:val="20"/>
        </w:rPr>
        <w:br/>
      </w:r>
      <w:r w:rsidRPr="00B64F29">
        <w:rPr>
          <w:rFonts w:ascii="Times New Roman" w:eastAsia="Times New Roman" w:hAnsi="Times New Roman" w:cs="Times New Roman"/>
          <w:b/>
          <w:bCs/>
          <w:i/>
          <w:iCs/>
          <w:color w:val="232323"/>
          <w:sz w:val="20"/>
          <w:szCs w:val="20"/>
        </w:rPr>
        <w:br/>
        <w:t>2. Практические вопросы заключения договора </w:t>
      </w:r>
      <w:r w:rsidRPr="00B64F29">
        <w:rPr>
          <w:rFonts w:ascii="Times New Roman" w:eastAsia="Times New Roman" w:hAnsi="Times New Roman" w:cs="Times New Roman"/>
          <w:color w:val="232323"/>
          <w:sz w:val="20"/>
          <w:szCs w:val="20"/>
        </w:rPr>
        <w:br/>
        <w:t>- Практические рекомендации по оформлению договоров. Анализ типичных ошибок, допускаемых при оформлении договоров. Актуальные проблемы оформления реквизитов договора (оформление преамбулы, проблемы датировки контракта, банковские реквизиты, печать и др.). </w:t>
      </w:r>
      <w:r w:rsidRPr="00B64F29">
        <w:rPr>
          <w:rFonts w:ascii="Times New Roman" w:eastAsia="Times New Roman" w:hAnsi="Times New Roman" w:cs="Times New Roman"/>
          <w:color w:val="232323"/>
          <w:sz w:val="20"/>
          <w:szCs w:val="20"/>
        </w:rPr>
        <w:br/>
        <w:t>- Практические вопросы подписания договора (использование факсимиле, механизмы первичной проверки подлинности подписи, анализ случаев подделки и возможных злоупотреблений и др.). </w:t>
      </w:r>
      <w:r w:rsidRPr="00B64F29">
        <w:rPr>
          <w:rFonts w:ascii="Times New Roman" w:eastAsia="Times New Roman" w:hAnsi="Times New Roman" w:cs="Times New Roman"/>
          <w:color w:val="232323"/>
          <w:sz w:val="20"/>
          <w:szCs w:val="20"/>
        </w:rPr>
        <w:br/>
        <w:t>- Технологические аспекты противодействия мошенническим действиям недобросовестных контрагентов и защита договора от фальсификации (необходимые оговорки, особенности размещения текста договора, парафирование, сшивание и др.).</w:t>
      </w:r>
      <w:r w:rsidRPr="00B64F29">
        <w:rPr>
          <w:rFonts w:ascii="Times New Roman" w:eastAsia="Times New Roman" w:hAnsi="Times New Roman" w:cs="Times New Roman"/>
          <w:color w:val="232323"/>
          <w:sz w:val="20"/>
          <w:szCs w:val="20"/>
        </w:rPr>
        <w:br/>
        <w:t>- Существенные условия договора. Методика определения существенных условий: анализ последней судебной практики. Последствия несогласования сторонами существенных условий. Возможность признания договора незаключенным в случае исполнения обязательств сторонами согласно судебной практике. Положения Проекта реформы ГК РФ в отношении существенных условий договора. </w:t>
      </w:r>
      <w:r w:rsidRPr="00B64F29">
        <w:rPr>
          <w:rFonts w:ascii="Times New Roman" w:eastAsia="Times New Roman" w:hAnsi="Times New Roman" w:cs="Times New Roman"/>
          <w:color w:val="232323"/>
          <w:sz w:val="20"/>
          <w:szCs w:val="20"/>
        </w:rPr>
        <w:br/>
        <w:t>- Заключение договоров руководителем организации (ЕИО). Правовой статус ЕИО: отличия от статуса представителя. Проверка полномочий ЕИО при заключении договора (перечень проверяемых документов, оценка риска увольнения, механизмы независимой проверки статуса, значение данных ЕГРЮЛ о ЕИО организации в соответствии с новой редакцией ГК РФ и др.). </w:t>
      </w:r>
      <w:r w:rsidRPr="00B64F29">
        <w:rPr>
          <w:rFonts w:ascii="Times New Roman" w:eastAsia="Times New Roman" w:hAnsi="Times New Roman" w:cs="Times New Roman"/>
          <w:color w:val="232323"/>
          <w:sz w:val="20"/>
          <w:szCs w:val="20"/>
        </w:rPr>
        <w:br/>
        <w:t xml:space="preserve">- Заключение договоров представителем организации в соответствии с новой редакцией ГК РФ. Проверка полномочий представителя при заключении договора (представительство «из обстановки», практические проблемы оформления доверенностей, доверенность на нескольких представителей, оценка риска отзывы доверенности, нетипичные доверенности, квалификация приказа как доверенности, последствия отсутствия и превышения представителем своих </w:t>
      </w:r>
      <w:r w:rsidRPr="00B64F29">
        <w:rPr>
          <w:rFonts w:ascii="Times New Roman" w:eastAsia="Times New Roman" w:hAnsi="Times New Roman" w:cs="Times New Roman"/>
          <w:color w:val="232323"/>
          <w:sz w:val="20"/>
          <w:szCs w:val="20"/>
        </w:rPr>
        <w:lastRenderedPageBreak/>
        <w:t>полномочий). Новеллы ГК РФ в части норм о представительстве (публикация извещений об отзыве доверенности, солидарные доверенности и доверенности «с двумя ключами», безотзывные доверенности, новое в порядке передоверия от имени юридического лица или его филиала и др.).</w:t>
      </w:r>
      <w:r w:rsidRPr="00B64F29">
        <w:rPr>
          <w:rFonts w:ascii="Times New Roman" w:eastAsia="Times New Roman" w:hAnsi="Times New Roman" w:cs="Times New Roman"/>
          <w:color w:val="232323"/>
          <w:sz w:val="20"/>
          <w:szCs w:val="20"/>
        </w:rPr>
        <w:br/>
        <w:t xml:space="preserve">- </w:t>
      </w:r>
      <w:proofErr w:type="gramStart"/>
      <w:r w:rsidRPr="00B64F29">
        <w:rPr>
          <w:rFonts w:ascii="Times New Roman" w:eastAsia="Times New Roman" w:hAnsi="Times New Roman" w:cs="Times New Roman"/>
          <w:color w:val="232323"/>
          <w:sz w:val="20"/>
          <w:szCs w:val="20"/>
        </w:rPr>
        <w:t>Актуальные вопросы заключения договоров "и.о." руководителя организации (правовая природа «и.о.» руководителя, проверка полномочий, анализ последней судебной практики и др.).</w:t>
      </w:r>
      <w:proofErr w:type="gramEnd"/>
      <w:r w:rsidRPr="00B64F29">
        <w:rPr>
          <w:rFonts w:ascii="Times New Roman" w:eastAsia="Times New Roman" w:hAnsi="Times New Roman" w:cs="Times New Roman"/>
          <w:color w:val="232323"/>
          <w:sz w:val="20"/>
          <w:szCs w:val="20"/>
        </w:rPr>
        <w:t> </w:t>
      </w:r>
      <w:r w:rsidRPr="00B64F29">
        <w:rPr>
          <w:rFonts w:ascii="Times New Roman" w:eastAsia="Times New Roman" w:hAnsi="Times New Roman" w:cs="Times New Roman"/>
          <w:color w:val="232323"/>
          <w:sz w:val="20"/>
          <w:szCs w:val="20"/>
        </w:rPr>
        <w:br/>
        <w:t>- Заключение договоров путем обмена документами. Требования к оформлению оферты и акцепта (срок на акцепт, возможность акцепта с оговорками, акцепт молчанием и др.). Составление счетов, спецификаций, заявок, гарантийных писем и других подобных документов. Практические вопросы применения протоколов разногласия (определение момента заключения договора, случаи исполнения обязательств до момента окончательного согласования условий договора и др.).</w:t>
      </w:r>
      <w:r w:rsidRPr="00B64F29">
        <w:rPr>
          <w:rFonts w:ascii="Times New Roman" w:eastAsia="Times New Roman" w:hAnsi="Times New Roman" w:cs="Times New Roman"/>
          <w:color w:val="232323"/>
          <w:sz w:val="20"/>
          <w:szCs w:val="20"/>
        </w:rPr>
        <w:br/>
        <w:t>- Заключение договоров по факсу, телеграфу и посредством иных технических средств (анализ основных преимуществ и рисков, вопросы доказывания и др.).</w:t>
      </w:r>
      <w:bookmarkStart w:id="2" w:name="_GoBack"/>
      <w:bookmarkEnd w:id="2"/>
      <w:r w:rsidRPr="00AF524C">
        <w:rPr>
          <w:rFonts w:ascii="Times New Roman" w:eastAsia="Times New Roman" w:hAnsi="Times New Roman" w:cs="Times New Roman"/>
          <w:color w:val="232323"/>
          <w:sz w:val="20"/>
          <w:szCs w:val="20"/>
        </w:rPr>
        <w:t> </w:t>
      </w:r>
    </w:p>
    <w:sectPr w:rsidR="00AF524C" w:rsidRPr="00AF524C" w:rsidSect="005C4E7D">
      <w:pgSz w:w="11906" w:h="16838"/>
      <w:pgMar w:top="1134" w:right="849"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4771E"/>
    <w:multiLevelType w:val="hybridMultilevel"/>
    <w:tmpl w:val="2FD68402"/>
    <w:lvl w:ilvl="0" w:tplc="96A83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F62B6B"/>
    <w:multiLevelType w:val="hybridMultilevel"/>
    <w:tmpl w:val="EC74B5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136B8D"/>
    <w:multiLevelType w:val="multilevel"/>
    <w:tmpl w:val="9CE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1C2C35"/>
    <w:multiLevelType w:val="hybridMultilevel"/>
    <w:tmpl w:val="31A03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C4E7D"/>
    <w:rsid w:val="0017427F"/>
    <w:rsid w:val="0019429D"/>
    <w:rsid w:val="001E3113"/>
    <w:rsid w:val="00374188"/>
    <w:rsid w:val="003D5D8A"/>
    <w:rsid w:val="00414866"/>
    <w:rsid w:val="004370E2"/>
    <w:rsid w:val="004C3CB1"/>
    <w:rsid w:val="005C4E7D"/>
    <w:rsid w:val="005E4E81"/>
    <w:rsid w:val="005F2B8D"/>
    <w:rsid w:val="00694E6E"/>
    <w:rsid w:val="00714782"/>
    <w:rsid w:val="00791F9C"/>
    <w:rsid w:val="00800DC0"/>
    <w:rsid w:val="008027DA"/>
    <w:rsid w:val="0086281F"/>
    <w:rsid w:val="008957CD"/>
    <w:rsid w:val="00910474"/>
    <w:rsid w:val="0097514F"/>
    <w:rsid w:val="00983E0D"/>
    <w:rsid w:val="009E61C6"/>
    <w:rsid w:val="009F4209"/>
    <w:rsid w:val="00A02E72"/>
    <w:rsid w:val="00A06C8D"/>
    <w:rsid w:val="00A60DBB"/>
    <w:rsid w:val="00AD35C9"/>
    <w:rsid w:val="00AF524C"/>
    <w:rsid w:val="00B15C6A"/>
    <w:rsid w:val="00B35442"/>
    <w:rsid w:val="00B64F29"/>
    <w:rsid w:val="00B6710C"/>
    <w:rsid w:val="00C3608B"/>
    <w:rsid w:val="00C37C06"/>
    <w:rsid w:val="00CB101A"/>
    <w:rsid w:val="00CD10AB"/>
    <w:rsid w:val="00D21D04"/>
    <w:rsid w:val="00D31DBB"/>
    <w:rsid w:val="00DC163B"/>
    <w:rsid w:val="00DF30D1"/>
    <w:rsid w:val="00F757BE"/>
    <w:rsid w:val="00F80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E7D"/>
    <w:pPr>
      <w:spacing w:after="0" w:line="240" w:lineRule="auto"/>
    </w:pPr>
    <w:rPr>
      <w:rFonts w:ascii="Calibri" w:eastAsia="Calibri" w:hAnsi="Calibri" w:cs="Times New Roman"/>
      <w:lang w:eastAsia="en-US"/>
    </w:rPr>
  </w:style>
  <w:style w:type="paragraph" w:customStyle="1" w:styleId="p2">
    <w:name w:val="p2"/>
    <w:basedOn w:val="a"/>
    <w:rsid w:val="005C4E7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C4E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4E7D"/>
    <w:rPr>
      <w:rFonts w:ascii="Tahoma" w:hAnsi="Tahoma" w:cs="Tahoma"/>
      <w:sz w:val="16"/>
      <w:szCs w:val="16"/>
    </w:rPr>
  </w:style>
  <w:style w:type="paragraph" w:styleId="a6">
    <w:name w:val="List Paragraph"/>
    <w:basedOn w:val="a"/>
    <w:uiPriority w:val="34"/>
    <w:qFormat/>
    <w:rsid w:val="005C4E7D"/>
    <w:pPr>
      <w:ind w:left="720"/>
      <w:contextualSpacing/>
    </w:pPr>
  </w:style>
  <w:style w:type="character" w:customStyle="1" w:styleId="apple-converted-space">
    <w:name w:val="apple-converted-space"/>
    <w:basedOn w:val="a0"/>
    <w:rsid w:val="00C37C06"/>
  </w:style>
  <w:style w:type="character" w:styleId="a7">
    <w:name w:val="Hyperlink"/>
    <w:basedOn w:val="a0"/>
    <w:uiPriority w:val="99"/>
    <w:semiHidden/>
    <w:unhideWhenUsed/>
    <w:rsid w:val="00C37C06"/>
    <w:rPr>
      <w:color w:val="0000FF"/>
      <w:u w:val="single"/>
    </w:rPr>
  </w:style>
  <w:style w:type="paragraph" w:customStyle="1" w:styleId="ConsPlusNormal">
    <w:name w:val="ConsPlusNormal"/>
    <w:rsid w:val="00910474"/>
    <w:pPr>
      <w:autoSpaceDE w:val="0"/>
      <w:autoSpaceDN w:val="0"/>
      <w:adjustRightInd w:val="0"/>
      <w:spacing w:after="0" w:line="240" w:lineRule="auto"/>
    </w:pPr>
    <w:rPr>
      <w:rFonts w:ascii="Times New Roman" w:hAnsi="Times New Roman" w:cs="Times New Roman"/>
      <w:sz w:val="24"/>
      <w:szCs w:val="24"/>
    </w:rPr>
  </w:style>
  <w:style w:type="paragraph" w:styleId="a8">
    <w:name w:val="Normal (Web)"/>
    <w:basedOn w:val="a"/>
    <w:uiPriority w:val="99"/>
    <w:semiHidden/>
    <w:unhideWhenUsed/>
    <w:rsid w:val="004C3CB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cp:lastModifiedBy>
  <cp:revision>2</cp:revision>
  <cp:lastPrinted>2016-06-28T03:46:00Z</cp:lastPrinted>
  <dcterms:created xsi:type="dcterms:W3CDTF">2017-04-24T06:34:00Z</dcterms:created>
  <dcterms:modified xsi:type="dcterms:W3CDTF">2017-04-24T06:34:00Z</dcterms:modified>
</cp:coreProperties>
</file>