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5" w:rsidRDefault="006C58F7" w:rsidP="00AE60A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AE60A5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AE60A5" w:rsidRDefault="00E62FE6" w:rsidP="00AE60A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период с 1</w:t>
      </w:r>
      <w:r w:rsidR="0099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AE60A5">
        <w:rPr>
          <w:rFonts w:ascii="Times New Roman" w:hAnsi="Times New Roman" w:cs="Times New Roman"/>
          <w:b/>
          <w:sz w:val="28"/>
          <w:szCs w:val="28"/>
        </w:rPr>
        <w:t>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E60A5">
        <w:rPr>
          <w:rFonts w:ascii="Times New Roman" w:hAnsi="Times New Roman" w:cs="Times New Roman"/>
          <w:b/>
          <w:sz w:val="28"/>
          <w:szCs w:val="28"/>
        </w:rPr>
        <w:t>3</w:t>
      </w:r>
      <w:r w:rsidR="00E32CB2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AE60A5">
        <w:rPr>
          <w:rFonts w:ascii="Times New Roman" w:hAnsi="Times New Roman" w:cs="Times New Roman"/>
          <w:b/>
          <w:sz w:val="28"/>
          <w:szCs w:val="28"/>
        </w:rPr>
        <w:t>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 xml:space="preserve">и рекомендаций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включения  </w:t>
      </w:r>
    </w:p>
    <w:p w:rsidR="00AE60A5" w:rsidRDefault="00E62FE6" w:rsidP="00AE60A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коррупциогенных норм в разрабатываемые проекты нормативных</w:t>
      </w:r>
    </w:p>
    <w:p w:rsidR="009609E2" w:rsidRDefault="00E62FE6" w:rsidP="00AE60A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AE60A5" w:rsidRDefault="00AE60A5" w:rsidP="00AE60A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15183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 (их прое</w:t>
      </w:r>
      <w:r w:rsidRPr="003E7927">
        <w:rPr>
          <w:rFonts w:ascii="Times New Roman" w:hAnsi="Times New Roman" w:cs="Times New Roman"/>
          <w:bCs/>
          <w:sz w:val="28"/>
          <w:szCs w:val="28"/>
        </w:rPr>
        <w:t>к</w:t>
      </w:r>
      <w:r w:rsidRPr="003E7927">
        <w:rPr>
          <w:rFonts w:ascii="Times New Roman" w:hAnsi="Times New Roman" w:cs="Times New Roman"/>
          <w:bCs/>
          <w:sz w:val="28"/>
          <w:szCs w:val="28"/>
        </w:rPr>
        <w:t>тов) проводится в соответствии  с Федеральным законом «Об антикоррупцио</w:t>
      </w:r>
      <w:r w:rsidRPr="003E7927">
        <w:rPr>
          <w:rFonts w:ascii="Times New Roman" w:hAnsi="Times New Roman" w:cs="Times New Roman"/>
          <w:bCs/>
          <w:sz w:val="28"/>
          <w:szCs w:val="28"/>
        </w:rPr>
        <w:t>н</w:t>
      </w:r>
      <w:r w:rsidRPr="003E7927">
        <w:rPr>
          <w:rFonts w:ascii="Times New Roman" w:hAnsi="Times New Roman" w:cs="Times New Roman"/>
          <w:bCs/>
          <w:sz w:val="28"/>
          <w:szCs w:val="28"/>
        </w:rPr>
        <w:t>ной экспертизе нормативных правовых актов и проектов нормативных прав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</w:t>
      </w:r>
      <w:r w:rsidR="00B43AC0">
        <w:rPr>
          <w:rFonts w:ascii="Times New Roman" w:hAnsi="Times New Roman" w:cs="Times New Roman"/>
          <w:bCs/>
          <w:sz w:val="28"/>
          <w:szCs w:val="28"/>
        </w:rPr>
        <w:t>б</w:t>
      </w:r>
      <w:r w:rsidR="00B43AC0">
        <w:rPr>
          <w:rFonts w:ascii="Times New Roman" w:hAnsi="Times New Roman" w:cs="Times New Roman"/>
          <w:bCs/>
          <w:sz w:val="28"/>
          <w:szCs w:val="28"/>
        </w:rPr>
        <w:t>лики Коми и Правительства Республики Коми (далее – Администрация)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>гласно методике, определенной Правительством Российской Федерации.</w:t>
      </w:r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Рекомендациями по минимизации проявлений «бытовой» коррупции в субъектах Российской Федерации, разработанны</w:t>
      </w:r>
      <w:r w:rsidR="004620BB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аппаратом полномочного представителя Президента Российской Федерации в Северо-Западном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ральном округе совместно с органами прокуратуры, внутренних дел и Сле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ственного комитета Российской Федерации (письмо от 3</w:t>
      </w:r>
      <w:r w:rsidR="00722079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2013 г. № А51-9423), органам власти в субъектах Российской Федерации рекомендовано регулярно обобщать работу по антикоррупцио</w:t>
      </w:r>
      <w:r w:rsidR="004620BB">
        <w:rPr>
          <w:rFonts w:ascii="Times New Roman" w:hAnsi="Times New Roman" w:cs="Times New Roman"/>
          <w:bCs/>
          <w:sz w:val="28"/>
          <w:szCs w:val="28"/>
        </w:rPr>
        <w:t>нной экспертизе правотворчества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совершенствования дальнейшей деятельности.</w:t>
      </w:r>
      <w:proofErr w:type="gramEnd"/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0B577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вышеназванных рекомендаций Администрацией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</w:t>
      </w:r>
      <w:r w:rsidR="005D0AF3">
        <w:rPr>
          <w:rFonts w:ascii="Times New Roman" w:hAnsi="Times New Roman" w:cs="Times New Roman"/>
          <w:bCs/>
          <w:sz w:val="28"/>
          <w:szCs w:val="28"/>
        </w:rPr>
        <w:t>ен 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лан по их реализации, согласно которому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ется, в том числе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 мониторинг результатов проведенных антикоррупционных экспертиз и подготовка  по итогам мониторинга соответствующих рекоменд</w:t>
      </w:r>
      <w:r w:rsidR="000B5779">
        <w:rPr>
          <w:rFonts w:ascii="Times New Roman" w:hAnsi="Times New Roman" w:cs="Times New Roman"/>
          <w:bCs/>
          <w:sz w:val="28"/>
          <w:szCs w:val="28"/>
        </w:rPr>
        <w:t>а</w:t>
      </w:r>
      <w:r w:rsidR="000B5779">
        <w:rPr>
          <w:rFonts w:ascii="Times New Roman" w:hAnsi="Times New Roman" w:cs="Times New Roman"/>
          <w:bCs/>
          <w:sz w:val="28"/>
          <w:szCs w:val="28"/>
        </w:rPr>
        <w:t>ций для государственных органов с целью недопущения при  подготовке пр</w:t>
      </w:r>
      <w:r w:rsidR="000B5779">
        <w:rPr>
          <w:rFonts w:ascii="Times New Roman" w:hAnsi="Times New Roman" w:cs="Times New Roman"/>
          <w:bCs/>
          <w:sz w:val="28"/>
          <w:szCs w:val="28"/>
        </w:rPr>
        <w:t>о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ектов коррупциогенных факторов. </w:t>
      </w:r>
    </w:p>
    <w:p w:rsidR="003E2BA1" w:rsidRDefault="000B5779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названного Плана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 осуществлен м</w:t>
      </w:r>
      <w:r w:rsidR="003E2BA1">
        <w:rPr>
          <w:rFonts w:ascii="Times New Roman" w:hAnsi="Times New Roman" w:cs="Times New Roman"/>
          <w:bCs/>
          <w:sz w:val="28"/>
          <w:szCs w:val="28"/>
        </w:rPr>
        <w:t>о</w:t>
      </w:r>
      <w:r w:rsidR="003E2BA1">
        <w:rPr>
          <w:rFonts w:ascii="Times New Roman" w:hAnsi="Times New Roman" w:cs="Times New Roman"/>
          <w:bCs/>
          <w:sz w:val="28"/>
          <w:szCs w:val="28"/>
        </w:rPr>
        <w:t>ниторинг результатов  антикоррупционной экспертизы нормативных правовых актов Главы Республики Коми и  Правительства Республики Коми (их прое</w:t>
      </w:r>
      <w:r w:rsidR="003E2BA1">
        <w:rPr>
          <w:rFonts w:ascii="Times New Roman" w:hAnsi="Times New Roman" w:cs="Times New Roman"/>
          <w:bCs/>
          <w:sz w:val="28"/>
          <w:szCs w:val="28"/>
        </w:rPr>
        <w:t>к</w:t>
      </w:r>
      <w:r w:rsidR="003E2BA1">
        <w:rPr>
          <w:rFonts w:ascii="Times New Roman" w:hAnsi="Times New Roman" w:cs="Times New Roman"/>
          <w:bCs/>
          <w:sz w:val="28"/>
          <w:szCs w:val="28"/>
        </w:rPr>
        <w:t>тов).</w:t>
      </w:r>
    </w:p>
    <w:p w:rsidR="002B7A96" w:rsidRDefault="00470E63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проведенному мониторингу </w:t>
      </w:r>
      <w:r w:rsidR="006760B7">
        <w:rPr>
          <w:rFonts w:ascii="Times New Roman" w:hAnsi="Times New Roman" w:cs="Times New Roman"/>
          <w:bCs/>
          <w:sz w:val="28"/>
          <w:szCs w:val="28"/>
        </w:rPr>
        <w:t>за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676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AE60A5">
        <w:rPr>
          <w:rFonts w:ascii="Times New Roman" w:hAnsi="Times New Roman" w:cs="Times New Roman"/>
          <w:sz w:val="28"/>
          <w:szCs w:val="28"/>
        </w:rPr>
        <w:t xml:space="preserve"> </w:t>
      </w:r>
      <w:r w:rsidR="007F1274">
        <w:rPr>
          <w:rFonts w:ascii="Times New Roman" w:hAnsi="Times New Roman" w:cs="Times New Roman"/>
          <w:sz w:val="28"/>
          <w:szCs w:val="28"/>
        </w:rPr>
        <w:t xml:space="preserve">июля </w:t>
      </w:r>
      <w:r w:rsidR="00AE60A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по </w:t>
      </w:r>
      <w:r w:rsidR="00AE60A5">
        <w:rPr>
          <w:rFonts w:ascii="Times New Roman" w:hAnsi="Times New Roman" w:cs="Times New Roman"/>
          <w:sz w:val="28"/>
          <w:szCs w:val="28"/>
        </w:rPr>
        <w:t>3</w:t>
      </w:r>
      <w:r w:rsidR="007F1274">
        <w:rPr>
          <w:rFonts w:ascii="Times New Roman" w:hAnsi="Times New Roman" w:cs="Times New Roman"/>
          <w:sz w:val="28"/>
          <w:szCs w:val="28"/>
        </w:rPr>
        <w:t>1 декабря</w:t>
      </w:r>
      <w:r w:rsidR="00AE60A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2B7A96">
        <w:rPr>
          <w:rFonts w:ascii="Times New Roman" w:hAnsi="Times New Roman" w:cs="Times New Roman"/>
          <w:bCs/>
          <w:sz w:val="28"/>
          <w:szCs w:val="28"/>
        </w:rPr>
        <w:t>антикоррупционной экспертизе</w:t>
      </w:r>
      <w:r w:rsidR="0040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96">
        <w:rPr>
          <w:rFonts w:ascii="Times New Roman" w:hAnsi="Times New Roman" w:cs="Times New Roman"/>
          <w:bCs/>
          <w:sz w:val="28"/>
          <w:szCs w:val="28"/>
        </w:rPr>
        <w:t>подверг</w:t>
      </w:r>
      <w:r w:rsidR="00F061A2">
        <w:rPr>
          <w:rFonts w:ascii="Times New Roman" w:hAnsi="Times New Roman" w:cs="Times New Roman"/>
          <w:bCs/>
          <w:sz w:val="28"/>
          <w:szCs w:val="28"/>
        </w:rPr>
        <w:t>ся</w:t>
      </w:r>
      <w:r w:rsidR="002B7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079" w:rsidRPr="00F061A2">
        <w:rPr>
          <w:rFonts w:ascii="Times New Roman" w:hAnsi="Times New Roman" w:cs="Times New Roman"/>
          <w:bCs/>
          <w:sz w:val="28"/>
          <w:szCs w:val="28"/>
        </w:rPr>
        <w:t>1</w:t>
      </w:r>
      <w:r w:rsidR="00F061A2" w:rsidRPr="00F061A2">
        <w:rPr>
          <w:rFonts w:ascii="Times New Roman" w:hAnsi="Times New Roman" w:cs="Times New Roman"/>
          <w:bCs/>
          <w:sz w:val="28"/>
          <w:szCs w:val="28"/>
        </w:rPr>
        <w:t>31</w:t>
      </w:r>
      <w:r w:rsidR="00062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проект нормативн</w:t>
      </w:r>
      <w:r w:rsidR="00F061A2">
        <w:rPr>
          <w:rFonts w:ascii="Times New Roman" w:hAnsi="Times New Roman" w:cs="Times New Roman"/>
          <w:bCs/>
          <w:sz w:val="28"/>
          <w:szCs w:val="28"/>
        </w:rPr>
        <w:t>ого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F061A2">
        <w:rPr>
          <w:rFonts w:ascii="Times New Roman" w:hAnsi="Times New Roman" w:cs="Times New Roman"/>
          <w:bCs/>
          <w:sz w:val="28"/>
          <w:szCs w:val="28"/>
        </w:rPr>
        <w:t>ого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061A2">
        <w:rPr>
          <w:rFonts w:ascii="Times New Roman" w:hAnsi="Times New Roman" w:cs="Times New Roman"/>
          <w:bCs/>
          <w:sz w:val="28"/>
          <w:szCs w:val="28"/>
        </w:rPr>
        <w:t>а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8081E" w:rsidRPr="0008081E">
        <w:rPr>
          <w:rFonts w:ascii="Times New Roman" w:hAnsi="Times New Roman" w:cs="Times New Roman"/>
          <w:bCs/>
          <w:sz w:val="28"/>
          <w:szCs w:val="28"/>
        </w:rPr>
        <w:t>18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861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62EA7">
        <w:rPr>
          <w:rFonts w:ascii="Times New Roman" w:hAnsi="Times New Roman" w:cs="Times New Roman"/>
          <w:bCs/>
          <w:sz w:val="28"/>
          <w:szCs w:val="28"/>
        </w:rPr>
        <w:t>ых</w:t>
      </w:r>
      <w:r w:rsidR="0044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пра</w:t>
      </w:r>
      <w:r w:rsidR="00442861">
        <w:rPr>
          <w:rFonts w:ascii="Times New Roman" w:hAnsi="Times New Roman" w:cs="Times New Roman"/>
          <w:bCs/>
          <w:sz w:val="28"/>
          <w:szCs w:val="28"/>
        </w:rPr>
        <w:t>в</w:t>
      </w:r>
      <w:r w:rsidR="00FC03F8">
        <w:rPr>
          <w:rFonts w:ascii="Times New Roman" w:hAnsi="Times New Roman" w:cs="Times New Roman"/>
          <w:bCs/>
          <w:sz w:val="28"/>
          <w:szCs w:val="28"/>
        </w:rPr>
        <w:t>овых акт</w:t>
      </w:r>
      <w:r w:rsidR="003A060F">
        <w:rPr>
          <w:rFonts w:ascii="Times New Roman" w:hAnsi="Times New Roman" w:cs="Times New Roman"/>
          <w:bCs/>
          <w:sz w:val="28"/>
          <w:szCs w:val="28"/>
        </w:rPr>
        <w:t>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A5E2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полуг</w:t>
      </w:r>
      <w:r w:rsidR="001A5E22">
        <w:rPr>
          <w:rFonts w:ascii="Times New Roman" w:hAnsi="Times New Roman" w:cs="Times New Roman"/>
          <w:bCs/>
          <w:sz w:val="28"/>
          <w:szCs w:val="28"/>
        </w:rPr>
        <w:t>о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дие 2015 года </w:t>
      </w:r>
      <w:r w:rsidR="001A5E22" w:rsidRPr="007F1274">
        <w:rPr>
          <w:rFonts w:ascii="Times New Roman" w:hAnsi="Times New Roman" w:cs="Times New Roman"/>
          <w:bCs/>
          <w:sz w:val="28"/>
          <w:szCs w:val="28"/>
        </w:rPr>
        <w:t xml:space="preserve">– 148 </w:t>
      </w:r>
      <w:r w:rsidR="001A5E22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A060F">
        <w:rPr>
          <w:rFonts w:ascii="Times New Roman" w:hAnsi="Times New Roman" w:cs="Times New Roman"/>
          <w:bCs/>
          <w:sz w:val="28"/>
          <w:szCs w:val="28"/>
        </w:rPr>
        <w:t>ов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 </w:t>
      </w:r>
      <w:r w:rsidR="001A5E22" w:rsidRPr="007F1274">
        <w:rPr>
          <w:rFonts w:ascii="Times New Roman" w:hAnsi="Times New Roman" w:cs="Times New Roman"/>
          <w:bCs/>
          <w:sz w:val="28"/>
          <w:szCs w:val="28"/>
        </w:rPr>
        <w:t>32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нормативных пр</w:t>
      </w:r>
      <w:r w:rsidR="001A5E22">
        <w:rPr>
          <w:rFonts w:ascii="Times New Roman" w:hAnsi="Times New Roman" w:cs="Times New Roman"/>
          <w:bCs/>
          <w:sz w:val="28"/>
          <w:szCs w:val="28"/>
        </w:rPr>
        <w:t>а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вовых акта соответственно,  за </w:t>
      </w:r>
      <w:r w:rsidR="001A5E2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полугодие 2014 года – 152 проекта нормати</w:t>
      </w:r>
      <w:r w:rsidR="001A5E22">
        <w:rPr>
          <w:rFonts w:ascii="Times New Roman" w:hAnsi="Times New Roman" w:cs="Times New Roman"/>
          <w:bCs/>
          <w:sz w:val="28"/>
          <w:szCs w:val="28"/>
        </w:rPr>
        <w:t>в</w:t>
      </w:r>
      <w:r w:rsidR="001A5E22">
        <w:rPr>
          <w:rFonts w:ascii="Times New Roman" w:hAnsi="Times New Roman" w:cs="Times New Roman"/>
          <w:bCs/>
          <w:sz w:val="28"/>
          <w:szCs w:val="28"/>
        </w:rPr>
        <w:t>н</w:t>
      </w:r>
      <w:r w:rsidR="00001C11">
        <w:rPr>
          <w:rFonts w:ascii="Times New Roman" w:hAnsi="Times New Roman" w:cs="Times New Roman"/>
          <w:bCs/>
          <w:sz w:val="28"/>
          <w:szCs w:val="28"/>
        </w:rPr>
        <w:t>ого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1C11">
        <w:rPr>
          <w:rFonts w:ascii="Times New Roman" w:hAnsi="Times New Roman" w:cs="Times New Roman"/>
          <w:bCs/>
          <w:sz w:val="28"/>
          <w:szCs w:val="28"/>
        </w:rPr>
        <w:t>ого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1C11">
        <w:rPr>
          <w:rFonts w:ascii="Times New Roman" w:hAnsi="Times New Roman" w:cs="Times New Roman"/>
          <w:bCs/>
          <w:sz w:val="28"/>
          <w:szCs w:val="28"/>
        </w:rPr>
        <w:t>а</w:t>
      </w:r>
      <w:r w:rsidR="001A5E22">
        <w:rPr>
          <w:rFonts w:ascii="Times New Roman" w:hAnsi="Times New Roman" w:cs="Times New Roman"/>
          <w:bCs/>
          <w:sz w:val="28"/>
          <w:szCs w:val="28"/>
        </w:rPr>
        <w:t xml:space="preserve"> и 15 нормативных правовых актов соответственно</w:t>
      </w:r>
      <w:proofErr w:type="gramEnd"/>
      <w:r w:rsidR="001A5E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76174">
        <w:rPr>
          <w:rFonts w:ascii="Times New Roman" w:hAnsi="Times New Roman" w:cs="Times New Roman"/>
          <w:bCs/>
          <w:sz w:val="28"/>
          <w:szCs w:val="28"/>
        </w:rPr>
        <w:t>о</w:t>
      </w:r>
      <w:r w:rsidR="00976174">
        <w:rPr>
          <w:rFonts w:ascii="Times New Roman" w:hAnsi="Times New Roman" w:cs="Times New Roman"/>
          <w:bCs/>
          <w:sz w:val="28"/>
          <w:szCs w:val="28"/>
        </w:rPr>
        <w:t>лугодие 2014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1</w:t>
      </w:r>
      <w:r w:rsidR="00727A34">
        <w:rPr>
          <w:rFonts w:ascii="Times New Roman" w:hAnsi="Times New Roman" w:cs="Times New Roman"/>
          <w:bCs/>
          <w:sz w:val="28"/>
          <w:szCs w:val="28"/>
        </w:rPr>
        <w:t>81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проект нормативн</w:t>
      </w:r>
      <w:r w:rsidR="003A060F">
        <w:rPr>
          <w:rFonts w:ascii="Times New Roman" w:hAnsi="Times New Roman" w:cs="Times New Roman"/>
          <w:bCs/>
          <w:sz w:val="28"/>
          <w:szCs w:val="28"/>
        </w:rPr>
        <w:t>ого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3A060F">
        <w:rPr>
          <w:rFonts w:ascii="Times New Roman" w:hAnsi="Times New Roman" w:cs="Times New Roman"/>
          <w:bCs/>
          <w:sz w:val="28"/>
          <w:szCs w:val="28"/>
        </w:rPr>
        <w:t>ого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3A060F">
        <w:rPr>
          <w:rFonts w:ascii="Times New Roman" w:hAnsi="Times New Roman" w:cs="Times New Roman"/>
          <w:bCs/>
          <w:sz w:val="28"/>
          <w:szCs w:val="28"/>
        </w:rPr>
        <w:t>а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76CB3">
        <w:rPr>
          <w:rFonts w:ascii="Times New Roman" w:hAnsi="Times New Roman" w:cs="Times New Roman"/>
          <w:bCs/>
          <w:sz w:val="28"/>
          <w:szCs w:val="28"/>
        </w:rPr>
        <w:t xml:space="preserve"> 36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нормати</w:t>
      </w:r>
      <w:r w:rsidR="000A6EC4">
        <w:rPr>
          <w:rFonts w:ascii="Times New Roman" w:hAnsi="Times New Roman" w:cs="Times New Roman"/>
          <w:bCs/>
          <w:sz w:val="28"/>
          <w:szCs w:val="28"/>
        </w:rPr>
        <w:t>в</w:t>
      </w:r>
      <w:r w:rsidR="000A6EC4">
        <w:rPr>
          <w:rFonts w:ascii="Times New Roman" w:hAnsi="Times New Roman" w:cs="Times New Roman"/>
          <w:bCs/>
          <w:sz w:val="28"/>
          <w:szCs w:val="28"/>
        </w:rPr>
        <w:t>ных правовых акт</w:t>
      </w:r>
      <w:r w:rsidR="00976174">
        <w:rPr>
          <w:rFonts w:ascii="Times New Roman" w:hAnsi="Times New Roman" w:cs="Times New Roman"/>
          <w:bCs/>
          <w:sz w:val="28"/>
          <w:szCs w:val="28"/>
        </w:rPr>
        <w:t>ов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0A6EC4">
        <w:rPr>
          <w:rFonts w:ascii="Times New Roman" w:hAnsi="Times New Roman" w:cs="Times New Roman"/>
          <w:bCs/>
          <w:sz w:val="28"/>
          <w:szCs w:val="28"/>
        </w:rPr>
        <w:t>)</w:t>
      </w:r>
      <w:r w:rsidR="00D32A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0C4C" w:rsidRPr="00EA0C4C" w:rsidRDefault="00EA0C4C" w:rsidP="0083777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 отметить, 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83777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147F21">
        <w:rPr>
          <w:rFonts w:ascii="Times New Roman" w:hAnsi="Times New Roman" w:cs="Times New Roman"/>
          <w:bCs/>
          <w:sz w:val="28"/>
          <w:szCs w:val="28"/>
        </w:rPr>
        <w:t>План</w:t>
      </w:r>
      <w:r w:rsidR="00837775">
        <w:rPr>
          <w:rFonts w:ascii="Times New Roman" w:hAnsi="Times New Roman" w:cs="Times New Roman"/>
          <w:bCs/>
          <w:sz w:val="28"/>
          <w:szCs w:val="28"/>
        </w:rPr>
        <w:t>у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</w:t>
      </w:r>
      <w:r w:rsidR="00147F21">
        <w:rPr>
          <w:rFonts w:ascii="Times New Roman" w:hAnsi="Times New Roman" w:cs="Times New Roman"/>
          <w:bCs/>
          <w:sz w:val="28"/>
          <w:szCs w:val="28"/>
        </w:rPr>
        <w:t>н</w:t>
      </w:r>
      <w:r w:rsidR="00147F21">
        <w:rPr>
          <w:rFonts w:ascii="Times New Roman" w:hAnsi="Times New Roman" w:cs="Times New Roman"/>
          <w:bCs/>
          <w:sz w:val="28"/>
          <w:szCs w:val="28"/>
        </w:rPr>
        <w:t>ной экспертизы нормативных правовых актов Главы Республики Коми, Прав</w:t>
      </w:r>
      <w:r w:rsidR="00147F21">
        <w:rPr>
          <w:rFonts w:ascii="Times New Roman" w:hAnsi="Times New Roman" w:cs="Times New Roman"/>
          <w:bCs/>
          <w:sz w:val="28"/>
          <w:szCs w:val="28"/>
        </w:rPr>
        <w:t>и</w:t>
      </w:r>
      <w:r w:rsidR="00147F21">
        <w:rPr>
          <w:rFonts w:ascii="Times New Roman" w:hAnsi="Times New Roman" w:cs="Times New Roman"/>
          <w:bCs/>
          <w:sz w:val="28"/>
          <w:szCs w:val="28"/>
        </w:rPr>
        <w:t>тельства Республики Коми, Администрации на 201</w:t>
      </w:r>
      <w:r w:rsidR="00837775">
        <w:rPr>
          <w:rFonts w:ascii="Times New Roman" w:hAnsi="Times New Roman" w:cs="Times New Roman"/>
          <w:bCs/>
          <w:sz w:val="28"/>
          <w:szCs w:val="28"/>
        </w:rPr>
        <w:t>5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8081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1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8081E">
        <w:rPr>
          <w:rFonts w:ascii="Times New Roman" w:hAnsi="Times New Roman" w:cs="Times New Roman"/>
          <w:bCs/>
          <w:sz w:val="28"/>
          <w:szCs w:val="28"/>
        </w:rPr>
        <w:t xml:space="preserve"> полугодии 2015 года было запланировано проведение антикоррупционной экспертизы в отн</w:t>
      </w:r>
      <w:r w:rsidR="0008081E">
        <w:rPr>
          <w:rFonts w:ascii="Times New Roman" w:hAnsi="Times New Roman" w:cs="Times New Roman"/>
          <w:bCs/>
          <w:sz w:val="28"/>
          <w:szCs w:val="28"/>
        </w:rPr>
        <w:t>о</w:t>
      </w:r>
      <w:r w:rsidR="0008081E">
        <w:rPr>
          <w:rFonts w:ascii="Times New Roman" w:hAnsi="Times New Roman" w:cs="Times New Roman"/>
          <w:bCs/>
          <w:sz w:val="28"/>
          <w:szCs w:val="28"/>
        </w:rPr>
        <w:t xml:space="preserve">шении 23 нормативных правовых актов, фактически проведена экспертиза в отношении  18 нормативных правовых актов, так как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37775">
        <w:rPr>
          <w:rFonts w:ascii="Times New Roman" w:hAnsi="Times New Roman" w:cs="Times New Roman"/>
          <w:bCs/>
          <w:sz w:val="28"/>
          <w:szCs w:val="28"/>
        </w:rPr>
        <w:t xml:space="preserve"> полугодии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8081E">
        <w:rPr>
          <w:rFonts w:ascii="Times New Roman" w:hAnsi="Times New Roman" w:cs="Times New Roman"/>
          <w:bCs/>
          <w:sz w:val="28"/>
          <w:szCs w:val="28"/>
        </w:rPr>
        <w:t>вместо запланированной антикоррупционной экспертизы в отношении 26</w:t>
      </w:r>
      <w:proofErr w:type="gramEnd"/>
      <w:r w:rsidR="0008081E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="0008081E">
        <w:rPr>
          <w:rFonts w:ascii="Times New Roman" w:hAnsi="Times New Roman" w:cs="Times New Roman"/>
          <w:bCs/>
          <w:sz w:val="28"/>
          <w:szCs w:val="28"/>
        </w:rPr>
        <w:t>р</w:t>
      </w:r>
      <w:r w:rsidR="0008081E">
        <w:rPr>
          <w:rFonts w:ascii="Times New Roman" w:hAnsi="Times New Roman" w:cs="Times New Roman"/>
          <w:bCs/>
          <w:sz w:val="28"/>
          <w:szCs w:val="28"/>
        </w:rPr>
        <w:t>мативных правовых актов была провед</w:t>
      </w:r>
      <w:r w:rsidR="00837775">
        <w:rPr>
          <w:rFonts w:ascii="Times New Roman" w:hAnsi="Times New Roman" w:cs="Times New Roman"/>
          <w:bCs/>
          <w:sz w:val="28"/>
          <w:szCs w:val="28"/>
        </w:rPr>
        <w:t>е</w:t>
      </w:r>
      <w:r w:rsidR="0008081E">
        <w:rPr>
          <w:rFonts w:ascii="Times New Roman" w:hAnsi="Times New Roman" w:cs="Times New Roman"/>
          <w:bCs/>
          <w:sz w:val="28"/>
          <w:szCs w:val="28"/>
        </w:rPr>
        <w:t>на антикоррупционная экспертиза</w:t>
      </w:r>
      <w:r w:rsidR="00837775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="00837775">
        <w:rPr>
          <w:rFonts w:ascii="Times New Roman" w:hAnsi="Times New Roman" w:cs="Times New Roman"/>
          <w:bCs/>
          <w:sz w:val="28"/>
          <w:szCs w:val="28"/>
        </w:rPr>
        <w:t>т</w:t>
      </w:r>
      <w:r w:rsidR="00837775">
        <w:rPr>
          <w:rFonts w:ascii="Times New Roman" w:hAnsi="Times New Roman" w:cs="Times New Roman"/>
          <w:bCs/>
          <w:sz w:val="28"/>
          <w:szCs w:val="28"/>
        </w:rPr>
        <w:t xml:space="preserve">ношении </w:t>
      </w:r>
      <w:r w:rsidR="00722079" w:rsidRPr="00722079">
        <w:rPr>
          <w:rFonts w:ascii="Times New Roman" w:hAnsi="Times New Roman" w:cs="Times New Roman"/>
          <w:bCs/>
          <w:sz w:val="28"/>
          <w:szCs w:val="28"/>
        </w:rPr>
        <w:t>3</w:t>
      </w:r>
      <w:r w:rsidR="00722079">
        <w:rPr>
          <w:rFonts w:ascii="Times New Roman" w:hAnsi="Times New Roman" w:cs="Times New Roman"/>
          <w:bCs/>
          <w:sz w:val="28"/>
          <w:szCs w:val="28"/>
        </w:rPr>
        <w:t>2</w:t>
      </w:r>
      <w:r w:rsidR="00837775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актов.</w:t>
      </w:r>
    </w:p>
    <w:p w:rsidR="00E25B26" w:rsidRDefault="00406889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5D6C">
        <w:rPr>
          <w:rFonts w:ascii="Times New Roman" w:hAnsi="Times New Roman" w:cs="Times New Roman"/>
          <w:bCs/>
          <w:sz w:val="28"/>
          <w:szCs w:val="28"/>
        </w:rPr>
        <w:t>о результатам  антикоррупционной экспертизы нормативных правовых актов (проектов), осуществленной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указанный период,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 заключения </w:t>
      </w:r>
      <w:r w:rsidR="00F52166">
        <w:rPr>
          <w:rFonts w:ascii="Times New Roman" w:hAnsi="Times New Roman" w:cs="Times New Roman"/>
          <w:bCs/>
          <w:sz w:val="28"/>
          <w:szCs w:val="28"/>
        </w:rPr>
        <w:t>по резул</w:t>
      </w:r>
      <w:r w:rsidR="00F52166">
        <w:rPr>
          <w:rFonts w:ascii="Times New Roman" w:hAnsi="Times New Roman" w:cs="Times New Roman"/>
          <w:bCs/>
          <w:sz w:val="28"/>
          <w:szCs w:val="28"/>
        </w:rPr>
        <w:t>ь</w:t>
      </w:r>
      <w:r w:rsidR="00F52166">
        <w:rPr>
          <w:rFonts w:ascii="Times New Roman" w:hAnsi="Times New Roman" w:cs="Times New Roman"/>
          <w:bCs/>
          <w:sz w:val="28"/>
          <w:szCs w:val="28"/>
        </w:rPr>
        <w:t>татам проведения антикоррупционной экспертизы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(проектах) коррупциогенных </w:t>
      </w:r>
      <w:r w:rsidR="00845B35">
        <w:rPr>
          <w:rFonts w:ascii="Times New Roman" w:hAnsi="Times New Roman" w:cs="Times New Roman"/>
          <w:bCs/>
          <w:sz w:val="28"/>
          <w:szCs w:val="28"/>
        </w:rPr>
        <w:t xml:space="preserve">факторов </w:t>
      </w:r>
      <w:r w:rsidR="00565D6C">
        <w:rPr>
          <w:rFonts w:ascii="Times New Roman" w:hAnsi="Times New Roman" w:cs="Times New Roman"/>
          <w:bCs/>
          <w:sz w:val="28"/>
          <w:szCs w:val="28"/>
        </w:rPr>
        <w:t>составлены в о</w:t>
      </w:r>
      <w:r w:rsidR="00565D6C">
        <w:rPr>
          <w:rFonts w:ascii="Times New Roman" w:hAnsi="Times New Roman" w:cs="Times New Roman"/>
          <w:bCs/>
          <w:sz w:val="28"/>
          <w:szCs w:val="28"/>
        </w:rPr>
        <w:t>т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ношении </w:t>
      </w:r>
      <w:r w:rsidR="00D0195C">
        <w:rPr>
          <w:rFonts w:ascii="Times New Roman" w:hAnsi="Times New Roman" w:cs="Times New Roman"/>
          <w:bCs/>
          <w:sz w:val="28"/>
          <w:szCs w:val="28"/>
        </w:rPr>
        <w:t>7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D6C">
        <w:rPr>
          <w:rFonts w:ascii="Times New Roman" w:hAnsi="Times New Roman" w:cs="Times New Roman"/>
          <w:bCs/>
          <w:sz w:val="28"/>
          <w:szCs w:val="28"/>
        </w:rPr>
        <w:t>актов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809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09B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09BC">
        <w:rPr>
          <w:rFonts w:ascii="Times New Roman" w:hAnsi="Times New Roman" w:cs="Times New Roman"/>
          <w:bCs/>
          <w:sz w:val="28"/>
          <w:szCs w:val="28"/>
        </w:rPr>
        <w:t xml:space="preserve"> полугодии 2015 года – 11 актов, во </w:t>
      </w:r>
      <w:r w:rsidR="00E809B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809BC">
        <w:rPr>
          <w:rFonts w:ascii="Times New Roman" w:hAnsi="Times New Roman" w:cs="Times New Roman"/>
          <w:bCs/>
          <w:sz w:val="28"/>
          <w:szCs w:val="28"/>
        </w:rPr>
        <w:t xml:space="preserve"> полугодии 2014 года - 7 актов, </w:t>
      </w:r>
      <w:r w:rsidR="002E37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37EE">
        <w:rPr>
          <w:rFonts w:ascii="Times New Roman" w:hAnsi="Times New Roman" w:cs="Times New Roman"/>
          <w:bCs/>
          <w:sz w:val="28"/>
          <w:szCs w:val="28"/>
        </w:rPr>
        <w:t xml:space="preserve"> полугодии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2014 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года – в отношении </w:t>
      </w:r>
      <w:r w:rsidR="00976174">
        <w:rPr>
          <w:rFonts w:ascii="Times New Roman" w:hAnsi="Times New Roman" w:cs="Times New Roman"/>
          <w:bCs/>
          <w:sz w:val="28"/>
          <w:szCs w:val="28"/>
        </w:rPr>
        <w:t>12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 актов)</w:t>
      </w:r>
      <w:r w:rsidR="00565D6C">
        <w:rPr>
          <w:rFonts w:ascii="Times New Roman" w:hAnsi="Times New Roman" w:cs="Times New Roman"/>
          <w:bCs/>
          <w:sz w:val="28"/>
          <w:szCs w:val="28"/>
        </w:rPr>
        <w:t>.</w:t>
      </w:r>
      <w:r w:rsidR="00E25B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25B26" w:rsidRDefault="00E25B2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52166">
        <w:rPr>
          <w:rFonts w:ascii="Times New Roman" w:hAnsi="Times New Roman" w:cs="Times New Roman"/>
          <w:bCs/>
          <w:sz w:val="28"/>
          <w:szCs w:val="28"/>
        </w:rPr>
        <w:t>ониторингу  подверглись результаты проведенной антикоррупционной экспертизы нормативных правовых актов (проектов)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отраженные в заключениях, а также результаты проведенной антикоррупционной экспертизы проектов нормативных правовых актов,  не отраженные в заключениях</w:t>
      </w:r>
      <w:r w:rsidR="006760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тем,  что коррупциогенные факторы были устранены на стадии работы над проектами.</w:t>
      </w:r>
    </w:p>
    <w:p w:rsidR="00F0057D" w:rsidRDefault="00F5216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>В ходе проведенного мониторинга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 xml:space="preserve"> установлены часто встречающиеся коррупциогенные факторы в  нормативных правовых актах (их проектах),  пр</w:t>
      </w:r>
      <w:r w:rsidR="00F0057D">
        <w:rPr>
          <w:rFonts w:ascii="Times New Roman" w:hAnsi="Times New Roman" w:cs="Times New Roman"/>
          <w:bCs/>
          <w:sz w:val="28"/>
          <w:szCs w:val="28"/>
        </w:rPr>
        <w:t>о</w:t>
      </w:r>
      <w:r w:rsidR="00F0057D">
        <w:rPr>
          <w:rFonts w:ascii="Times New Roman" w:hAnsi="Times New Roman" w:cs="Times New Roman"/>
          <w:bCs/>
          <w:sz w:val="28"/>
          <w:szCs w:val="28"/>
        </w:rPr>
        <w:t>анализировано их количество.</w:t>
      </w:r>
    </w:p>
    <w:p w:rsidR="006760B7" w:rsidRDefault="006760B7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за период 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0D46E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B5F22">
        <w:rPr>
          <w:rFonts w:ascii="Times New Roman" w:hAnsi="Times New Roman" w:cs="Times New Roman"/>
          <w:sz w:val="28"/>
          <w:szCs w:val="28"/>
        </w:rPr>
        <w:t>2015 года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 по 3</w:t>
      </w:r>
      <w:r w:rsidR="000D46EB">
        <w:rPr>
          <w:rFonts w:ascii="Times New Roman" w:hAnsi="Times New Roman" w:cs="Times New Roman"/>
          <w:sz w:val="28"/>
          <w:szCs w:val="28"/>
        </w:rPr>
        <w:t>1 декабря</w:t>
      </w:r>
      <w:r w:rsidR="000B5F22">
        <w:rPr>
          <w:rFonts w:ascii="Times New Roman" w:hAnsi="Times New Roman" w:cs="Times New Roman"/>
          <w:sz w:val="28"/>
          <w:szCs w:val="28"/>
        </w:rPr>
        <w:t xml:space="preserve"> 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201</w:t>
      </w:r>
      <w:r w:rsidR="000B5F22">
        <w:rPr>
          <w:rFonts w:ascii="Times New Roman" w:hAnsi="Times New Roman" w:cs="Times New Roman"/>
          <w:sz w:val="28"/>
          <w:szCs w:val="28"/>
        </w:rPr>
        <w:t>5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95C" w:rsidRPr="00D0195C">
        <w:rPr>
          <w:rFonts w:ascii="Times New Roman" w:hAnsi="Times New Roman" w:cs="Times New Roman"/>
          <w:bCs/>
          <w:sz w:val="28"/>
          <w:szCs w:val="28"/>
        </w:rPr>
        <w:t>10</w:t>
      </w:r>
      <w:r w:rsidR="00EE1199" w:rsidRPr="00D0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0A6E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57160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35716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57160">
        <w:rPr>
          <w:rFonts w:ascii="Times New Roman" w:hAnsi="Times New Roman" w:cs="Times New Roman"/>
          <w:bCs/>
          <w:sz w:val="28"/>
          <w:szCs w:val="28"/>
        </w:rPr>
        <w:t xml:space="preserve"> полугодии 2015 года – 23, во  </w:t>
      </w:r>
      <w:r w:rsidR="0035716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57160">
        <w:rPr>
          <w:rFonts w:ascii="Times New Roman" w:hAnsi="Times New Roman" w:cs="Times New Roman"/>
          <w:bCs/>
          <w:sz w:val="28"/>
          <w:szCs w:val="28"/>
        </w:rPr>
        <w:t xml:space="preserve"> полугодии 2014 года -  13, </w:t>
      </w:r>
      <w:r w:rsidR="002E37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</w:t>
      </w:r>
      <w:r w:rsidR="002E37EE">
        <w:rPr>
          <w:rFonts w:ascii="Times New Roman" w:hAnsi="Times New Roman" w:cs="Times New Roman"/>
          <w:bCs/>
          <w:sz w:val="28"/>
          <w:szCs w:val="28"/>
        </w:rPr>
        <w:t>и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30</w:t>
      </w:r>
      <w:r w:rsidR="00547D1B">
        <w:rPr>
          <w:rFonts w:ascii="Times New Roman" w:hAnsi="Times New Roman" w:cs="Times New Roman"/>
          <w:bCs/>
          <w:sz w:val="28"/>
          <w:szCs w:val="28"/>
        </w:rPr>
        <w:t>).</w:t>
      </w:r>
      <w:r w:rsidR="002E37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767" w:rsidRDefault="00135767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6889" w:rsidRPr="006B06E9" w:rsidRDefault="00565D6C" w:rsidP="0015183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06E9">
        <w:rPr>
          <w:rFonts w:ascii="Times New Roman" w:eastAsia="Calibri" w:hAnsi="Times New Roman" w:cs="Times New Roman"/>
          <w:sz w:val="28"/>
          <w:szCs w:val="28"/>
        </w:rPr>
        <w:t>Анализ результат</w:t>
      </w:r>
      <w:r w:rsidR="00AE4E75">
        <w:rPr>
          <w:rFonts w:ascii="Times New Roman" w:eastAsia="Calibri" w:hAnsi="Times New Roman" w:cs="Times New Roman"/>
          <w:sz w:val="28"/>
          <w:szCs w:val="28"/>
        </w:rPr>
        <w:t>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Pr="0044790B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показ</w:t>
      </w:r>
      <w:r w:rsidR="00E47CFB">
        <w:rPr>
          <w:rFonts w:ascii="Times New Roman" w:eastAsia="Calibri" w:hAnsi="Times New Roman" w:cs="Times New Roman"/>
          <w:sz w:val="28"/>
          <w:szCs w:val="28"/>
        </w:rPr>
        <w:t>ал</w:t>
      </w:r>
      <w:r w:rsidRPr="006B06E9">
        <w:rPr>
          <w:rFonts w:ascii="Times New Roman" w:eastAsia="Calibri" w:hAnsi="Times New Roman" w:cs="Times New Roman"/>
          <w:sz w:val="28"/>
          <w:szCs w:val="28"/>
        </w:rPr>
        <w:t>, что преобладающими типичными коррупциогенн</w:t>
      </w:r>
      <w:r w:rsidRPr="006B06E9">
        <w:rPr>
          <w:rFonts w:ascii="Times New Roman" w:eastAsia="Calibri" w:hAnsi="Times New Roman" w:cs="Times New Roman"/>
          <w:sz w:val="28"/>
          <w:szCs w:val="28"/>
        </w:rPr>
        <w:t>ы</w:t>
      </w:r>
      <w:r w:rsidRPr="006B06E9">
        <w:rPr>
          <w:rFonts w:ascii="Times New Roman" w:eastAsia="Calibri" w:hAnsi="Times New Roman" w:cs="Times New Roman"/>
          <w:sz w:val="28"/>
          <w:szCs w:val="28"/>
        </w:rPr>
        <w:t>ми факторами являются</w:t>
      </w:r>
      <w:r w:rsidR="00406889" w:rsidRPr="006B06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288" w:rsidRPr="001F5D1D" w:rsidRDefault="00A3750D" w:rsidP="002D73A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отсутствие или неполнота административных процедур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- 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</w:t>
      </w:r>
      <w:r w:rsidRPr="001F5D1D">
        <w:rPr>
          <w:rFonts w:ascii="Times New Roman" w:eastAsia="Calibri" w:hAnsi="Times New Roman" w:cs="Times New Roman"/>
          <w:sz w:val="28"/>
          <w:szCs w:val="28"/>
        </w:rPr>
        <w:t>д</w:t>
      </w:r>
      <w:r w:rsidRPr="001F5D1D">
        <w:rPr>
          <w:rFonts w:ascii="Times New Roman" w:eastAsia="Calibri" w:hAnsi="Times New Roman" w:cs="Times New Roman"/>
          <w:sz w:val="28"/>
          <w:szCs w:val="28"/>
        </w:rPr>
        <w:t>но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>го из элементов такого порядка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195C">
        <w:rPr>
          <w:rFonts w:ascii="Times New Roman" w:eastAsia="Calibri" w:hAnsi="Times New Roman" w:cs="Times New Roman"/>
          <w:sz w:val="28"/>
          <w:szCs w:val="28"/>
        </w:rPr>
        <w:t>7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факторов в</w:t>
      </w:r>
      <w:r w:rsidR="00D0195C">
        <w:rPr>
          <w:rFonts w:ascii="Times New Roman" w:eastAsia="Calibri" w:hAnsi="Times New Roman" w:cs="Times New Roman"/>
          <w:sz w:val="28"/>
          <w:szCs w:val="28"/>
        </w:rPr>
        <w:t>о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="00D0195C" w:rsidRPr="00976174">
        <w:rPr>
          <w:rFonts w:ascii="Times New Roman" w:eastAsia="Calibri" w:hAnsi="Times New Roman" w:cs="Times New Roman"/>
          <w:sz w:val="28"/>
          <w:szCs w:val="28"/>
        </w:rPr>
        <w:t>I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EE1199">
        <w:rPr>
          <w:rFonts w:ascii="Times New Roman" w:eastAsia="Calibri" w:hAnsi="Times New Roman" w:cs="Times New Roman"/>
          <w:sz w:val="28"/>
          <w:szCs w:val="28"/>
        </w:rPr>
        <w:t>5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218C">
        <w:rPr>
          <w:rFonts w:ascii="Times New Roman" w:eastAsia="Calibri" w:hAnsi="Times New Roman" w:cs="Times New Roman"/>
          <w:sz w:val="28"/>
          <w:szCs w:val="28"/>
        </w:rPr>
        <w:t>8</w:t>
      </w:r>
      <w:r w:rsidR="005E218C" w:rsidRPr="00976174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="005E218C" w:rsidRPr="00976174">
        <w:rPr>
          <w:rFonts w:ascii="Times New Roman" w:eastAsia="Calibri" w:hAnsi="Times New Roman" w:cs="Times New Roman"/>
          <w:sz w:val="28"/>
          <w:szCs w:val="28"/>
        </w:rPr>
        <w:t>к</w:t>
      </w:r>
      <w:r w:rsidR="005E218C" w:rsidRPr="00976174">
        <w:rPr>
          <w:rFonts w:ascii="Times New Roman" w:eastAsia="Calibri" w:hAnsi="Times New Roman" w:cs="Times New Roman"/>
          <w:sz w:val="28"/>
          <w:szCs w:val="28"/>
        </w:rPr>
        <w:t>торов в I полугодии 201</w:t>
      </w:r>
      <w:r w:rsidR="005E218C">
        <w:rPr>
          <w:rFonts w:ascii="Times New Roman" w:eastAsia="Calibri" w:hAnsi="Times New Roman" w:cs="Times New Roman"/>
          <w:sz w:val="28"/>
          <w:szCs w:val="28"/>
        </w:rPr>
        <w:t>5</w:t>
      </w:r>
      <w:r w:rsidR="005E218C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E218C">
        <w:rPr>
          <w:rFonts w:ascii="Times New Roman" w:eastAsia="Calibri" w:hAnsi="Times New Roman" w:cs="Times New Roman"/>
          <w:sz w:val="28"/>
          <w:szCs w:val="28"/>
        </w:rPr>
        <w:t>,  5</w:t>
      </w:r>
      <w:r w:rsidR="005E218C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факторов во II полугодии 2014 года</w:t>
      </w:r>
      <w:r w:rsidR="005E21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174">
        <w:rPr>
          <w:rFonts w:ascii="Times New Roman" w:eastAsia="Calibri" w:hAnsi="Times New Roman" w:cs="Times New Roman"/>
          <w:sz w:val="28"/>
          <w:szCs w:val="28"/>
        </w:rPr>
        <w:t>11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ров в I полугодии 2014 года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>)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AB282E" w:rsidRPr="00AB282E" w:rsidRDefault="001F5D1D" w:rsidP="002D73A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28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Например, в соответствии с одним из пунктов </w:t>
      </w:r>
      <w:r w:rsidR="00AB282E" w:rsidRPr="00AB282E">
        <w:rPr>
          <w:rFonts w:ascii="Times New Roman" w:eastAsia="Calibri" w:hAnsi="Times New Roman" w:cs="Times New Roman"/>
          <w:sz w:val="28"/>
          <w:szCs w:val="28"/>
        </w:rPr>
        <w:t>По</w:t>
      </w:r>
      <w:r w:rsidR="00D0195C">
        <w:rPr>
          <w:rFonts w:ascii="Times New Roman" w:eastAsia="Calibri" w:hAnsi="Times New Roman" w:cs="Times New Roman"/>
          <w:sz w:val="28"/>
          <w:szCs w:val="28"/>
        </w:rPr>
        <w:t>рядка</w:t>
      </w:r>
      <w:r w:rsidR="00AB282E" w:rsidRPr="00AB28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195C">
        <w:rPr>
          <w:rFonts w:ascii="Times New Roman" w:eastAsia="Calibri" w:hAnsi="Times New Roman" w:cs="Times New Roman"/>
          <w:sz w:val="28"/>
          <w:szCs w:val="28"/>
        </w:rPr>
        <w:t>предусматрив</w:t>
      </w:r>
      <w:r w:rsidR="00D0195C">
        <w:rPr>
          <w:rFonts w:ascii="Times New Roman" w:eastAsia="Calibri" w:hAnsi="Times New Roman" w:cs="Times New Roman"/>
          <w:sz w:val="28"/>
          <w:szCs w:val="28"/>
        </w:rPr>
        <w:t>а</w:t>
      </w:r>
      <w:r w:rsidR="00D0195C">
        <w:rPr>
          <w:rFonts w:ascii="Times New Roman" w:eastAsia="Calibri" w:hAnsi="Times New Roman" w:cs="Times New Roman"/>
          <w:sz w:val="28"/>
          <w:szCs w:val="28"/>
        </w:rPr>
        <w:t xml:space="preserve">ющего предоставление субсидии, </w:t>
      </w:r>
      <w:r w:rsidR="00AB282E" w:rsidRPr="00AB282E">
        <w:rPr>
          <w:rFonts w:ascii="Times New Roman" w:eastAsia="Calibri" w:hAnsi="Times New Roman" w:cs="Times New Roman"/>
          <w:sz w:val="28"/>
          <w:szCs w:val="28"/>
        </w:rPr>
        <w:t xml:space="preserve">определено, что </w:t>
      </w:r>
      <w:r w:rsidR="00D0195C">
        <w:rPr>
          <w:rFonts w:ascii="Times New Roman" w:eastAsia="Calibri" w:hAnsi="Times New Roman" w:cs="Times New Roman"/>
          <w:sz w:val="28"/>
          <w:szCs w:val="28"/>
        </w:rPr>
        <w:t>документы заявителем п</w:t>
      </w:r>
      <w:r w:rsidR="00D0195C">
        <w:rPr>
          <w:rFonts w:ascii="Times New Roman" w:eastAsia="Calibri" w:hAnsi="Times New Roman" w:cs="Times New Roman"/>
          <w:sz w:val="28"/>
          <w:szCs w:val="28"/>
        </w:rPr>
        <w:t>о</w:t>
      </w:r>
      <w:r w:rsidR="00D0195C">
        <w:rPr>
          <w:rFonts w:ascii="Times New Roman" w:eastAsia="Calibri" w:hAnsi="Times New Roman" w:cs="Times New Roman"/>
          <w:sz w:val="28"/>
          <w:szCs w:val="28"/>
        </w:rPr>
        <w:t>даются не позднее 1 мая.</w:t>
      </w:r>
    </w:p>
    <w:p w:rsidR="00DF554E" w:rsidRPr="00AB282E" w:rsidRDefault="00AB282E" w:rsidP="002D73A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282E">
        <w:rPr>
          <w:rFonts w:ascii="Times New Roman" w:eastAsia="Calibri" w:hAnsi="Times New Roman" w:cs="Times New Roman"/>
          <w:sz w:val="28"/>
          <w:szCs w:val="28"/>
        </w:rPr>
        <w:t>Однако нормы По</w:t>
      </w:r>
      <w:r w:rsidR="00F37C1F">
        <w:rPr>
          <w:rFonts w:ascii="Times New Roman" w:eastAsia="Calibri" w:hAnsi="Times New Roman" w:cs="Times New Roman"/>
          <w:sz w:val="28"/>
          <w:szCs w:val="28"/>
        </w:rPr>
        <w:t xml:space="preserve">рядка </w:t>
      </w:r>
      <w:r w:rsidRPr="00AB282E">
        <w:rPr>
          <w:rFonts w:ascii="Times New Roman" w:eastAsia="Calibri" w:hAnsi="Times New Roman" w:cs="Times New Roman"/>
          <w:sz w:val="28"/>
          <w:szCs w:val="28"/>
        </w:rPr>
        <w:t xml:space="preserve">не предусматривают </w:t>
      </w:r>
      <w:r w:rsidR="00F37C1F">
        <w:rPr>
          <w:rFonts w:ascii="Times New Roman" w:eastAsia="Calibri" w:hAnsi="Times New Roman" w:cs="Times New Roman"/>
          <w:sz w:val="28"/>
          <w:szCs w:val="28"/>
        </w:rPr>
        <w:t>выдачи заявителю расписки о получении документов</w:t>
      </w:r>
      <w:r w:rsidRPr="00AB28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218C">
        <w:rPr>
          <w:rFonts w:ascii="Times New Roman" w:eastAsia="Calibri" w:hAnsi="Times New Roman" w:cs="Times New Roman"/>
          <w:sz w:val="28"/>
          <w:szCs w:val="28"/>
        </w:rPr>
        <w:t>В случае отказа заявителю в предоставлении субс</w:t>
      </w:r>
      <w:r w:rsidR="005E218C">
        <w:rPr>
          <w:rFonts w:ascii="Times New Roman" w:eastAsia="Calibri" w:hAnsi="Times New Roman" w:cs="Times New Roman"/>
          <w:sz w:val="28"/>
          <w:szCs w:val="28"/>
        </w:rPr>
        <w:t>и</w:t>
      </w:r>
      <w:r w:rsidR="005E218C">
        <w:rPr>
          <w:rFonts w:ascii="Times New Roman" w:eastAsia="Calibri" w:hAnsi="Times New Roman" w:cs="Times New Roman"/>
          <w:sz w:val="28"/>
          <w:szCs w:val="28"/>
        </w:rPr>
        <w:t>дии по основанию – несвоевременное представление документов, заявитель не сможет подтвердить факт своевременной подачи документов.</w:t>
      </w:r>
    </w:p>
    <w:p w:rsidR="00A3750D" w:rsidRDefault="002B748B" w:rsidP="002D73A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282E">
        <w:rPr>
          <w:rFonts w:ascii="Times New Roman" w:eastAsia="Calibri" w:hAnsi="Times New Roman" w:cs="Times New Roman"/>
          <w:sz w:val="28"/>
          <w:szCs w:val="28"/>
        </w:rPr>
        <w:t>Отсутствие порядка осуществления определенных действий  позволяет произвольно воспол</w:t>
      </w:r>
      <w:r w:rsidR="004620BB" w:rsidRPr="00AB282E">
        <w:rPr>
          <w:rFonts w:ascii="Times New Roman" w:eastAsia="Calibri" w:hAnsi="Times New Roman" w:cs="Times New Roman"/>
          <w:sz w:val="28"/>
          <w:szCs w:val="28"/>
        </w:rPr>
        <w:t>нять его на практике</w:t>
      </w:r>
      <w:r w:rsidR="00F37C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95C" w:rsidRDefault="00D0195C" w:rsidP="002D73A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19EB">
        <w:rPr>
          <w:rFonts w:ascii="Times New Roman" w:eastAsia="Calibri" w:hAnsi="Times New Roman" w:cs="Times New Roman"/>
          <w:sz w:val="28"/>
          <w:szCs w:val="28"/>
          <w:u w:val="single"/>
        </w:rPr>
        <w:t>широта дискреционных полномочий</w:t>
      </w:r>
      <w:r w:rsidRPr="00BE19EB">
        <w:rPr>
          <w:rFonts w:ascii="Times New Roman" w:eastAsia="Calibri" w:hAnsi="Times New Roman" w:cs="Times New Roman"/>
          <w:sz w:val="28"/>
          <w:szCs w:val="28"/>
        </w:rPr>
        <w:t xml:space="preserve"> – отсутствие или неопределе</w:t>
      </w:r>
      <w:r w:rsidRPr="00BE19EB">
        <w:rPr>
          <w:rFonts w:ascii="Times New Roman" w:eastAsia="Calibri" w:hAnsi="Times New Roman" w:cs="Times New Roman"/>
          <w:sz w:val="28"/>
          <w:szCs w:val="28"/>
        </w:rPr>
        <w:t>н</w:t>
      </w:r>
      <w:r w:rsidRPr="00BE19EB">
        <w:rPr>
          <w:rFonts w:ascii="Times New Roman" w:eastAsia="Calibri" w:hAnsi="Times New Roman" w:cs="Times New Roman"/>
          <w:sz w:val="28"/>
          <w:szCs w:val="28"/>
        </w:rPr>
        <w:t>ность сроков, условий или оснований принятия решения, наличие дублиру</w:t>
      </w:r>
      <w:r w:rsidRPr="00BE19EB">
        <w:rPr>
          <w:rFonts w:ascii="Times New Roman" w:eastAsia="Calibri" w:hAnsi="Times New Roman" w:cs="Times New Roman"/>
          <w:sz w:val="28"/>
          <w:szCs w:val="28"/>
        </w:rPr>
        <w:t>ю</w:t>
      </w:r>
      <w:r w:rsidRPr="00BE19EB">
        <w:rPr>
          <w:rFonts w:ascii="Times New Roman" w:eastAsia="Calibri" w:hAnsi="Times New Roman" w:cs="Times New Roman"/>
          <w:sz w:val="28"/>
          <w:szCs w:val="28"/>
        </w:rPr>
        <w:t>щих полномочий органов государственной власти или органов местного сам</w:t>
      </w:r>
      <w:r w:rsidRPr="00BE19EB">
        <w:rPr>
          <w:rFonts w:ascii="Times New Roman" w:eastAsia="Calibri" w:hAnsi="Times New Roman" w:cs="Times New Roman"/>
          <w:sz w:val="28"/>
          <w:szCs w:val="28"/>
        </w:rPr>
        <w:t>о</w:t>
      </w:r>
      <w:r w:rsidRPr="00BE19EB">
        <w:rPr>
          <w:rFonts w:ascii="Times New Roman" w:eastAsia="Calibri" w:hAnsi="Times New Roman" w:cs="Times New Roman"/>
          <w:sz w:val="28"/>
          <w:szCs w:val="28"/>
        </w:rPr>
        <w:t>управления (и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E19EB">
        <w:rPr>
          <w:rFonts w:ascii="Times New Roman" w:eastAsia="Calibri" w:hAnsi="Times New Roman" w:cs="Times New Roman"/>
          <w:sz w:val="28"/>
          <w:szCs w:val="28"/>
        </w:rPr>
        <w:t xml:space="preserve"> должностных лиц)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0659">
        <w:rPr>
          <w:rFonts w:ascii="Times New Roman" w:eastAsia="Calibri" w:hAnsi="Times New Roman" w:cs="Times New Roman"/>
          <w:sz w:val="28"/>
          <w:szCs w:val="28"/>
        </w:rPr>
        <w:t xml:space="preserve">1 фактор во </w:t>
      </w:r>
      <w:r w:rsidR="002006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0659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года, </w:t>
      </w:r>
      <w:r w:rsidR="005B43E8">
        <w:rPr>
          <w:rFonts w:ascii="Times New Roman" w:eastAsia="Calibri" w:hAnsi="Times New Roman" w:cs="Times New Roman"/>
          <w:sz w:val="28"/>
          <w:szCs w:val="28"/>
        </w:rPr>
        <w:t>11 фа</w:t>
      </w:r>
      <w:r w:rsidR="005B43E8">
        <w:rPr>
          <w:rFonts w:ascii="Times New Roman" w:eastAsia="Calibri" w:hAnsi="Times New Roman" w:cs="Times New Roman"/>
          <w:sz w:val="28"/>
          <w:szCs w:val="28"/>
        </w:rPr>
        <w:t>к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торов в </w:t>
      </w:r>
      <w:r w:rsidR="005B43E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года, 7 факторов во </w:t>
      </w:r>
      <w:r w:rsidR="005B43E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 полугодии 2014 года, </w:t>
      </w:r>
      <w:r>
        <w:rPr>
          <w:rFonts w:ascii="Times New Roman" w:eastAsia="Calibri" w:hAnsi="Times New Roman" w:cs="Times New Roman"/>
          <w:sz w:val="28"/>
          <w:szCs w:val="28"/>
        </w:rPr>
        <w:t>7 факт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2014 года).</w:t>
      </w:r>
      <w:proofErr w:type="gramEnd"/>
    </w:p>
    <w:p w:rsidR="00FE55D8" w:rsidRPr="00FE55D8" w:rsidRDefault="00D0195C" w:rsidP="002D73A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5496">
        <w:rPr>
          <w:rFonts w:ascii="Times New Roman" w:eastAsia="Calibri" w:hAnsi="Times New Roman" w:cs="Times New Roman"/>
          <w:sz w:val="28"/>
          <w:szCs w:val="28"/>
        </w:rPr>
        <w:t>Например,  одн</w:t>
      </w:r>
      <w:r w:rsidR="00FE55D8">
        <w:rPr>
          <w:rFonts w:ascii="Times New Roman" w:eastAsia="Calibri" w:hAnsi="Times New Roman" w:cs="Times New Roman"/>
          <w:sz w:val="28"/>
          <w:szCs w:val="28"/>
        </w:rPr>
        <w:t>им</w:t>
      </w:r>
      <w:r w:rsidRPr="00395496">
        <w:rPr>
          <w:rFonts w:ascii="Times New Roman" w:eastAsia="Calibri" w:hAnsi="Times New Roman" w:cs="Times New Roman"/>
          <w:sz w:val="28"/>
          <w:szCs w:val="28"/>
        </w:rPr>
        <w:t xml:space="preserve"> из По</w:t>
      </w:r>
      <w:r w:rsidR="00FE55D8">
        <w:rPr>
          <w:rFonts w:ascii="Times New Roman" w:eastAsia="Calibri" w:hAnsi="Times New Roman" w:cs="Times New Roman"/>
          <w:sz w:val="28"/>
          <w:szCs w:val="28"/>
        </w:rPr>
        <w:t xml:space="preserve">ложений установлено, что Агентство 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исполняет функции организатора деятельности Комиссии по вопросам, связанным с ок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а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занием государственной поддержки технологическим и индустриальным па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р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кам в Республике Коми;</w:t>
      </w:r>
      <w:r w:rsidR="00A47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готовит экспертное заключение о соответствии усл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о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вий и результатов деятельности технологических, индустриальных парков, управляющих организаций, резидентов технологических, индустриальных па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р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>ков законодательству и направляет его в Комиссию по вопросам, связанным с оказанием государственной поддержки технологическим и индустри</w:t>
      </w:r>
      <w:r w:rsidR="00A47425">
        <w:rPr>
          <w:rFonts w:ascii="Times New Roman" w:eastAsia="Calibri" w:hAnsi="Times New Roman" w:cs="Times New Roman"/>
          <w:sz w:val="28"/>
          <w:szCs w:val="28"/>
        </w:rPr>
        <w:t>альным паркам в Республике Коми.</w:t>
      </w:r>
    </w:p>
    <w:p w:rsidR="00FE55D8" w:rsidRPr="00FE55D8" w:rsidRDefault="00005B46" w:rsidP="002D73AC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в соответствии с иным П</w:t>
      </w:r>
      <w:r w:rsidR="00A47425">
        <w:rPr>
          <w:rFonts w:ascii="Times New Roman" w:eastAsia="Calibri" w:hAnsi="Times New Roman" w:cs="Times New Roman"/>
          <w:sz w:val="28"/>
          <w:szCs w:val="28"/>
        </w:rPr>
        <w:t>орядком,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A47425">
        <w:rPr>
          <w:rFonts w:ascii="Times New Roman" w:eastAsia="Calibri" w:hAnsi="Times New Roman" w:cs="Times New Roman"/>
          <w:sz w:val="28"/>
          <w:szCs w:val="28"/>
        </w:rPr>
        <w:t>ым</w:t>
      </w:r>
      <w:r w:rsidR="00FE55D8" w:rsidRPr="00FE55D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Республики Коми</w:t>
      </w:r>
      <w:r w:rsidR="00A47425">
        <w:rPr>
          <w:rFonts w:ascii="Times New Roman" w:eastAsia="Calibri" w:hAnsi="Times New Roman" w:cs="Times New Roman"/>
          <w:sz w:val="28"/>
          <w:szCs w:val="28"/>
        </w:rPr>
        <w:t>, указанные полномочия закреплены за Мин</w:t>
      </w:r>
      <w:r w:rsidR="00A47425">
        <w:rPr>
          <w:rFonts w:ascii="Times New Roman" w:eastAsia="Calibri" w:hAnsi="Times New Roman" w:cs="Times New Roman"/>
          <w:sz w:val="28"/>
          <w:szCs w:val="28"/>
        </w:rPr>
        <w:t>и</w:t>
      </w:r>
      <w:r w:rsidR="00A47425">
        <w:rPr>
          <w:rFonts w:ascii="Times New Roman" w:eastAsia="Calibri" w:hAnsi="Times New Roman" w:cs="Times New Roman"/>
          <w:sz w:val="28"/>
          <w:szCs w:val="28"/>
        </w:rPr>
        <w:t>стерством.</w:t>
      </w:r>
    </w:p>
    <w:p w:rsidR="00FE55D8" w:rsidRDefault="00FE55D8" w:rsidP="002D73AC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55D8">
        <w:rPr>
          <w:rFonts w:ascii="Times New Roman" w:eastAsia="Calibri" w:hAnsi="Times New Roman" w:cs="Times New Roman"/>
          <w:sz w:val="28"/>
          <w:szCs w:val="28"/>
        </w:rPr>
        <w:t>Таким образом, из вышеуказанных Положения и Порядка следует, что осуществление одних и тех же функций осуществляется как Министерством, так и Агентством.</w:t>
      </w:r>
    </w:p>
    <w:p w:rsidR="001F5D1D" w:rsidRDefault="003A0FBA" w:rsidP="002D73AC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юридико-лингвистическая неопределенность</w:t>
      </w:r>
      <w:r w:rsidRPr="003A0FBA">
        <w:rPr>
          <w:rFonts w:ascii="Times New Roman" w:eastAsia="Calibri" w:hAnsi="Times New Roman" w:cs="Times New Roman"/>
          <w:sz w:val="28"/>
          <w:szCs w:val="28"/>
        </w:rPr>
        <w:t xml:space="preserve"> -  употребление неуст</w:t>
      </w:r>
      <w:r w:rsidRPr="003A0FBA">
        <w:rPr>
          <w:rFonts w:ascii="Times New Roman" w:eastAsia="Calibri" w:hAnsi="Times New Roman" w:cs="Times New Roman"/>
          <w:sz w:val="28"/>
          <w:szCs w:val="28"/>
        </w:rPr>
        <w:t>о</w:t>
      </w:r>
      <w:r w:rsidRPr="003A0FBA">
        <w:rPr>
          <w:rFonts w:ascii="Times New Roman" w:eastAsia="Calibri" w:hAnsi="Times New Roman" w:cs="Times New Roman"/>
          <w:sz w:val="28"/>
          <w:szCs w:val="28"/>
        </w:rPr>
        <w:t>явшихся, двусмысленных терминов и категорий оценочного характер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90E89">
        <w:rPr>
          <w:rFonts w:ascii="Times New Roman" w:eastAsia="Calibri" w:hAnsi="Times New Roman" w:cs="Times New Roman"/>
          <w:sz w:val="28"/>
          <w:szCs w:val="28"/>
        </w:rPr>
        <w:t>1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>фактор в</w:t>
      </w:r>
      <w:r w:rsidR="006A0741">
        <w:rPr>
          <w:rFonts w:ascii="Times New Roman" w:eastAsia="Calibri" w:hAnsi="Times New Roman" w:cs="Times New Roman"/>
          <w:sz w:val="28"/>
          <w:szCs w:val="28"/>
        </w:rPr>
        <w:t>о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="00E90E89" w:rsidRPr="00976174">
        <w:rPr>
          <w:rFonts w:ascii="Times New Roman" w:eastAsia="Calibri" w:hAnsi="Times New Roman" w:cs="Times New Roman"/>
          <w:sz w:val="28"/>
          <w:szCs w:val="28"/>
        </w:rPr>
        <w:t>I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EE1199">
        <w:rPr>
          <w:rFonts w:ascii="Times New Roman" w:eastAsia="Calibri" w:hAnsi="Times New Roman" w:cs="Times New Roman"/>
          <w:sz w:val="28"/>
          <w:szCs w:val="28"/>
        </w:rPr>
        <w:t>5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5B43E8">
        <w:rPr>
          <w:rFonts w:ascii="Times New Roman" w:eastAsia="Calibri" w:hAnsi="Times New Roman" w:cs="Times New Roman"/>
          <w:sz w:val="28"/>
          <w:szCs w:val="28"/>
        </w:rPr>
        <w:t>а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 xml:space="preserve"> в I полугодии 201</w:t>
      </w:r>
      <w:r w:rsidR="005B43E8">
        <w:rPr>
          <w:rFonts w:ascii="Times New Roman" w:eastAsia="Calibri" w:hAnsi="Times New Roman" w:cs="Times New Roman"/>
          <w:sz w:val="28"/>
          <w:szCs w:val="28"/>
        </w:rPr>
        <w:t>5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>1 фактор во II п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5B43E8" w:rsidRPr="00976174">
        <w:rPr>
          <w:rFonts w:ascii="Times New Roman" w:eastAsia="Calibri" w:hAnsi="Times New Roman" w:cs="Times New Roman"/>
          <w:sz w:val="28"/>
          <w:szCs w:val="28"/>
        </w:rPr>
        <w:t>лугодии 2014 года</w:t>
      </w:r>
      <w:r w:rsidR="005B43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174">
        <w:rPr>
          <w:rFonts w:ascii="Times New Roman" w:eastAsia="Calibri" w:hAnsi="Times New Roman" w:cs="Times New Roman"/>
          <w:sz w:val="28"/>
          <w:szCs w:val="28"/>
        </w:rPr>
        <w:t>2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976174">
        <w:rPr>
          <w:rFonts w:ascii="Times New Roman" w:eastAsia="Calibri" w:hAnsi="Times New Roman" w:cs="Times New Roman"/>
          <w:sz w:val="28"/>
          <w:szCs w:val="28"/>
        </w:rPr>
        <w:t>а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в 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F5D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BEA" w:rsidRPr="00BA7BEA" w:rsidRDefault="001F5D1D" w:rsidP="00BA7BEA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1972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382003" w:rsidRPr="00F01972">
        <w:rPr>
          <w:rFonts w:ascii="Times New Roman" w:eastAsia="Calibri" w:hAnsi="Times New Roman" w:cs="Times New Roman"/>
          <w:sz w:val="28"/>
          <w:szCs w:val="28"/>
        </w:rPr>
        <w:t xml:space="preserve"> нормами </w:t>
      </w:r>
      <w:r w:rsidR="00BA7BEA" w:rsidRPr="00BA7BEA">
        <w:rPr>
          <w:rFonts w:ascii="Times New Roman" w:eastAsia="Calibri" w:hAnsi="Times New Roman" w:cs="Times New Roman"/>
          <w:sz w:val="28"/>
          <w:szCs w:val="28"/>
        </w:rPr>
        <w:t>Порядка установлено, что при обнаружении подд</w:t>
      </w:r>
      <w:r w:rsidR="00BA7BEA" w:rsidRPr="00BA7BEA">
        <w:rPr>
          <w:rFonts w:ascii="Times New Roman" w:eastAsia="Calibri" w:hAnsi="Times New Roman" w:cs="Times New Roman"/>
          <w:sz w:val="28"/>
          <w:szCs w:val="28"/>
        </w:rPr>
        <w:t>е</w:t>
      </w:r>
      <w:r w:rsidR="00BA7BEA" w:rsidRPr="00BA7BEA">
        <w:rPr>
          <w:rFonts w:ascii="Times New Roman" w:eastAsia="Calibri" w:hAnsi="Times New Roman" w:cs="Times New Roman"/>
          <w:sz w:val="28"/>
          <w:szCs w:val="28"/>
        </w:rPr>
        <w:t>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материалы.</w:t>
      </w:r>
    </w:p>
    <w:p w:rsidR="00DF554E" w:rsidRPr="00F01972" w:rsidRDefault="00BA7BEA" w:rsidP="00BA7BEA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BEA">
        <w:rPr>
          <w:rFonts w:ascii="Times New Roman" w:eastAsia="Calibri" w:hAnsi="Times New Roman" w:cs="Times New Roman"/>
          <w:sz w:val="28"/>
          <w:szCs w:val="28"/>
        </w:rPr>
        <w:lastRenderedPageBreak/>
        <w:t>Анализируемой нормой не раскрывается термин «необходимость» («н</w:t>
      </w:r>
      <w:r w:rsidRPr="00BA7BEA">
        <w:rPr>
          <w:rFonts w:ascii="Times New Roman" w:eastAsia="Calibri" w:hAnsi="Times New Roman" w:cs="Times New Roman"/>
          <w:sz w:val="28"/>
          <w:szCs w:val="28"/>
        </w:rPr>
        <w:t>е</w:t>
      </w:r>
      <w:r w:rsidRPr="00BA7BEA">
        <w:rPr>
          <w:rFonts w:ascii="Times New Roman" w:eastAsia="Calibri" w:hAnsi="Times New Roman" w:cs="Times New Roman"/>
          <w:sz w:val="28"/>
          <w:szCs w:val="28"/>
        </w:rPr>
        <w:t>обходимые»)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F5D1D" w:rsidRPr="00F019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683" w:rsidRPr="00F01972" w:rsidRDefault="001F5D1D" w:rsidP="002D73AC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1972">
        <w:rPr>
          <w:rFonts w:ascii="Times New Roman" w:eastAsia="Calibri" w:hAnsi="Times New Roman" w:cs="Times New Roman"/>
          <w:sz w:val="28"/>
          <w:szCs w:val="28"/>
        </w:rPr>
        <w:t>Использование в нормативном правовом акте терминов, допускающих различные трактовки, повышает вероятность произвольного применения его на практике.</w:t>
      </w:r>
    </w:p>
    <w:p w:rsidR="005B43E8" w:rsidRDefault="005B43E8" w:rsidP="005B43E8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43E8">
        <w:rPr>
          <w:rFonts w:ascii="Times New Roman" w:hAnsi="Times New Roman" w:cs="Times New Roman"/>
          <w:sz w:val="28"/>
          <w:szCs w:val="28"/>
          <w:u w:val="single"/>
        </w:rPr>
        <w:t>наличие завышенных требований к лицу, предъявляемых для реализ</w:t>
      </w:r>
      <w:r w:rsidRPr="005B43E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B43E8">
        <w:rPr>
          <w:rFonts w:ascii="Times New Roman" w:hAnsi="Times New Roman" w:cs="Times New Roman"/>
          <w:sz w:val="28"/>
          <w:szCs w:val="28"/>
          <w:u w:val="single"/>
        </w:rPr>
        <w:t>ции принадлежащего ему права</w:t>
      </w:r>
      <w:r w:rsidRPr="005B43E8">
        <w:rPr>
          <w:rFonts w:ascii="Times New Roman" w:hAnsi="Times New Roman" w:cs="Times New Roman"/>
          <w:sz w:val="28"/>
          <w:szCs w:val="28"/>
        </w:rPr>
        <w:t xml:space="preserve"> – установление неопределенных, трудновыпо</w:t>
      </w:r>
      <w:r w:rsidRPr="005B43E8">
        <w:rPr>
          <w:rFonts w:ascii="Times New Roman" w:hAnsi="Times New Roman" w:cs="Times New Roman"/>
          <w:sz w:val="28"/>
          <w:szCs w:val="28"/>
        </w:rPr>
        <w:t>л</w:t>
      </w:r>
      <w:r w:rsidRPr="005B43E8">
        <w:rPr>
          <w:rFonts w:ascii="Times New Roman" w:hAnsi="Times New Roman" w:cs="Times New Roman"/>
          <w:sz w:val="28"/>
          <w:szCs w:val="28"/>
        </w:rPr>
        <w:t xml:space="preserve">нимых и обременительных требований к гражданам и организациям (1 фактор – </w:t>
      </w:r>
      <w:r w:rsidRPr="00976174">
        <w:rPr>
          <w:rFonts w:ascii="Times New Roman" w:eastAsia="Calibri" w:hAnsi="Times New Roman" w:cs="Times New Roman"/>
          <w:sz w:val="28"/>
          <w:szCs w:val="28"/>
        </w:rPr>
        <w:t>в</w:t>
      </w:r>
      <w:r w:rsidR="006A0741">
        <w:rPr>
          <w:rFonts w:ascii="Times New Roman" w:eastAsia="Calibri" w:hAnsi="Times New Roman" w:cs="Times New Roman"/>
          <w:sz w:val="28"/>
          <w:szCs w:val="28"/>
        </w:rPr>
        <w:t>о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II полугодии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B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43E8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3E8">
        <w:rPr>
          <w:rFonts w:ascii="Times New Roman" w:hAnsi="Times New Roman" w:cs="Times New Roman"/>
          <w:sz w:val="28"/>
          <w:szCs w:val="28"/>
        </w:rPr>
        <w:t xml:space="preserve"> – </w:t>
      </w:r>
      <w:r w:rsidRPr="0097617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I полугодии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A0741">
        <w:rPr>
          <w:rFonts w:ascii="Times New Roman" w:eastAsia="Calibri" w:hAnsi="Times New Roman" w:cs="Times New Roman"/>
          <w:sz w:val="28"/>
          <w:szCs w:val="28"/>
        </w:rPr>
        <w:t>, 0</w:t>
      </w:r>
      <w:r w:rsidR="006A0741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 </w:t>
      </w:r>
      <w:r w:rsidR="006A07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0741" w:rsidRPr="00976174">
        <w:rPr>
          <w:rFonts w:ascii="Times New Roman" w:eastAsia="Calibri" w:hAnsi="Times New Roman" w:cs="Times New Roman"/>
          <w:sz w:val="28"/>
          <w:szCs w:val="28"/>
        </w:rPr>
        <w:t>во II полугодии 2014 года</w:t>
      </w:r>
      <w:r w:rsidR="006A0741">
        <w:rPr>
          <w:rFonts w:ascii="Times New Roman" w:eastAsia="Calibri" w:hAnsi="Times New Roman" w:cs="Times New Roman"/>
          <w:sz w:val="28"/>
          <w:szCs w:val="28"/>
        </w:rPr>
        <w:t>, 4</w:t>
      </w:r>
      <w:r w:rsidR="006A0741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6A0741">
        <w:rPr>
          <w:rFonts w:ascii="Times New Roman" w:eastAsia="Calibri" w:hAnsi="Times New Roman" w:cs="Times New Roman"/>
          <w:sz w:val="28"/>
          <w:szCs w:val="28"/>
        </w:rPr>
        <w:t>а</w:t>
      </w:r>
      <w:r w:rsidR="006A0741" w:rsidRPr="00976174">
        <w:rPr>
          <w:rFonts w:ascii="Times New Roman" w:eastAsia="Calibri" w:hAnsi="Times New Roman" w:cs="Times New Roman"/>
          <w:sz w:val="28"/>
          <w:szCs w:val="28"/>
        </w:rPr>
        <w:t xml:space="preserve"> в 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A07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3E8" w:rsidRPr="005B43E8" w:rsidRDefault="005B43E8" w:rsidP="005B43E8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4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972">
        <w:rPr>
          <w:rFonts w:ascii="Times New Roman" w:eastAsia="Calibri" w:hAnsi="Times New Roman" w:cs="Times New Roman"/>
          <w:sz w:val="28"/>
          <w:szCs w:val="28"/>
        </w:rPr>
        <w:t xml:space="preserve">Например,  нормами </w:t>
      </w:r>
      <w:r w:rsidRPr="00BA7BEA">
        <w:rPr>
          <w:rFonts w:ascii="Times New Roman" w:eastAsia="Calibri" w:hAnsi="Times New Roman" w:cs="Times New Roman"/>
          <w:sz w:val="28"/>
          <w:szCs w:val="28"/>
        </w:rPr>
        <w:t>Порядка установлен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документов, в том числе </w:t>
      </w:r>
      <w:r w:rsidRPr="005B43E8">
        <w:rPr>
          <w:rFonts w:ascii="Times New Roman" w:eastAsia="Calibri" w:hAnsi="Times New Roman" w:cs="Times New Roman"/>
          <w:sz w:val="28"/>
          <w:szCs w:val="28"/>
        </w:rPr>
        <w:t>копии выписки 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предъявляемый организацией для получения государственной поддержки. </w:t>
      </w:r>
      <w:r w:rsidRPr="005B43E8">
        <w:rPr>
          <w:rFonts w:ascii="Times New Roman" w:eastAsia="Calibri" w:hAnsi="Times New Roman" w:cs="Times New Roman"/>
          <w:sz w:val="28"/>
          <w:szCs w:val="28"/>
        </w:rPr>
        <w:t>С</w:t>
      </w:r>
      <w:r w:rsidRPr="005B43E8">
        <w:rPr>
          <w:rFonts w:ascii="Times New Roman" w:eastAsia="Calibri" w:hAnsi="Times New Roman" w:cs="Times New Roman"/>
          <w:sz w:val="28"/>
          <w:szCs w:val="28"/>
        </w:rPr>
        <w:t>о</w:t>
      </w:r>
      <w:r w:rsidRPr="005B43E8">
        <w:rPr>
          <w:rFonts w:ascii="Times New Roman" w:eastAsia="Calibri" w:hAnsi="Times New Roman" w:cs="Times New Roman"/>
          <w:sz w:val="28"/>
          <w:szCs w:val="28"/>
        </w:rPr>
        <w:t xml:space="preserve">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иной норме </w:t>
      </w:r>
      <w:r w:rsidRPr="005B43E8">
        <w:rPr>
          <w:rFonts w:ascii="Times New Roman" w:eastAsia="Calibri" w:hAnsi="Times New Roman" w:cs="Times New Roman"/>
          <w:sz w:val="28"/>
          <w:szCs w:val="28"/>
        </w:rPr>
        <w:t>Порядка Министерство принимает решение об отказе в предоставлении компенсации в случае предоставления организациями непо</w:t>
      </w:r>
      <w:r w:rsidRPr="005B43E8">
        <w:rPr>
          <w:rFonts w:ascii="Times New Roman" w:eastAsia="Calibri" w:hAnsi="Times New Roman" w:cs="Times New Roman"/>
          <w:sz w:val="28"/>
          <w:szCs w:val="28"/>
        </w:rPr>
        <w:t>л</w:t>
      </w:r>
      <w:r w:rsidRPr="005B43E8">
        <w:rPr>
          <w:rFonts w:ascii="Times New Roman" w:eastAsia="Calibri" w:hAnsi="Times New Roman" w:cs="Times New Roman"/>
          <w:sz w:val="28"/>
          <w:szCs w:val="28"/>
        </w:rPr>
        <w:t>ного пакета документов, указанных в Порядк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52B21">
        <w:rPr>
          <w:rFonts w:ascii="Times New Roman" w:eastAsia="Calibri" w:hAnsi="Times New Roman" w:cs="Times New Roman"/>
          <w:sz w:val="28"/>
          <w:szCs w:val="28"/>
        </w:rPr>
        <w:t xml:space="preserve"> (в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непре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 w:rsidRPr="005B43E8">
        <w:rPr>
          <w:rFonts w:ascii="Times New Roman" w:eastAsia="Calibri" w:hAnsi="Times New Roman" w:cs="Times New Roman"/>
          <w:sz w:val="28"/>
          <w:szCs w:val="28"/>
        </w:rPr>
        <w:t>копии выписки из Единого государственного реестра юридических лиц</w:t>
      </w:r>
      <w:r w:rsidR="00252B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3E8" w:rsidRPr="005B43E8" w:rsidRDefault="005B43E8" w:rsidP="005B43E8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43E8">
        <w:rPr>
          <w:rFonts w:ascii="Times New Roman" w:eastAsia="Calibri" w:hAnsi="Times New Roman" w:cs="Times New Roman"/>
          <w:sz w:val="28"/>
          <w:szCs w:val="28"/>
        </w:rPr>
        <w:t xml:space="preserve">Вместе с тем в соответствии </w:t>
      </w:r>
      <w:r w:rsidR="00F57FE1">
        <w:rPr>
          <w:rFonts w:ascii="Times New Roman" w:eastAsia="Calibri" w:hAnsi="Times New Roman" w:cs="Times New Roman"/>
          <w:sz w:val="28"/>
          <w:szCs w:val="28"/>
        </w:rPr>
        <w:t xml:space="preserve"> с этим же </w:t>
      </w:r>
      <w:r w:rsidRPr="005B43E8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F57FE1">
        <w:rPr>
          <w:rFonts w:ascii="Times New Roman" w:eastAsia="Calibri" w:hAnsi="Times New Roman" w:cs="Times New Roman"/>
          <w:sz w:val="28"/>
          <w:szCs w:val="28"/>
        </w:rPr>
        <w:t>ом</w:t>
      </w:r>
      <w:r w:rsidRPr="005B43E8">
        <w:rPr>
          <w:rFonts w:ascii="Times New Roman" w:eastAsia="Calibri" w:hAnsi="Times New Roman" w:cs="Times New Roman"/>
          <w:sz w:val="28"/>
          <w:szCs w:val="28"/>
        </w:rPr>
        <w:t xml:space="preserve"> предоставление копии выписки из Единого государственного реестра юридических лиц является пр</w:t>
      </w:r>
      <w:r w:rsidRPr="005B43E8">
        <w:rPr>
          <w:rFonts w:ascii="Times New Roman" w:eastAsia="Calibri" w:hAnsi="Times New Roman" w:cs="Times New Roman"/>
          <w:sz w:val="28"/>
          <w:szCs w:val="28"/>
        </w:rPr>
        <w:t>а</w:t>
      </w:r>
      <w:r w:rsidRPr="005B43E8">
        <w:rPr>
          <w:rFonts w:ascii="Times New Roman" w:eastAsia="Calibri" w:hAnsi="Times New Roman" w:cs="Times New Roman"/>
          <w:sz w:val="28"/>
          <w:szCs w:val="28"/>
        </w:rPr>
        <w:t>вом организации, а не обязанностью.</w:t>
      </w:r>
    </w:p>
    <w:p w:rsidR="005B43E8" w:rsidRDefault="005B43E8" w:rsidP="005B43E8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43E8">
        <w:rPr>
          <w:rFonts w:ascii="Times New Roman" w:eastAsia="Calibri" w:hAnsi="Times New Roman" w:cs="Times New Roman"/>
          <w:sz w:val="28"/>
          <w:szCs w:val="28"/>
        </w:rPr>
        <w:t>Установление неопределенных, трудновыполнимых и обременительных требований к организациям способствуют проявлению коррупции.</w:t>
      </w:r>
    </w:p>
    <w:p w:rsidR="00AD10F8" w:rsidRPr="00032DD5" w:rsidRDefault="0044790B" w:rsidP="002D73AC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2DD5"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</w:t>
      </w:r>
      <w:r w:rsidR="001D7254" w:rsidRPr="00032DD5">
        <w:rPr>
          <w:rFonts w:ascii="Times New Roman" w:eastAsia="Calibri" w:hAnsi="Times New Roman" w:cs="Times New Roman"/>
          <w:sz w:val="28"/>
          <w:szCs w:val="28"/>
        </w:rPr>
        <w:t>ах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чаще всего</w:t>
      </w:r>
      <w:r w:rsidR="00AD10F8" w:rsidRPr="00032DD5">
        <w:rPr>
          <w:rFonts w:ascii="Times New Roman" w:eastAsia="Calibri" w:hAnsi="Times New Roman" w:cs="Times New Roman"/>
          <w:sz w:val="28"/>
          <w:szCs w:val="28"/>
        </w:rPr>
        <w:t>: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BEA" w:rsidRPr="006A3AF5" w:rsidRDefault="00BA7BEA" w:rsidP="00BA7BEA">
      <w:pPr>
        <w:pStyle w:val="a3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отсутствует порядок (один из его элементов порядка) совершения о</w:t>
      </w:r>
      <w:r w:rsidRPr="006A3AF5">
        <w:rPr>
          <w:rFonts w:ascii="Times New Roman" w:eastAsia="Calibri" w:hAnsi="Times New Roman" w:cs="Times New Roman"/>
          <w:sz w:val="28"/>
          <w:szCs w:val="28"/>
        </w:rPr>
        <w:t>р</w:t>
      </w:r>
      <w:r w:rsidRPr="006A3AF5">
        <w:rPr>
          <w:rFonts w:ascii="Times New Roman" w:eastAsia="Calibri" w:hAnsi="Times New Roman" w:cs="Times New Roman"/>
          <w:sz w:val="28"/>
          <w:szCs w:val="28"/>
        </w:rPr>
        <w:t>ганами государственной власти определенных действий;</w:t>
      </w:r>
    </w:p>
    <w:p w:rsidR="006A3AF5" w:rsidRPr="006A3AF5" w:rsidRDefault="006A3AF5" w:rsidP="002D73AC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отсутствуют сроки совершения определенных административных пр</w:t>
      </w:r>
      <w:r w:rsidRPr="006A3AF5">
        <w:rPr>
          <w:rFonts w:ascii="Times New Roman" w:eastAsia="Calibri" w:hAnsi="Times New Roman" w:cs="Times New Roman"/>
          <w:sz w:val="28"/>
          <w:szCs w:val="28"/>
        </w:rPr>
        <w:t>о</w:t>
      </w:r>
      <w:r w:rsidRPr="006A3AF5">
        <w:rPr>
          <w:rFonts w:ascii="Times New Roman" w:eastAsia="Calibri" w:hAnsi="Times New Roman" w:cs="Times New Roman"/>
          <w:sz w:val="28"/>
          <w:szCs w:val="28"/>
        </w:rPr>
        <w:t>цедур;</w:t>
      </w:r>
    </w:p>
    <w:p w:rsidR="001F5D1D" w:rsidRPr="006A3AF5" w:rsidRDefault="001F5D1D" w:rsidP="002D73AC">
      <w:pPr>
        <w:pStyle w:val="a3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 xml:space="preserve">употребляются неустоявшиеся, двусмысленные термины и категории оценочного характера. </w:t>
      </w:r>
    </w:p>
    <w:p w:rsidR="00B86348" w:rsidRDefault="004C60F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часто выявляемы</w:t>
      </w:r>
      <w:r w:rsidR="00B8634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B8634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</w:t>
      </w:r>
      <w:r w:rsidR="00FA7693">
        <w:rPr>
          <w:rFonts w:ascii="Times New Roman" w:eastAsia="Calibri" w:hAnsi="Times New Roman" w:cs="Times New Roman"/>
          <w:sz w:val="28"/>
          <w:szCs w:val="28"/>
        </w:rPr>
        <w:t>тах</w:t>
      </w:r>
      <w:r w:rsidR="00BA7BEA">
        <w:rPr>
          <w:rFonts w:ascii="Times New Roman" w:eastAsia="Calibri" w:hAnsi="Times New Roman" w:cs="Times New Roman"/>
          <w:sz w:val="28"/>
          <w:szCs w:val="28"/>
        </w:rPr>
        <w:t xml:space="preserve"> по итогам антикоррупционной экспертизы во  </w:t>
      </w:r>
      <w:r w:rsidR="00BA7BEA" w:rsidRPr="00976174">
        <w:rPr>
          <w:rFonts w:ascii="Times New Roman" w:eastAsia="Calibri" w:hAnsi="Times New Roman" w:cs="Times New Roman"/>
          <w:sz w:val="28"/>
          <w:szCs w:val="28"/>
        </w:rPr>
        <w:t xml:space="preserve">II </w:t>
      </w:r>
      <w:r w:rsidR="00BA7BEA">
        <w:rPr>
          <w:rFonts w:ascii="Times New Roman" w:eastAsia="Calibri" w:hAnsi="Times New Roman" w:cs="Times New Roman"/>
          <w:sz w:val="28"/>
          <w:szCs w:val="28"/>
        </w:rPr>
        <w:t>полугодии 2015 года</w:t>
      </w:r>
      <w:r w:rsidR="00B863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7BEA" w:rsidRDefault="00BA7B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первом месте -  «</w:t>
      </w:r>
      <w:r w:rsidRPr="0068607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</w:t>
      </w:r>
      <w:r w:rsidRPr="00686071">
        <w:rPr>
          <w:rFonts w:ascii="Times New Roman" w:eastAsia="Calibri" w:hAnsi="Times New Roman" w:cs="Times New Roman"/>
          <w:sz w:val="28"/>
          <w:szCs w:val="28"/>
        </w:rPr>
        <w:t>е</w:t>
      </w:r>
      <w:r w:rsidRPr="00686071">
        <w:rPr>
          <w:rFonts w:ascii="Times New Roman" w:eastAsia="Calibri" w:hAnsi="Times New Roman" w:cs="Times New Roman"/>
          <w:sz w:val="28"/>
          <w:szCs w:val="28"/>
        </w:rPr>
        <w:t>дур</w:t>
      </w:r>
      <w:r>
        <w:rPr>
          <w:rFonts w:ascii="Times New Roman" w:eastAsia="Calibri" w:hAnsi="Times New Roman" w:cs="Times New Roman"/>
          <w:sz w:val="28"/>
          <w:szCs w:val="28"/>
        </w:rPr>
        <w:t>» - 70% из всех факторов, выявленных в нормативных правовых актах в анализируемом периоде</w:t>
      </w:r>
      <w:r w:rsidR="00CF0B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0472">
        <w:rPr>
          <w:rFonts w:ascii="Times New Roman" w:eastAsia="Calibri" w:hAnsi="Times New Roman" w:cs="Times New Roman"/>
          <w:sz w:val="28"/>
          <w:szCs w:val="28"/>
        </w:rPr>
        <w:t>в I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E60472">
        <w:rPr>
          <w:rFonts w:ascii="Times New Roman" w:eastAsia="Calibri" w:hAnsi="Times New Roman" w:cs="Times New Roman"/>
          <w:sz w:val="28"/>
          <w:szCs w:val="28"/>
        </w:rPr>
        <w:t>годии 2015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60472">
        <w:rPr>
          <w:rFonts w:ascii="Times New Roman" w:eastAsia="Calibri" w:hAnsi="Times New Roman" w:cs="Times New Roman"/>
          <w:sz w:val="28"/>
          <w:szCs w:val="28"/>
        </w:rPr>
        <w:t xml:space="preserve"> 34,7%,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976174">
        <w:rPr>
          <w:rFonts w:ascii="Times New Roman" w:eastAsia="Calibri" w:hAnsi="Times New Roman" w:cs="Times New Roman"/>
          <w:sz w:val="28"/>
          <w:szCs w:val="28"/>
        </w:rPr>
        <w:t>II полу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годии </w:t>
      </w:r>
      <w:r w:rsidRPr="00976174">
        <w:rPr>
          <w:rFonts w:ascii="Times New Roman" w:eastAsia="Calibri" w:hAnsi="Times New Roman" w:cs="Times New Roman"/>
          <w:sz w:val="28"/>
          <w:szCs w:val="28"/>
        </w:rPr>
        <w:t>2014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38,46 %);</w:t>
      </w:r>
    </w:p>
    <w:p w:rsidR="00BA7BEA" w:rsidRDefault="00BA7B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втором месте:</w:t>
      </w:r>
    </w:p>
    <w:p w:rsidR="00B86348" w:rsidRDefault="00BA7B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</w:t>
      </w:r>
      <w:r w:rsidR="008B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FA">
        <w:rPr>
          <w:rFonts w:ascii="Times New Roman" w:eastAsia="Calibri" w:hAnsi="Times New Roman" w:cs="Times New Roman"/>
          <w:sz w:val="28"/>
          <w:szCs w:val="28"/>
        </w:rPr>
        <w:t xml:space="preserve">«широта дискреционных полномочий»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10% </w:t>
      </w:r>
      <w:r w:rsidR="00EE1199">
        <w:rPr>
          <w:rFonts w:ascii="Times New Roman" w:eastAsia="Calibri" w:hAnsi="Times New Roman" w:cs="Times New Roman"/>
          <w:sz w:val="28"/>
          <w:szCs w:val="28"/>
        </w:rPr>
        <w:t>из всех факторов, выя</w:t>
      </w:r>
      <w:r w:rsidR="00EE1199">
        <w:rPr>
          <w:rFonts w:ascii="Times New Roman" w:eastAsia="Calibri" w:hAnsi="Times New Roman" w:cs="Times New Roman"/>
          <w:sz w:val="28"/>
          <w:szCs w:val="28"/>
        </w:rPr>
        <w:t>в</w:t>
      </w:r>
      <w:r w:rsidR="00EE1199">
        <w:rPr>
          <w:rFonts w:ascii="Times New Roman" w:eastAsia="Calibri" w:hAnsi="Times New Roman" w:cs="Times New Roman"/>
          <w:sz w:val="28"/>
          <w:szCs w:val="28"/>
        </w:rPr>
        <w:t>ленных в нормативных правовых актах в анализируемом периоде</w:t>
      </w:r>
      <w:r w:rsidR="00CF0B13">
        <w:rPr>
          <w:rFonts w:ascii="Times New Roman" w:eastAsia="Calibri" w:hAnsi="Times New Roman" w:cs="Times New Roman"/>
          <w:sz w:val="28"/>
          <w:szCs w:val="28"/>
        </w:rPr>
        <w:t>,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0472">
        <w:rPr>
          <w:rFonts w:ascii="Times New Roman" w:eastAsia="Calibri" w:hAnsi="Times New Roman" w:cs="Times New Roman"/>
          <w:sz w:val="28"/>
          <w:szCs w:val="28"/>
        </w:rPr>
        <w:t>в I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E60472">
        <w:rPr>
          <w:rFonts w:ascii="Times New Roman" w:eastAsia="Calibri" w:hAnsi="Times New Roman" w:cs="Times New Roman"/>
          <w:sz w:val="28"/>
          <w:szCs w:val="28"/>
        </w:rPr>
        <w:t>г</w:t>
      </w:r>
      <w:r w:rsidR="00E60472">
        <w:rPr>
          <w:rFonts w:ascii="Times New Roman" w:eastAsia="Calibri" w:hAnsi="Times New Roman" w:cs="Times New Roman"/>
          <w:sz w:val="28"/>
          <w:szCs w:val="28"/>
        </w:rPr>
        <w:t>о</w:t>
      </w:r>
      <w:r w:rsidR="00E60472">
        <w:rPr>
          <w:rFonts w:ascii="Times New Roman" w:eastAsia="Calibri" w:hAnsi="Times New Roman" w:cs="Times New Roman"/>
          <w:sz w:val="28"/>
          <w:szCs w:val="28"/>
        </w:rPr>
        <w:t>дии 2015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60472">
        <w:rPr>
          <w:rFonts w:ascii="Times New Roman" w:eastAsia="Calibri" w:hAnsi="Times New Roman" w:cs="Times New Roman"/>
          <w:sz w:val="28"/>
          <w:szCs w:val="28"/>
        </w:rPr>
        <w:t xml:space="preserve"> 47,8 %, 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>II полу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годии 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>2014 года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071">
        <w:rPr>
          <w:rFonts w:ascii="Times New Roman" w:eastAsia="Calibri" w:hAnsi="Times New Roman" w:cs="Times New Roman"/>
          <w:sz w:val="28"/>
          <w:szCs w:val="28"/>
        </w:rPr>
        <w:t>53,8 %</w:t>
      </w:r>
      <w:r w:rsidR="00EE1199">
        <w:rPr>
          <w:rFonts w:ascii="Times New Roman" w:eastAsia="Calibri" w:hAnsi="Times New Roman" w:cs="Times New Roman"/>
          <w:sz w:val="28"/>
          <w:szCs w:val="28"/>
        </w:rPr>
        <w:t>)</w:t>
      </w:r>
      <w:r w:rsidR="008B0B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0B04" w:rsidRDefault="008B0B04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0B04">
        <w:rPr>
          <w:rFonts w:ascii="Times New Roman" w:eastAsia="Calibri" w:hAnsi="Times New Roman" w:cs="Times New Roman"/>
          <w:sz w:val="28"/>
          <w:szCs w:val="28"/>
        </w:rPr>
        <w:t>«юридико-лингвистическая неопределенность»  -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BEA">
        <w:rPr>
          <w:rFonts w:ascii="Times New Roman" w:hAnsi="Times New Roman" w:cs="Times New Roman"/>
          <w:sz w:val="28"/>
          <w:szCs w:val="28"/>
        </w:rPr>
        <w:t xml:space="preserve">10% </w:t>
      </w:r>
      <w:r w:rsidR="00EE1199">
        <w:rPr>
          <w:rFonts w:ascii="Times New Roman" w:eastAsia="Calibri" w:hAnsi="Times New Roman" w:cs="Times New Roman"/>
          <w:sz w:val="28"/>
          <w:szCs w:val="28"/>
        </w:rPr>
        <w:t>из всех факторов, выявленных в нормативных правовых актах в анализируемом периоде</w:t>
      </w:r>
      <w:r w:rsidR="00CF0B13">
        <w:rPr>
          <w:rFonts w:ascii="Times New Roman" w:eastAsia="Calibri" w:hAnsi="Times New Roman" w:cs="Times New Roman"/>
          <w:sz w:val="28"/>
          <w:szCs w:val="28"/>
        </w:rPr>
        <w:t>,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0472">
        <w:rPr>
          <w:rFonts w:ascii="Times New Roman" w:eastAsia="Calibri" w:hAnsi="Times New Roman" w:cs="Times New Roman"/>
          <w:sz w:val="28"/>
          <w:szCs w:val="28"/>
        </w:rPr>
        <w:t>в I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>лу</w:t>
      </w:r>
      <w:r w:rsidR="00E60472">
        <w:rPr>
          <w:rFonts w:ascii="Times New Roman" w:eastAsia="Calibri" w:hAnsi="Times New Roman" w:cs="Times New Roman"/>
          <w:sz w:val="28"/>
          <w:szCs w:val="28"/>
        </w:rPr>
        <w:t>годии 2015</w:t>
      </w:r>
      <w:r w:rsidR="00E60472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60472">
        <w:rPr>
          <w:rFonts w:ascii="Times New Roman" w:eastAsia="Calibri" w:hAnsi="Times New Roman" w:cs="Times New Roman"/>
          <w:sz w:val="28"/>
          <w:szCs w:val="28"/>
        </w:rPr>
        <w:t xml:space="preserve"> 13,04%, 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>II полу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годии </w:t>
      </w:r>
      <w:r w:rsidR="00EE1199" w:rsidRPr="00976174">
        <w:rPr>
          <w:rFonts w:ascii="Times New Roman" w:eastAsia="Calibri" w:hAnsi="Times New Roman" w:cs="Times New Roman"/>
          <w:sz w:val="28"/>
          <w:szCs w:val="28"/>
        </w:rPr>
        <w:t>2014 года</w:t>
      </w:r>
      <w:r w:rsidR="00EE1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071">
        <w:rPr>
          <w:rFonts w:ascii="Times New Roman" w:eastAsia="Calibri" w:hAnsi="Times New Roman" w:cs="Times New Roman"/>
          <w:sz w:val="28"/>
          <w:szCs w:val="28"/>
        </w:rPr>
        <w:t>7,96 %</w:t>
      </w:r>
      <w:r w:rsidR="00EE1199">
        <w:rPr>
          <w:rFonts w:ascii="Times New Roman" w:eastAsia="Calibri" w:hAnsi="Times New Roman" w:cs="Times New Roman"/>
          <w:sz w:val="28"/>
          <w:szCs w:val="28"/>
        </w:rPr>
        <w:t>)</w:t>
      </w:r>
      <w:r w:rsidR="00BA7B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BEA" w:rsidRDefault="00BA7BEA" w:rsidP="0047724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BA7BEA">
        <w:rPr>
          <w:rFonts w:ascii="Times New Roman" w:hAnsi="Times New Roman" w:cs="Times New Roman"/>
          <w:sz w:val="28"/>
          <w:szCs w:val="28"/>
        </w:rPr>
        <w:t>наличие завышенных требований к лицу, предъявляемых для реализ</w:t>
      </w:r>
      <w:r w:rsidRPr="00BA7BEA">
        <w:rPr>
          <w:rFonts w:ascii="Times New Roman" w:hAnsi="Times New Roman" w:cs="Times New Roman"/>
          <w:sz w:val="28"/>
          <w:szCs w:val="28"/>
        </w:rPr>
        <w:t>а</w:t>
      </w:r>
      <w:r w:rsidRPr="00BA7BEA">
        <w:rPr>
          <w:rFonts w:ascii="Times New Roman" w:hAnsi="Times New Roman" w:cs="Times New Roman"/>
          <w:sz w:val="28"/>
          <w:szCs w:val="28"/>
        </w:rPr>
        <w:t>ции принадлежащего ему права</w:t>
      </w:r>
      <w:r w:rsidR="00066469">
        <w:rPr>
          <w:rFonts w:ascii="Times New Roman" w:hAnsi="Times New Roman" w:cs="Times New Roman"/>
          <w:sz w:val="28"/>
          <w:szCs w:val="28"/>
        </w:rPr>
        <w:t>»</w:t>
      </w:r>
      <w:r w:rsidRPr="00BA7BEA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10% </w:t>
      </w:r>
      <w:r>
        <w:rPr>
          <w:rFonts w:ascii="Times New Roman" w:eastAsia="Calibri" w:hAnsi="Times New Roman" w:cs="Times New Roman"/>
          <w:sz w:val="28"/>
          <w:szCs w:val="28"/>
        </w:rPr>
        <w:t>из всех факторов, выявленных в норм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тивных правовых актах в анализируемом периоде</w:t>
      </w:r>
      <w:r w:rsidR="00CF0B13">
        <w:rPr>
          <w:rFonts w:ascii="Times New Roman" w:eastAsia="Calibri" w:hAnsi="Times New Roman" w:cs="Times New Roman"/>
          <w:sz w:val="28"/>
          <w:szCs w:val="28"/>
        </w:rPr>
        <w:t>,</w:t>
      </w:r>
      <w:r w:rsidR="008E2980">
        <w:rPr>
          <w:rFonts w:ascii="Times New Roman" w:eastAsia="Calibri" w:hAnsi="Times New Roman" w:cs="Times New Roman"/>
          <w:sz w:val="28"/>
          <w:szCs w:val="28"/>
        </w:rPr>
        <w:t xml:space="preserve"> (в I</w:t>
      </w:r>
      <w:r w:rsidR="008E2980" w:rsidRPr="00976174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 w:rsidR="008E2980">
        <w:rPr>
          <w:rFonts w:ascii="Times New Roman" w:eastAsia="Calibri" w:hAnsi="Times New Roman" w:cs="Times New Roman"/>
          <w:sz w:val="28"/>
          <w:szCs w:val="28"/>
        </w:rPr>
        <w:t>годии 2015</w:t>
      </w:r>
      <w:r w:rsidR="008E2980" w:rsidRPr="0097617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E2980">
        <w:rPr>
          <w:rFonts w:ascii="Times New Roman" w:eastAsia="Calibri" w:hAnsi="Times New Roman" w:cs="Times New Roman"/>
          <w:sz w:val="28"/>
          <w:szCs w:val="28"/>
        </w:rPr>
        <w:t xml:space="preserve"> – не </w:t>
      </w:r>
      <w:proofErr w:type="gramStart"/>
      <w:r w:rsidR="008E2980">
        <w:rPr>
          <w:rFonts w:ascii="Times New Roman" w:eastAsia="Calibri" w:hAnsi="Times New Roman" w:cs="Times New Roman"/>
          <w:sz w:val="28"/>
          <w:szCs w:val="28"/>
        </w:rPr>
        <w:t>выявлен</w:t>
      </w:r>
      <w:proofErr w:type="gramEnd"/>
      <w:r w:rsidR="008E298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24E" w:rsidRPr="00BA7BEA" w:rsidRDefault="0047724E" w:rsidP="00BA7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отметить, что согласно письму Управления Министерства юст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ции Российской Федерации по Республике Коми от 8 декабря 2015 г. № 11/02-4911  по результатам проведения Управлением Минюста России по Республике Коми  в 2015 году антикоррупционной экспертизы приказов органов исполн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тельной власти Республики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часто выявляемыми коррупциогенными фа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торами  являются -  «</w:t>
      </w:r>
      <w:r w:rsidRPr="0068607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», «широта дискреционных полномочий», «</w:t>
      </w:r>
      <w:r w:rsidRPr="00BA7BEA">
        <w:rPr>
          <w:rFonts w:ascii="Times New Roman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2722" w:rsidRDefault="0047724E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аналогичные факторы содержатся как в нормативных правовых актах Главы Республики Коми, Правительства Республики Коми, так и в приказах органов в системе исполнительной власти Республики Коми. </w:t>
      </w:r>
    </w:p>
    <w:p w:rsidR="001C20EA" w:rsidRDefault="001C20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каждого выявленного </w:t>
      </w:r>
      <w:r w:rsidR="00C263C1">
        <w:rPr>
          <w:rFonts w:ascii="Times New Roman" w:eastAsia="Calibri" w:hAnsi="Times New Roman" w:cs="Times New Roman"/>
          <w:sz w:val="28"/>
          <w:szCs w:val="28"/>
        </w:rPr>
        <w:t xml:space="preserve">коррупциогенного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фактора </w:t>
      </w:r>
      <w:r w:rsidRPr="001C20EA">
        <w:rPr>
          <w:rFonts w:ascii="Times New Roman" w:eastAsia="Calibri" w:hAnsi="Times New Roman" w:cs="Times New Roman"/>
          <w:sz w:val="28"/>
          <w:szCs w:val="28"/>
        </w:rPr>
        <w:t>в процентном с</w:t>
      </w:r>
      <w:r w:rsidRPr="001C20EA">
        <w:rPr>
          <w:rFonts w:ascii="Times New Roman" w:eastAsia="Calibri" w:hAnsi="Times New Roman" w:cs="Times New Roman"/>
          <w:sz w:val="28"/>
          <w:szCs w:val="28"/>
        </w:rPr>
        <w:t>о</w:t>
      </w:r>
      <w:r w:rsidRPr="001C20EA">
        <w:rPr>
          <w:rFonts w:ascii="Times New Roman" w:eastAsia="Calibri" w:hAnsi="Times New Roman" w:cs="Times New Roman"/>
          <w:sz w:val="28"/>
          <w:szCs w:val="28"/>
        </w:rPr>
        <w:t>отношении  от общего числа выявленных коррупциогенных факторов, отр</w:t>
      </w:r>
      <w:r w:rsidRPr="001C20EA">
        <w:rPr>
          <w:rFonts w:ascii="Times New Roman" w:eastAsia="Calibri" w:hAnsi="Times New Roman" w:cs="Times New Roman"/>
          <w:sz w:val="28"/>
          <w:szCs w:val="28"/>
        </w:rPr>
        <w:t>а</w:t>
      </w:r>
      <w:r w:rsidR="001E7F35">
        <w:rPr>
          <w:rFonts w:ascii="Times New Roman" w:eastAsia="Calibri" w:hAnsi="Times New Roman" w:cs="Times New Roman"/>
          <w:sz w:val="28"/>
          <w:szCs w:val="28"/>
        </w:rPr>
        <w:t>женных в заключениях во I</w:t>
      </w:r>
      <w:r w:rsidR="00BA7BEA">
        <w:rPr>
          <w:rFonts w:ascii="Times New Roman" w:eastAsia="Calibri" w:hAnsi="Times New Roman" w:cs="Times New Roman"/>
          <w:sz w:val="28"/>
          <w:szCs w:val="28"/>
        </w:rPr>
        <w:t>I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1E7F35">
        <w:rPr>
          <w:rFonts w:ascii="Times New Roman" w:eastAsia="Calibri" w:hAnsi="Times New Roman" w:cs="Times New Roman"/>
          <w:sz w:val="28"/>
          <w:szCs w:val="28"/>
        </w:rPr>
        <w:t>5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представлена в диаграмме.</w:t>
      </w:r>
    </w:p>
    <w:p w:rsidR="001E7F35" w:rsidRDefault="00224A7F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3C1" w:rsidRDefault="00C263C1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Соотношение преобладающих типичных коррупциогенных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627DC1">
        <w:rPr>
          <w:rFonts w:ascii="Times New Roman" w:eastAsia="Calibri" w:hAnsi="Times New Roman" w:cs="Times New Roman"/>
          <w:sz w:val="28"/>
          <w:szCs w:val="28"/>
        </w:rPr>
        <w:t>, в</w:t>
      </w:r>
      <w:r w:rsidR="00627DC1">
        <w:rPr>
          <w:rFonts w:ascii="Times New Roman" w:eastAsia="Calibri" w:hAnsi="Times New Roman" w:cs="Times New Roman"/>
          <w:sz w:val="28"/>
          <w:szCs w:val="28"/>
        </w:rPr>
        <w:t>ы</w:t>
      </w:r>
      <w:r w:rsidR="00627DC1">
        <w:rPr>
          <w:rFonts w:ascii="Times New Roman" w:eastAsia="Calibri" w:hAnsi="Times New Roman" w:cs="Times New Roman"/>
          <w:sz w:val="28"/>
          <w:szCs w:val="28"/>
        </w:rPr>
        <w:t>явленных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актах </w:t>
      </w:r>
      <w:r w:rsidR="004715B8">
        <w:rPr>
          <w:rFonts w:ascii="Times New Roman" w:eastAsia="Calibri" w:hAnsi="Times New Roman" w:cs="Times New Roman"/>
          <w:sz w:val="28"/>
          <w:szCs w:val="28"/>
        </w:rPr>
        <w:t>в</w:t>
      </w:r>
      <w:r w:rsidR="00E513E2">
        <w:rPr>
          <w:rFonts w:ascii="Times New Roman" w:eastAsia="Calibri" w:hAnsi="Times New Roman" w:cs="Times New Roman"/>
          <w:sz w:val="28"/>
          <w:szCs w:val="28"/>
        </w:rPr>
        <w:t>о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513E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51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>полугодии 201</w:t>
      </w:r>
      <w:r w:rsidR="00C60613">
        <w:rPr>
          <w:rFonts w:ascii="Times New Roman" w:eastAsia="Calibri" w:hAnsi="Times New Roman" w:cs="Times New Roman"/>
          <w:sz w:val="28"/>
          <w:szCs w:val="28"/>
        </w:rPr>
        <w:t>5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 года по сравн</w:t>
      </w:r>
      <w:r w:rsidR="000870BF">
        <w:rPr>
          <w:rFonts w:ascii="Times New Roman" w:eastAsia="Calibri" w:hAnsi="Times New Roman" w:cs="Times New Roman"/>
          <w:sz w:val="28"/>
          <w:szCs w:val="28"/>
        </w:rPr>
        <w:t>е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 w:rsidR="00E513E2">
        <w:rPr>
          <w:rFonts w:ascii="Times New Roman" w:eastAsia="Calibri" w:hAnsi="Times New Roman" w:cs="Times New Roman"/>
          <w:sz w:val="28"/>
          <w:szCs w:val="28"/>
        </w:rPr>
        <w:t xml:space="preserve"> к предыдущим периодам 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>приведено</w:t>
      </w:r>
      <w:proofErr w:type="gramEnd"/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в таблице и диаграмме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741" w:rsidRDefault="006A0741" w:rsidP="00C26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3C1" w:rsidRDefault="00C263C1" w:rsidP="00C26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3AF5">
        <w:rPr>
          <w:rFonts w:ascii="Times New Roman" w:hAnsi="Times New Roman" w:cs="Times New Roman"/>
          <w:b/>
          <w:bCs/>
          <w:sz w:val="28"/>
          <w:szCs w:val="28"/>
        </w:rPr>
        <w:t>Преобладающие типичные коррупциогенные факторы:</w:t>
      </w:r>
    </w:p>
    <w:p w:rsidR="00ED6012" w:rsidRDefault="00ED6012" w:rsidP="00C26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992"/>
        <w:gridCol w:w="992"/>
        <w:gridCol w:w="993"/>
        <w:gridCol w:w="992"/>
        <w:gridCol w:w="958"/>
      </w:tblGrid>
      <w:tr w:rsidR="001E7F35" w:rsidRPr="00B12017" w:rsidTr="00ED6012">
        <w:trPr>
          <w:trHeight w:val="3322"/>
        </w:trPr>
        <w:tc>
          <w:tcPr>
            <w:tcW w:w="1844" w:type="dxa"/>
            <w:vMerge w:val="restart"/>
          </w:tcPr>
          <w:p w:rsidR="001E7F35" w:rsidRPr="00B12017" w:rsidRDefault="00135767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1E7F35" w:rsidRPr="00B1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 фактора</w:t>
            </w:r>
          </w:p>
        </w:tc>
        <w:tc>
          <w:tcPr>
            <w:tcW w:w="2126" w:type="dxa"/>
            <w:gridSpan w:val="2"/>
          </w:tcPr>
          <w:p w:rsidR="001E7F35" w:rsidRPr="00D63DC3" w:rsidRDefault="001E7F35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1E7F35" w:rsidRDefault="001E7F35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числа выявленных коррупциогенных факторов в НПА, отраженных в 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лугодия 2014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1E7F35" w:rsidRDefault="001E7F35" w:rsidP="00E513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числа выявленных коррупциогенных факторов в НПА, отраженных в 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13E2"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  <w:r w:rsidR="00E513E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51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ветствующего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лугодия 2015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1E7F35" w:rsidRDefault="001E7F35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 2014 г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чис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ла выявле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рупци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факторов в НПА, 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в 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ветствующего полугодия 2014 года</w:t>
            </w:r>
          </w:p>
        </w:tc>
        <w:tc>
          <w:tcPr>
            <w:tcW w:w="1950" w:type="dxa"/>
            <w:gridSpan w:val="2"/>
          </w:tcPr>
          <w:p w:rsidR="001E7F35" w:rsidRDefault="001E7F35" w:rsidP="000E0E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E0EA6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числа выявле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коррупци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генных факт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ров в НПА, 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раженных в 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EA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E0E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E0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ответствующего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полугодия 2015 года</w:t>
            </w:r>
          </w:p>
        </w:tc>
      </w:tr>
      <w:tr w:rsidR="000E0EA6" w:rsidRPr="007E167B" w:rsidTr="00ED6012">
        <w:tc>
          <w:tcPr>
            <w:tcW w:w="1844" w:type="dxa"/>
            <w:vMerge/>
          </w:tcPr>
          <w:p w:rsidR="000E0EA6" w:rsidRDefault="000E0EA6" w:rsidP="00A26F59">
            <w:pPr>
              <w:tabs>
                <w:tab w:val="right" w:pos="503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EA6" w:rsidRDefault="000E0EA6" w:rsidP="00E513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  <w:tc>
          <w:tcPr>
            <w:tcW w:w="992" w:type="dxa"/>
          </w:tcPr>
          <w:p w:rsidR="000E0EA6" w:rsidRDefault="000E0EA6" w:rsidP="00E513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  <w:tc>
          <w:tcPr>
            <w:tcW w:w="1134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луг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дии</w:t>
            </w:r>
          </w:p>
        </w:tc>
        <w:tc>
          <w:tcPr>
            <w:tcW w:w="993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луг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дии</w:t>
            </w:r>
          </w:p>
        </w:tc>
        <w:tc>
          <w:tcPr>
            <w:tcW w:w="958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</w:t>
            </w:r>
          </w:p>
        </w:tc>
      </w:tr>
      <w:tr w:rsidR="000E0EA6" w:rsidRPr="007E167B" w:rsidTr="00ED6012">
        <w:tc>
          <w:tcPr>
            <w:tcW w:w="1844" w:type="dxa"/>
          </w:tcPr>
          <w:p w:rsidR="000E0EA6" w:rsidRPr="007E167B" w:rsidRDefault="000E0EA6" w:rsidP="00A26F59">
            <w:pPr>
              <w:tabs>
                <w:tab w:val="right" w:pos="503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креционных полномочий </w:t>
            </w:r>
          </w:p>
        </w:tc>
        <w:tc>
          <w:tcPr>
            <w:tcW w:w="1134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0EA6" w:rsidRPr="007E167B" w:rsidTr="00ED6012">
        <w:tc>
          <w:tcPr>
            <w:tcW w:w="1844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министрати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ных процедур</w:t>
            </w:r>
          </w:p>
        </w:tc>
        <w:tc>
          <w:tcPr>
            <w:tcW w:w="1134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E0EA6" w:rsidRPr="0051660C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</w:tcPr>
          <w:p w:rsidR="000E0EA6" w:rsidRPr="00A26F59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0EA6" w:rsidRPr="001E7F35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E0EA6" w:rsidRPr="001E7F35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E0EA6" w:rsidRPr="007E167B" w:rsidTr="00ED6012">
        <w:tc>
          <w:tcPr>
            <w:tcW w:w="1844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ская неопред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ленность</w:t>
            </w:r>
          </w:p>
        </w:tc>
        <w:tc>
          <w:tcPr>
            <w:tcW w:w="1134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0E0EA6" w:rsidRPr="007E167B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13,04</w:t>
            </w:r>
          </w:p>
        </w:tc>
        <w:tc>
          <w:tcPr>
            <w:tcW w:w="992" w:type="dxa"/>
          </w:tcPr>
          <w:p w:rsidR="000E0EA6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0EA6" w:rsidRPr="0051660C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E0EA6" w:rsidRPr="00A26F59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0EA6" w:rsidRPr="001E7F35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E0EA6" w:rsidRPr="001E7F35" w:rsidRDefault="000E0EA6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6469" w:rsidRPr="00031E71" w:rsidTr="00ED6012">
        <w:tc>
          <w:tcPr>
            <w:tcW w:w="1844" w:type="dxa"/>
          </w:tcPr>
          <w:p w:rsidR="00066469" w:rsidRPr="007E167B" w:rsidRDefault="00066469" w:rsidP="00A26F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шенных треб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ваний к лицу, предъявляемых для реализации принадлежащ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го ему права</w:t>
            </w:r>
          </w:p>
        </w:tc>
        <w:tc>
          <w:tcPr>
            <w:tcW w:w="1134" w:type="dxa"/>
          </w:tcPr>
          <w:p w:rsidR="00066469" w:rsidRPr="00031E71" w:rsidRDefault="0029086E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066469" w:rsidRPr="00031E71" w:rsidRDefault="0029086E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469" w:rsidRPr="00031E71" w:rsidRDefault="0029086E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6469" w:rsidRPr="00031E71" w:rsidRDefault="00066469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6469" w:rsidRPr="00031E71" w:rsidRDefault="0029086E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66469" w:rsidRPr="00031E71" w:rsidRDefault="00066469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6469" w:rsidRPr="00031E71" w:rsidRDefault="00066469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66469" w:rsidRPr="00031E71" w:rsidRDefault="00066469" w:rsidP="00A26F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E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263C1" w:rsidRDefault="00C263C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D114A" w:rsidRDefault="00CD114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4ADB" w:rsidRDefault="004715B8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Сравнительный анализ</w:t>
      </w:r>
      <w:r w:rsidRPr="0047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количества </w:t>
      </w:r>
      <w:r w:rsidR="00CA4B6E">
        <w:rPr>
          <w:rFonts w:ascii="Times New Roman" w:eastAsia="Calibri" w:hAnsi="Times New Roman" w:cs="Times New Roman"/>
          <w:sz w:val="28"/>
          <w:szCs w:val="28"/>
        </w:rPr>
        <w:t xml:space="preserve">преобладающий </w:t>
      </w:r>
      <w:r>
        <w:rPr>
          <w:rFonts w:ascii="Times New Roman" w:eastAsia="Calibri" w:hAnsi="Times New Roman" w:cs="Times New Roman"/>
          <w:sz w:val="28"/>
          <w:szCs w:val="28"/>
        </w:rPr>
        <w:t>типичных коррупци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генных факторов, выявленных в нормативных правовых актах в</w:t>
      </w:r>
      <w:r w:rsidR="002908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9086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полугодии 2015 года по сравнению с</w:t>
      </w:r>
      <w:r w:rsidR="0029086E">
        <w:rPr>
          <w:rFonts w:ascii="Times New Roman" w:eastAsia="Calibri" w:hAnsi="Times New Roman" w:cs="Times New Roman"/>
          <w:sz w:val="28"/>
          <w:szCs w:val="28"/>
        </w:rPr>
        <w:t xml:space="preserve"> предыдущими отчетными периодами (</w:t>
      </w:r>
      <w:r w:rsidRPr="001C20EA">
        <w:rPr>
          <w:rFonts w:ascii="Times New Roman" w:eastAsia="Calibri" w:hAnsi="Times New Roman" w:cs="Times New Roman"/>
          <w:sz w:val="28"/>
          <w:szCs w:val="28"/>
        </w:rPr>
        <w:t>от общего чи</w:t>
      </w:r>
      <w:r w:rsidRPr="001C20EA">
        <w:rPr>
          <w:rFonts w:ascii="Times New Roman" w:eastAsia="Calibri" w:hAnsi="Times New Roman" w:cs="Times New Roman"/>
          <w:sz w:val="28"/>
          <w:szCs w:val="28"/>
        </w:rPr>
        <w:t>с</w:t>
      </w:r>
      <w:r w:rsidRPr="001C20EA">
        <w:rPr>
          <w:rFonts w:ascii="Times New Roman" w:eastAsia="Calibri" w:hAnsi="Times New Roman" w:cs="Times New Roman"/>
          <w:sz w:val="28"/>
          <w:szCs w:val="28"/>
        </w:rPr>
        <w:t>ла выяв</w:t>
      </w:r>
      <w:r>
        <w:rPr>
          <w:rFonts w:ascii="Times New Roman" w:eastAsia="Calibri" w:hAnsi="Times New Roman" w:cs="Times New Roman"/>
          <w:sz w:val="28"/>
          <w:szCs w:val="28"/>
        </w:rPr>
        <w:t>ленных коррупциогенных факторов</w:t>
      </w:r>
      <w:r w:rsidRPr="0047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соответствующем периоде</w:t>
      </w:r>
      <w:r w:rsidR="0029086E">
        <w:rPr>
          <w:rFonts w:ascii="Times New Roman" w:eastAsia="Calibri" w:hAnsi="Times New Roman" w:cs="Times New Roman"/>
          <w:sz w:val="28"/>
          <w:szCs w:val="28"/>
        </w:rPr>
        <w:t>)</w:t>
      </w:r>
      <w:r w:rsidR="007B4A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4B6E" w:rsidRDefault="00CA4B6E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50EB8" w:rsidRDefault="0029086E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4B6E" w:rsidRDefault="00CA4B6E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4ADB" w:rsidRDefault="007B4ADB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4ADB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</w:t>
      </w:r>
      <w:r w:rsidR="00CA4B6E">
        <w:rPr>
          <w:rFonts w:ascii="Times New Roman" w:eastAsia="Calibri" w:hAnsi="Times New Roman" w:cs="Times New Roman"/>
          <w:sz w:val="28"/>
          <w:szCs w:val="28"/>
        </w:rPr>
        <w:t xml:space="preserve">преобладающих </w:t>
      </w:r>
      <w:r w:rsidRPr="007B4ADB">
        <w:rPr>
          <w:rFonts w:ascii="Times New Roman" w:eastAsia="Calibri" w:hAnsi="Times New Roman" w:cs="Times New Roman"/>
          <w:sz w:val="28"/>
          <w:szCs w:val="28"/>
        </w:rPr>
        <w:t>типичных коррупциогенных фа</w:t>
      </w:r>
      <w:r w:rsidRPr="007B4ADB">
        <w:rPr>
          <w:rFonts w:ascii="Times New Roman" w:eastAsia="Calibri" w:hAnsi="Times New Roman" w:cs="Times New Roman"/>
          <w:sz w:val="28"/>
          <w:szCs w:val="28"/>
        </w:rPr>
        <w:t>к</w:t>
      </w:r>
      <w:r w:rsidRPr="007B4ADB">
        <w:rPr>
          <w:rFonts w:ascii="Times New Roman" w:eastAsia="Calibri" w:hAnsi="Times New Roman" w:cs="Times New Roman"/>
          <w:sz w:val="28"/>
          <w:szCs w:val="28"/>
        </w:rPr>
        <w:t>торов, выявленных в нормативных правовых актах в</w:t>
      </w:r>
      <w:r w:rsidR="000B0764">
        <w:rPr>
          <w:rFonts w:ascii="Times New Roman" w:eastAsia="Calibri" w:hAnsi="Times New Roman" w:cs="Times New Roman"/>
          <w:sz w:val="28"/>
          <w:szCs w:val="28"/>
        </w:rPr>
        <w:t>о</w:t>
      </w:r>
      <w:r w:rsidRPr="007B4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A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B0764" w:rsidRPr="007B4A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B4ADB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 по сравнению с</w:t>
      </w:r>
      <w:r w:rsidR="00CA4B6E">
        <w:rPr>
          <w:rFonts w:ascii="Times New Roman" w:eastAsia="Calibri" w:hAnsi="Times New Roman" w:cs="Times New Roman"/>
          <w:sz w:val="28"/>
          <w:szCs w:val="28"/>
        </w:rPr>
        <w:t xml:space="preserve"> предыдущими отчетными периодами (</w:t>
      </w:r>
      <w:r w:rsidRPr="007B4ADB">
        <w:rPr>
          <w:rFonts w:ascii="Times New Roman" w:eastAsia="Calibri" w:hAnsi="Times New Roman" w:cs="Times New Roman"/>
          <w:sz w:val="28"/>
          <w:szCs w:val="28"/>
        </w:rPr>
        <w:t>от общего числа выявле</w:t>
      </w:r>
      <w:r w:rsidRPr="007B4ADB">
        <w:rPr>
          <w:rFonts w:ascii="Times New Roman" w:eastAsia="Calibri" w:hAnsi="Times New Roman" w:cs="Times New Roman"/>
          <w:sz w:val="28"/>
          <w:szCs w:val="28"/>
        </w:rPr>
        <w:t>н</w:t>
      </w:r>
      <w:r w:rsidRPr="007B4ADB">
        <w:rPr>
          <w:rFonts w:ascii="Times New Roman" w:eastAsia="Calibri" w:hAnsi="Times New Roman" w:cs="Times New Roman"/>
          <w:sz w:val="28"/>
          <w:szCs w:val="28"/>
        </w:rPr>
        <w:t>ных коррупциогенных факторов в соответствующем периоде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процентном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отношении)</w:t>
      </w:r>
      <w:r w:rsidR="00CA4B6E">
        <w:rPr>
          <w:rFonts w:ascii="Times New Roman" w:eastAsia="Calibri" w:hAnsi="Times New Roman" w:cs="Times New Roman"/>
          <w:sz w:val="28"/>
          <w:szCs w:val="28"/>
        </w:rPr>
        <w:t>)</w:t>
      </w:r>
      <w:r w:rsidRPr="007B4A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0741" w:rsidRDefault="006A0741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4ADB" w:rsidRDefault="007B4ADB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4ADB" w:rsidRDefault="007B4ADB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B4ADB" w:rsidRDefault="008E2722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количество выявленных коррупциогенных факторов в</w:t>
      </w:r>
      <w:r w:rsidR="00D0556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561" w:rsidRPr="007B4A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05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</w:t>
      </w:r>
      <w:r w:rsidR="00195FC6">
        <w:rPr>
          <w:rFonts w:ascii="Times New Roman" w:eastAsia="Calibri" w:hAnsi="Times New Roman" w:cs="Times New Roman"/>
          <w:sz w:val="28"/>
          <w:szCs w:val="28"/>
        </w:rPr>
        <w:t xml:space="preserve">одии 2015 года уменьшилось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 количеством аналогичных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факторов, выявленных в предыдущие периоды. Однако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процентом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соотнош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A83EDD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аблюдается </w:t>
      </w:r>
      <w:r w:rsidR="00195FC6">
        <w:rPr>
          <w:rFonts w:ascii="Times New Roman" w:eastAsia="Calibri" w:hAnsi="Times New Roman" w:cs="Times New Roman"/>
          <w:sz w:val="28"/>
          <w:szCs w:val="28"/>
        </w:rPr>
        <w:t>увеличение такого коррупциогенного фактора как «отсу</w:t>
      </w:r>
      <w:r w:rsidR="00195FC6">
        <w:rPr>
          <w:rFonts w:ascii="Times New Roman" w:eastAsia="Calibri" w:hAnsi="Times New Roman" w:cs="Times New Roman"/>
          <w:sz w:val="28"/>
          <w:szCs w:val="28"/>
        </w:rPr>
        <w:t>т</w:t>
      </w:r>
      <w:r w:rsidR="00195FC6">
        <w:rPr>
          <w:rFonts w:ascii="Times New Roman" w:eastAsia="Calibri" w:hAnsi="Times New Roman" w:cs="Times New Roman"/>
          <w:sz w:val="28"/>
          <w:szCs w:val="28"/>
        </w:rPr>
        <w:t xml:space="preserve">ствие или неполнота административных процедур» </w:t>
      </w:r>
      <w:r w:rsidR="00A83EDD">
        <w:rPr>
          <w:rFonts w:ascii="Times New Roman" w:eastAsia="Calibri" w:hAnsi="Times New Roman" w:cs="Times New Roman"/>
          <w:sz w:val="28"/>
          <w:szCs w:val="28"/>
        </w:rPr>
        <w:t>по сравнению с предыд</w:t>
      </w:r>
      <w:r w:rsidR="00A83EDD">
        <w:rPr>
          <w:rFonts w:ascii="Times New Roman" w:eastAsia="Calibri" w:hAnsi="Times New Roman" w:cs="Times New Roman"/>
          <w:sz w:val="28"/>
          <w:szCs w:val="28"/>
        </w:rPr>
        <w:t>у</w:t>
      </w:r>
      <w:r w:rsidR="00A83EDD">
        <w:rPr>
          <w:rFonts w:ascii="Times New Roman" w:eastAsia="Calibri" w:hAnsi="Times New Roman" w:cs="Times New Roman"/>
          <w:sz w:val="28"/>
          <w:szCs w:val="28"/>
        </w:rPr>
        <w:t xml:space="preserve">щими </w:t>
      </w:r>
      <w:r w:rsidR="00176CB3">
        <w:rPr>
          <w:rFonts w:ascii="Times New Roman" w:eastAsia="Calibri" w:hAnsi="Times New Roman" w:cs="Times New Roman"/>
          <w:sz w:val="28"/>
          <w:szCs w:val="28"/>
        </w:rPr>
        <w:t xml:space="preserve">отчетными </w:t>
      </w:r>
      <w:r w:rsidR="00A83EDD">
        <w:rPr>
          <w:rFonts w:ascii="Times New Roman" w:eastAsia="Calibri" w:hAnsi="Times New Roman" w:cs="Times New Roman"/>
          <w:sz w:val="28"/>
          <w:szCs w:val="28"/>
        </w:rPr>
        <w:t>периодами.</w:t>
      </w:r>
    </w:p>
    <w:p w:rsidR="007B4ADB" w:rsidRPr="007B4ADB" w:rsidRDefault="007B4ADB" w:rsidP="007B4AD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790B" w:rsidRPr="003A7E69" w:rsidRDefault="00AD10F8" w:rsidP="003A7E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7E69">
        <w:rPr>
          <w:rFonts w:ascii="Times New Roman" w:eastAsia="Calibri" w:hAnsi="Times New Roman" w:cs="Times New Roman"/>
          <w:sz w:val="28"/>
          <w:szCs w:val="28"/>
        </w:rPr>
        <w:t>А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нализ результ</w:t>
      </w:r>
      <w:r w:rsidR="00C05DD4" w:rsidRPr="003A7E69">
        <w:rPr>
          <w:rFonts w:ascii="Times New Roman" w:eastAsia="Calibri" w:hAnsi="Times New Roman" w:cs="Times New Roman"/>
          <w:sz w:val="28"/>
          <w:szCs w:val="28"/>
        </w:rPr>
        <w:t>ат</w:t>
      </w:r>
      <w:r w:rsidR="00AE4E75" w:rsidRPr="003A7E69">
        <w:rPr>
          <w:rFonts w:ascii="Times New Roman" w:eastAsia="Calibri" w:hAnsi="Times New Roman" w:cs="Times New Roman"/>
          <w:sz w:val="28"/>
          <w:szCs w:val="28"/>
        </w:rPr>
        <w:t>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="00E47CFB" w:rsidRPr="003A7E69">
        <w:rPr>
          <w:rFonts w:ascii="Times New Roman" w:eastAsia="Calibri" w:hAnsi="Times New Roman" w:cs="Times New Roman"/>
          <w:b/>
          <w:sz w:val="28"/>
          <w:szCs w:val="28"/>
        </w:rPr>
        <w:t>проектов</w:t>
      </w:r>
      <w:r w:rsidR="00E47CFB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3A7E69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подвергшихся антикоррупционной эксперт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и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зе, показ</w:t>
      </w:r>
      <w:r w:rsidR="00921585" w:rsidRPr="003A7E69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что, преобладающими типичными коррупциогенными факторами являются</w:t>
      </w:r>
      <w:r w:rsidR="0044790B" w:rsidRPr="003A7E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8A1" w:rsidRDefault="00C978A1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компетенции по формуле «вправе»;</w:t>
      </w:r>
    </w:p>
    <w:p w:rsidR="00E00367" w:rsidRDefault="00E00367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юридико-лингвистическая неопределен</w:t>
      </w:r>
      <w:r w:rsidR="00FA601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ость.</w:t>
      </w:r>
    </w:p>
    <w:p w:rsidR="00E47CFB" w:rsidRDefault="00E47CFB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Названные факторы были выявлены в проектах нормативных правовых актов и устранены  в ходе работы над ними.</w:t>
      </w:r>
    </w:p>
    <w:p w:rsidR="00921585" w:rsidRDefault="00921585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7693">
        <w:rPr>
          <w:rFonts w:ascii="Times New Roman" w:eastAsia="Calibri" w:hAnsi="Times New Roman" w:cs="Times New Roman"/>
          <w:sz w:val="28"/>
          <w:szCs w:val="28"/>
        </w:rPr>
        <w:t xml:space="preserve">проектах </w:t>
      </w:r>
      <w:r w:rsidRPr="0044790B">
        <w:rPr>
          <w:rFonts w:ascii="Times New Roman" w:eastAsia="Calibri" w:hAnsi="Times New Roman" w:cs="Times New Roman"/>
          <w:sz w:val="28"/>
          <w:szCs w:val="28"/>
        </w:rPr>
        <w:t>нормативных правовых акт</w:t>
      </w:r>
      <w:r w:rsidR="00A8129E">
        <w:rPr>
          <w:rFonts w:ascii="Times New Roman" w:eastAsia="Calibri" w:hAnsi="Times New Roman" w:cs="Times New Roman"/>
          <w:sz w:val="28"/>
          <w:szCs w:val="28"/>
        </w:rPr>
        <w:t>ов</w:t>
      </w:r>
      <w:r w:rsidRPr="0044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чаще всего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сутствуют сроки и порядки совершения определенных административных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цедур,</w:t>
      </w:r>
      <w:r w:rsidRPr="0021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и критерии принятия тех или иных решений, </w:t>
      </w:r>
      <w:r w:rsidR="00C978A1">
        <w:rPr>
          <w:rFonts w:ascii="Times New Roman" w:eastAsia="Calibri" w:hAnsi="Times New Roman" w:cs="Times New Roman"/>
          <w:sz w:val="28"/>
          <w:szCs w:val="28"/>
        </w:rPr>
        <w:t>устанавливается право должностного лица  на осуществление определенных действий, а не его обязанность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22FD" w:rsidRDefault="00647900" w:rsidP="00FA60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10A" w:rsidRPr="000122A3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нередко такие коррупциогенные факторы, как 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F14906">
        <w:rPr>
          <w:rFonts w:ascii="Times New Roman" w:eastAsia="Calibri" w:hAnsi="Times New Roman" w:cs="Times New Roman"/>
          <w:sz w:val="28"/>
          <w:szCs w:val="28"/>
        </w:rPr>
        <w:t>, «отсутствие или неполнота админ</w:t>
      </w:r>
      <w:r w:rsidR="00F14906">
        <w:rPr>
          <w:rFonts w:ascii="Times New Roman" w:eastAsia="Calibri" w:hAnsi="Times New Roman" w:cs="Times New Roman"/>
          <w:sz w:val="28"/>
          <w:szCs w:val="28"/>
        </w:rPr>
        <w:t>и</w:t>
      </w:r>
      <w:r w:rsidR="00F14906">
        <w:rPr>
          <w:rFonts w:ascii="Times New Roman" w:eastAsia="Calibri" w:hAnsi="Times New Roman" w:cs="Times New Roman"/>
          <w:sz w:val="28"/>
          <w:szCs w:val="28"/>
        </w:rPr>
        <w:t>стративных процедур»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 выявля</w:t>
      </w:r>
      <w:r w:rsidR="00F14906">
        <w:rPr>
          <w:rFonts w:ascii="Times New Roman" w:eastAsia="Calibri" w:hAnsi="Times New Roman" w:cs="Times New Roman"/>
          <w:sz w:val="28"/>
          <w:szCs w:val="28"/>
        </w:rPr>
        <w:t>ю</w:t>
      </w:r>
      <w:r w:rsidR="00E66987">
        <w:rPr>
          <w:rFonts w:ascii="Times New Roman" w:eastAsia="Calibri" w:hAnsi="Times New Roman" w:cs="Times New Roman"/>
          <w:sz w:val="28"/>
          <w:szCs w:val="28"/>
        </w:rPr>
        <w:t>тся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87">
        <w:rPr>
          <w:rFonts w:ascii="Times New Roman" w:eastAsia="Calibri" w:hAnsi="Times New Roman" w:cs="Times New Roman"/>
          <w:sz w:val="28"/>
          <w:szCs w:val="28"/>
        </w:rPr>
        <w:t>в нормативных правовых актах (проектах нормативных правовых актов), определяющих порядки (правила) предоставл</w:t>
      </w:r>
      <w:r w:rsidR="00E66987">
        <w:rPr>
          <w:rFonts w:ascii="Times New Roman" w:eastAsia="Calibri" w:hAnsi="Times New Roman" w:cs="Times New Roman"/>
          <w:sz w:val="28"/>
          <w:szCs w:val="28"/>
        </w:rPr>
        <w:t>е</w:t>
      </w:r>
      <w:r w:rsidR="00E66987">
        <w:rPr>
          <w:rFonts w:ascii="Times New Roman" w:eastAsia="Calibri" w:hAnsi="Times New Roman" w:cs="Times New Roman"/>
          <w:sz w:val="28"/>
          <w:szCs w:val="28"/>
        </w:rPr>
        <w:t>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3B46F0">
        <w:rPr>
          <w:rFonts w:ascii="Times New Roman" w:eastAsia="Calibri" w:hAnsi="Times New Roman" w:cs="Times New Roman"/>
          <w:sz w:val="28"/>
          <w:szCs w:val="28"/>
        </w:rPr>
        <w:t>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5E14" w:rsidRDefault="003B46F0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Такие порядки</w:t>
      </w:r>
      <w:r w:rsidR="008775CA">
        <w:rPr>
          <w:rFonts w:ascii="Times New Roman" w:eastAsia="Calibri" w:hAnsi="Times New Roman" w:cs="Times New Roman"/>
          <w:sz w:val="28"/>
          <w:szCs w:val="28"/>
        </w:rPr>
        <w:t xml:space="preserve"> (правила)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предусматривают 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>
        <w:rPr>
          <w:rFonts w:ascii="Times New Roman" w:eastAsia="Calibri" w:hAnsi="Times New Roman" w:cs="Times New Roman"/>
          <w:sz w:val="28"/>
          <w:szCs w:val="28"/>
        </w:rPr>
        <w:t>процедуры, необход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мые для предоставления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, которые не всегда содержат те либо иные процедурные моменты. </w:t>
      </w:r>
    </w:p>
    <w:p w:rsidR="00CF0B13" w:rsidRDefault="00CF0B13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E0A" w:rsidRDefault="00F14906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заключений</w:t>
      </w:r>
      <w:r w:rsidR="00CF0B13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а</w:t>
      </w:r>
      <w:r w:rsidR="00CF0B13">
        <w:rPr>
          <w:rFonts w:ascii="Times New Roman" w:eastAsia="Calibri" w:hAnsi="Times New Roman" w:cs="Times New Roman"/>
          <w:sz w:val="28"/>
          <w:szCs w:val="28"/>
        </w:rPr>
        <w:t>н</w:t>
      </w:r>
      <w:r w:rsidR="00CF0B13">
        <w:rPr>
          <w:rFonts w:ascii="Times New Roman" w:eastAsia="Calibri" w:hAnsi="Times New Roman" w:cs="Times New Roman"/>
          <w:sz w:val="28"/>
          <w:szCs w:val="28"/>
        </w:rPr>
        <w:t>тикоррупционной экспертизы нормативных правовых актов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направленных 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ганам в 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стеме исполнительной власти Республики Коми в</w:t>
      </w:r>
      <w:r w:rsidR="00D64E0A">
        <w:rPr>
          <w:rFonts w:ascii="Times New Roman" w:eastAsia="Calibri" w:hAnsi="Times New Roman" w:cs="Times New Roman"/>
          <w:sz w:val="28"/>
          <w:szCs w:val="28"/>
        </w:rPr>
        <w:t>о</w:t>
      </w:r>
      <w:r w:rsidR="00627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9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64E0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27DC1" w:rsidRPr="00627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611957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27DC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устранено</w:t>
      </w:r>
      <w:r w:rsidR="00267AE2" w:rsidRPr="00267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F83" w:rsidRPr="00367F83">
        <w:rPr>
          <w:rFonts w:ascii="Times New Roman" w:eastAsia="Calibri" w:hAnsi="Times New Roman" w:cs="Times New Roman"/>
          <w:sz w:val="28"/>
          <w:szCs w:val="28"/>
        </w:rPr>
        <w:t>9</w:t>
      </w:r>
      <w:r w:rsidR="00611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 w:rsidR="00D6661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367F83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D64E0A">
        <w:rPr>
          <w:rFonts w:ascii="Times New Roman" w:eastAsia="Calibri" w:hAnsi="Times New Roman" w:cs="Times New Roman"/>
          <w:sz w:val="28"/>
          <w:szCs w:val="28"/>
        </w:rPr>
        <w:t>10 в</w:t>
      </w:r>
      <w:r>
        <w:rPr>
          <w:rFonts w:ascii="Times New Roman" w:eastAsia="Calibri" w:hAnsi="Times New Roman" w:cs="Times New Roman"/>
          <w:sz w:val="28"/>
          <w:szCs w:val="28"/>
        </w:rPr>
        <w:t>ыя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ленных. </w:t>
      </w:r>
    </w:p>
    <w:p w:rsidR="00D64E0A" w:rsidRDefault="00D64E0A" w:rsidP="001D4B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одном нормативном правовом акте не уст</w:t>
      </w:r>
      <w:r w:rsidR="001D4B10">
        <w:rPr>
          <w:rFonts w:ascii="Times New Roman" w:eastAsia="Calibri" w:hAnsi="Times New Roman" w:cs="Times New Roman"/>
          <w:sz w:val="28"/>
          <w:szCs w:val="28"/>
        </w:rPr>
        <w:t>ранен 1 коррупциогенный фа</w:t>
      </w:r>
      <w:r w:rsidR="001D4B10">
        <w:rPr>
          <w:rFonts w:ascii="Times New Roman" w:eastAsia="Calibri" w:hAnsi="Times New Roman" w:cs="Times New Roman"/>
          <w:sz w:val="28"/>
          <w:szCs w:val="28"/>
        </w:rPr>
        <w:t>к</w:t>
      </w:r>
      <w:r w:rsidR="001D4B10">
        <w:rPr>
          <w:rFonts w:ascii="Times New Roman" w:eastAsia="Calibri" w:hAnsi="Times New Roman" w:cs="Times New Roman"/>
          <w:sz w:val="28"/>
          <w:szCs w:val="28"/>
        </w:rPr>
        <w:t xml:space="preserve">тор. Это связано с тем, что орган исполнительной власти, которому было  направлено заключение  на рассмотрение, </w:t>
      </w:r>
      <w:r w:rsidR="00C426C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зак</w:t>
      </w:r>
      <w:r w:rsidR="00C426C9">
        <w:rPr>
          <w:rFonts w:ascii="Times New Roman" w:eastAsia="Calibri" w:hAnsi="Times New Roman" w:cs="Times New Roman"/>
          <w:sz w:val="28"/>
          <w:szCs w:val="28"/>
        </w:rPr>
        <w:t>о</w:t>
      </w:r>
      <w:r w:rsidR="00C426C9">
        <w:rPr>
          <w:rFonts w:ascii="Times New Roman" w:eastAsia="Calibri" w:hAnsi="Times New Roman" w:cs="Times New Roman"/>
          <w:sz w:val="28"/>
          <w:szCs w:val="28"/>
        </w:rPr>
        <w:t xml:space="preserve">нодательства Республики Коми </w:t>
      </w:r>
      <w:r w:rsidR="001D4B10">
        <w:rPr>
          <w:rFonts w:ascii="Times New Roman" w:eastAsia="Calibri" w:hAnsi="Times New Roman" w:cs="Times New Roman"/>
          <w:sz w:val="28"/>
          <w:szCs w:val="28"/>
        </w:rPr>
        <w:t xml:space="preserve">обратился с </w:t>
      </w:r>
      <w:r w:rsidR="001D4B10">
        <w:rPr>
          <w:rFonts w:ascii="Times New Roman" w:hAnsi="Times New Roman" w:cs="Times New Roman"/>
          <w:sz w:val="28"/>
          <w:szCs w:val="28"/>
        </w:rPr>
        <w:t xml:space="preserve">мотивированным предложением о продлении срока подготовки проекта. Указанное мотивированное предложение </w:t>
      </w:r>
      <w:r w:rsidR="001D4B10">
        <w:rPr>
          <w:rFonts w:ascii="Times New Roman" w:hAnsi="Times New Roman" w:cs="Times New Roman"/>
          <w:sz w:val="28"/>
          <w:szCs w:val="28"/>
        </w:rPr>
        <w:lastRenderedPageBreak/>
        <w:t>было согласовано</w:t>
      </w:r>
      <w:r w:rsidR="001D4B10">
        <w:rPr>
          <w:rFonts w:ascii="Times New Roman" w:eastAsia="Calibri" w:hAnsi="Times New Roman" w:cs="Times New Roman"/>
          <w:sz w:val="28"/>
          <w:szCs w:val="28"/>
        </w:rPr>
        <w:t xml:space="preserve"> заместителем Председателя Правительства Республики Коми и </w:t>
      </w:r>
      <w:r w:rsidR="00C426C9">
        <w:rPr>
          <w:rFonts w:ascii="Times New Roman" w:eastAsia="Calibri" w:hAnsi="Times New Roman" w:cs="Times New Roman"/>
          <w:sz w:val="28"/>
          <w:szCs w:val="28"/>
        </w:rPr>
        <w:t xml:space="preserve">определен </w:t>
      </w:r>
      <w:r w:rsidR="001D4B10">
        <w:rPr>
          <w:rFonts w:ascii="Times New Roman" w:eastAsia="Calibri" w:hAnsi="Times New Roman" w:cs="Times New Roman"/>
          <w:sz w:val="28"/>
          <w:szCs w:val="28"/>
        </w:rPr>
        <w:t>срок для подготовки и внесения проекта в установленном порядке  – не позднее 31 марта 2016 года.</w:t>
      </w:r>
    </w:p>
    <w:p w:rsidR="00F14906" w:rsidRDefault="00611957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рассмотрение заключения по результатам антикоррупц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онной экспертизы осуществляется в установленные законодательством Респу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Коми сроки. </w:t>
      </w:r>
    </w:p>
    <w:p w:rsidR="00CA75D0" w:rsidRPr="00267AE2" w:rsidRDefault="00C47160" w:rsidP="00C81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</w:t>
      </w:r>
      <w:r w:rsidR="00660B9B">
        <w:rPr>
          <w:rFonts w:ascii="Times New Roman" w:hAnsi="Times New Roman" w:cs="Times New Roman"/>
          <w:sz w:val="28"/>
          <w:szCs w:val="28"/>
        </w:rPr>
        <w:t>н</w:t>
      </w:r>
      <w:r w:rsidR="00660B9B">
        <w:rPr>
          <w:rFonts w:ascii="Times New Roman" w:hAnsi="Times New Roman" w:cs="Times New Roman"/>
          <w:sz w:val="28"/>
          <w:szCs w:val="28"/>
        </w:rPr>
        <w:t>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176C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176CB3">
        <w:rPr>
          <w:rFonts w:ascii="Times New Roman" w:hAnsi="Times New Roman" w:cs="Times New Roman"/>
          <w:sz w:val="28"/>
          <w:szCs w:val="28"/>
        </w:rPr>
        <w:t>5</w:t>
      </w:r>
      <w:r w:rsidR="00660B9B">
        <w:rPr>
          <w:rFonts w:ascii="Times New Roman" w:hAnsi="Times New Roman" w:cs="Times New Roman"/>
          <w:sz w:val="28"/>
          <w:szCs w:val="28"/>
        </w:rPr>
        <w:t xml:space="preserve"> год</w:t>
      </w:r>
      <w:r w:rsidR="00267AE2">
        <w:rPr>
          <w:rFonts w:ascii="Times New Roman" w:hAnsi="Times New Roman" w:cs="Times New Roman"/>
          <w:sz w:val="28"/>
          <w:szCs w:val="28"/>
        </w:rPr>
        <w:t>а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8F3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2015</w:t>
      </w:r>
      <w:r w:rsidR="00267A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отметить, что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1835F4" w:rsidRDefault="001835F4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8F3159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1835F4">
        <w:rPr>
          <w:rFonts w:ascii="Times New Roman" w:hAnsi="Times New Roman" w:cs="Times New Roman"/>
          <w:sz w:val="28"/>
          <w:szCs w:val="28"/>
        </w:rPr>
        <w:t>количество нормативных правовых актов, в отношении которых  Администрацией была проведена антикоррупционная экспертиза (с</w:t>
      </w:r>
      <w:r w:rsidR="008F3159">
        <w:rPr>
          <w:rFonts w:ascii="Times New Roman" w:hAnsi="Times New Roman" w:cs="Times New Roman"/>
          <w:sz w:val="28"/>
          <w:szCs w:val="28"/>
        </w:rPr>
        <w:t xml:space="preserve"> 32 до 18</w:t>
      </w:r>
      <w:r w:rsidRPr="001835F4">
        <w:rPr>
          <w:rFonts w:ascii="Times New Roman" w:hAnsi="Times New Roman" w:cs="Times New Roman"/>
          <w:sz w:val="28"/>
          <w:szCs w:val="28"/>
        </w:rPr>
        <w:t>)</w:t>
      </w:r>
      <w:r w:rsidR="008F3159">
        <w:rPr>
          <w:rFonts w:ascii="Times New Roman" w:hAnsi="Times New Roman" w:cs="Times New Roman"/>
          <w:sz w:val="28"/>
          <w:szCs w:val="28"/>
        </w:rPr>
        <w:t>. Это связано с тем, что антикоррупционная экспертиза некоторых</w:t>
      </w:r>
      <w:r w:rsidR="00424808">
        <w:rPr>
          <w:rFonts w:ascii="Times New Roman" w:hAnsi="Times New Roman" w:cs="Times New Roman"/>
          <w:sz w:val="28"/>
          <w:szCs w:val="28"/>
        </w:rPr>
        <w:t xml:space="preserve"> норм</w:t>
      </w:r>
      <w:r w:rsidR="00424808">
        <w:rPr>
          <w:rFonts w:ascii="Times New Roman" w:hAnsi="Times New Roman" w:cs="Times New Roman"/>
          <w:sz w:val="28"/>
          <w:szCs w:val="28"/>
        </w:rPr>
        <w:t>а</w:t>
      </w:r>
      <w:r w:rsidR="00424808">
        <w:rPr>
          <w:rFonts w:ascii="Times New Roman" w:hAnsi="Times New Roman" w:cs="Times New Roman"/>
          <w:sz w:val="28"/>
          <w:szCs w:val="28"/>
        </w:rPr>
        <w:t xml:space="preserve">тивных правовых </w:t>
      </w:r>
      <w:r w:rsidR="008F3159">
        <w:rPr>
          <w:rFonts w:ascii="Times New Roman" w:hAnsi="Times New Roman" w:cs="Times New Roman"/>
          <w:sz w:val="28"/>
          <w:szCs w:val="28"/>
        </w:rPr>
        <w:t>актов, срок проведения по которым был определен 2 полуг</w:t>
      </w:r>
      <w:r w:rsidR="008F3159">
        <w:rPr>
          <w:rFonts w:ascii="Times New Roman" w:hAnsi="Times New Roman" w:cs="Times New Roman"/>
          <w:sz w:val="28"/>
          <w:szCs w:val="28"/>
        </w:rPr>
        <w:t>о</w:t>
      </w:r>
      <w:r w:rsidR="008F3159">
        <w:rPr>
          <w:rFonts w:ascii="Times New Roman" w:hAnsi="Times New Roman" w:cs="Times New Roman"/>
          <w:sz w:val="28"/>
          <w:szCs w:val="28"/>
        </w:rPr>
        <w:t>дие, проведена в 1 полугодии</w:t>
      </w:r>
      <w:r w:rsidRPr="001835F4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1835F4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 xml:space="preserve">) </w:t>
      </w:r>
      <w:r w:rsidR="008F3159">
        <w:rPr>
          <w:rFonts w:ascii="Times New Roman" w:hAnsi="Times New Roman" w:cs="Times New Roman"/>
          <w:sz w:val="28"/>
          <w:szCs w:val="28"/>
        </w:rPr>
        <w:t>уменьшилось</w:t>
      </w:r>
      <w:r w:rsidR="008A7368">
        <w:rPr>
          <w:rFonts w:ascii="Times New Roman" w:hAnsi="Times New Roman" w:cs="Times New Roman"/>
          <w:sz w:val="28"/>
          <w:szCs w:val="28"/>
        </w:rPr>
        <w:t xml:space="preserve"> </w:t>
      </w:r>
      <w:r w:rsidRPr="001835F4">
        <w:rPr>
          <w:rFonts w:ascii="Times New Roman" w:hAnsi="Times New Roman" w:cs="Times New Roman"/>
          <w:sz w:val="28"/>
          <w:szCs w:val="28"/>
        </w:rPr>
        <w:t xml:space="preserve">количество выявленных коррупциогенных факторов в нормативных правовых актах (с </w:t>
      </w:r>
      <w:r w:rsidR="008F3159">
        <w:rPr>
          <w:rFonts w:ascii="Times New Roman" w:hAnsi="Times New Roman" w:cs="Times New Roman"/>
          <w:sz w:val="28"/>
          <w:szCs w:val="28"/>
        </w:rPr>
        <w:t>2</w:t>
      </w:r>
      <w:r w:rsidR="008A7368">
        <w:rPr>
          <w:rFonts w:ascii="Times New Roman" w:hAnsi="Times New Roman" w:cs="Times New Roman"/>
          <w:sz w:val="28"/>
          <w:szCs w:val="28"/>
        </w:rPr>
        <w:t>3</w:t>
      </w:r>
      <w:r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8F3159">
        <w:rPr>
          <w:rFonts w:ascii="Times New Roman" w:hAnsi="Times New Roman" w:cs="Times New Roman"/>
          <w:sz w:val="28"/>
          <w:szCs w:val="28"/>
        </w:rPr>
        <w:t>10</w:t>
      </w:r>
      <w:r w:rsidRPr="001835F4">
        <w:rPr>
          <w:rFonts w:ascii="Times New Roman" w:hAnsi="Times New Roman" w:cs="Times New Roman"/>
          <w:sz w:val="28"/>
          <w:szCs w:val="28"/>
        </w:rPr>
        <w:t xml:space="preserve"> факторов)</w:t>
      </w:r>
      <w:r w:rsidR="008F3159">
        <w:rPr>
          <w:rFonts w:ascii="Times New Roman" w:hAnsi="Times New Roman" w:cs="Times New Roman"/>
          <w:sz w:val="28"/>
          <w:szCs w:val="28"/>
        </w:rPr>
        <w:t>. Количество факторов уменьшилось пропорционально уменьшению количества актов, в отношении которых проведена антикоррупционная экспертиза в отчетном периоде</w:t>
      </w:r>
      <w:r w:rsidRPr="001835F4">
        <w:rPr>
          <w:rFonts w:ascii="Times New Roman" w:hAnsi="Times New Roman" w:cs="Times New Roman"/>
          <w:sz w:val="28"/>
          <w:szCs w:val="28"/>
        </w:rPr>
        <w:t>;</w:t>
      </w:r>
    </w:p>
    <w:p w:rsidR="001835F4" w:rsidRPr="000F4397" w:rsidRDefault="008A7368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97">
        <w:rPr>
          <w:rFonts w:ascii="Times New Roman" w:hAnsi="Times New Roman" w:cs="Times New Roman"/>
          <w:sz w:val="28"/>
          <w:szCs w:val="28"/>
        </w:rPr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E264E4" w:rsidRPr="000F4397">
        <w:rPr>
          <w:rFonts w:ascii="Times New Roman" w:hAnsi="Times New Roman" w:cs="Times New Roman"/>
          <w:sz w:val="28"/>
          <w:szCs w:val="28"/>
        </w:rPr>
        <w:t xml:space="preserve">в количественном выражении 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1835F4" w:rsidRPr="000F4397">
        <w:rPr>
          <w:rFonts w:ascii="Times New Roman" w:hAnsi="Times New Roman" w:cs="Times New Roman"/>
          <w:sz w:val="28"/>
          <w:szCs w:val="28"/>
        </w:rPr>
        <w:t>выявлен</w:t>
      </w:r>
      <w:r w:rsidRPr="000F4397">
        <w:rPr>
          <w:rFonts w:ascii="Times New Roman" w:hAnsi="Times New Roman" w:cs="Times New Roman"/>
          <w:sz w:val="28"/>
          <w:szCs w:val="28"/>
        </w:rPr>
        <w:t>ие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 коррупциоге</w:t>
      </w:r>
      <w:r w:rsidR="001835F4" w:rsidRPr="000F4397">
        <w:rPr>
          <w:rFonts w:ascii="Times New Roman" w:hAnsi="Times New Roman" w:cs="Times New Roman"/>
          <w:sz w:val="28"/>
          <w:szCs w:val="28"/>
        </w:rPr>
        <w:t>н</w:t>
      </w:r>
      <w:r w:rsidR="001835F4" w:rsidRPr="000F4397">
        <w:rPr>
          <w:rFonts w:ascii="Times New Roman" w:hAnsi="Times New Roman" w:cs="Times New Roman"/>
          <w:sz w:val="28"/>
          <w:szCs w:val="28"/>
        </w:rPr>
        <w:t>н</w:t>
      </w:r>
      <w:r w:rsidR="00E264E4" w:rsidRPr="000F4397">
        <w:rPr>
          <w:rFonts w:ascii="Times New Roman" w:hAnsi="Times New Roman" w:cs="Times New Roman"/>
          <w:sz w:val="28"/>
          <w:szCs w:val="28"/>
        </w:rPr>
        <w:t>ых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264E4" w:rsidRPr="000F4397">
        <w:rPr>
          <w:rFonts w:ascii="Times New Roman" w:hAnsi="Times New Roman" w:cs="Times New Roman"/>
          <w:sz w:val="28"/>
          <w:szCs w:val="28"/>
        </w:rPr>
        <w:t>ов;</w:t>
      </w:r>
    </w:p>
    <w:p w:rsidR="00C40A32" w:rsidRPr="000F4397" w:rsidRDefault="008A7368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97">
        <w:rPr>
          <w:rFonts w:ascii="Times New Roman" w:hAnsi="Times New Roman" w:cs="Times New Roman"/>
          <w:sz w:val="28"/>
          <w:szCs w:val="28"/>
        </w:rPr>
        <w:t>г</w:t>
      </w:r>
      <w:r w:rsidR="00E264E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C40A32" w:rsidRPr="000F4397">
        <w:rPr>
          <w:rFonts w:ascii="Times New Roman" w:hAnsi="Times New Roman" w:cs="Times New Roman"/>
          <w:sz w:val="28"/>
          <w:szCs w:val="28"/>
        </w:rPr>
        <w:t>в процентном соотношении  от общего числа выявленных коррупци</w:t>
      </w:r>
      <w:r w:rsidR="00C40A32" w:rsidRPr="000F4397">
        <w:rPr>
          <w:rFonts w:ascii="Times New Roman" w:hAnsi="Times New Roman" w:cs="Times New Roman"/>
          <w:sz w:val="28"/>
          <w:szCs w:val="28"/>
        </w:rPr>
        <w:t>о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генных факторов, отраженных в заключениях </w:t>
      </w:r>
      <w:r w:rsidRPr="000F4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4397" w:rsidRPr="000F4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397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0F4397" w:rsidRPr="000F4397">
        <w:rPr>
          <w:rFonts w:ascii="Times New Roman" w:hAnsi="Times New Roman" w:cs="Times New Roman"/>
          <w:sz w:val="28"/>
          <w:szCs w:val="28"/>
        </w:rPr>
        <w:t>я</w:t>
      </w:r>
      <w:r w:rsidRPr="000F4397">
        <w:rPr>
          <w:rFonts w:ascii="Times New Roman" w:hAnsi="Times New Roman" w:cs="Times New Roman"/>
          <w:sz w:val="28"/>
          <w:szCs w:val="28"/>
        </w:rPr>
        <w:t xml:space="preserve"> 2015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304E" w:rsidRPr="000F4397">
        <w:rPr>
          <w:rFonts w:ascii="Times New Roman" w:hAnsi="Times New Roman" w:cs="Times New Roman"/>
          <w:sz w:val="28"/>
          <w:szCs w:val="28"/>
        </w:rPr>
        <w:t>,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 у</w:t>
      </w:r>
      <w:r w:rsidR="005A5A27" w:rsidRPr="000F4397">
        <w:rPr>
          <w:rFonts w:ascii="Times New Roman" w:hAnsi="Times New Roman" w:cs="Times New Roman"/>
          <w:sz w:val="28"/>
          <w:szCs w:val="28"/>
        </w:rPr>
        <w:t>мен</w:t>
      </w:r>
      <w:r w:rsidR="005A5A27" w:rsidRPr="000F4397">
        <w:rPr>
          <w:rFonts w:ascii="Times New Roman" w:hAnsi="Times New Roman" w:cs="Times New Roman"/>
          <w:sz w:val="28"/>
          <w:szCs w:val="28"/>
        </w:rPr>
        <w:t>ь</w:t>
      </w:r>
      <w:r w:rsidR="005A5A27" w:rsidRPr="000F4397">
        <w:rPr>
          <w:rFonts w:ascii="Times New Roman" w:hAnsi="Times New Roman" w:cs="Times New Roman"/>
          <w:sz w:val="28"/>
          <w:szCs w:val="28"/>
        </w:rPr>
        <w:t>шилась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 доля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 таких факторов, как</w:t>
      </w:r>
      <w:r w:rsidR="00C40A32" w:rsidRPr="000F4397">
        <w:rPr>
          <w:rFonts w:ascii="Times New Roman" w:hAnsi="Times New Roman" w:cs="Times New Roman"/>
          <w:sz w:val="28"/>
          <w:szCs w:val="28"/>
        </w:rPr>
        <w:t>:</w:t>
      </w:r>
    </w:p>
    <w:p w:rsidR="000F4397" w:rsidRPr="000F4397" w:rsidRDefault="00C40A32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97">
        <w:rPr>
          <w:rFonts w:ascii="Times New Roman" w:hAnsi="Times New Roman" w:cs="Times New Roman"/>
          <w:sz w:val="28"/>
          <w:szCs w:val="28"/>
        </w:rPr>
        <w:t xml:space="preserve">- «широта дискреционных полномочий» (с </w:t>
      </w:r>
      <w:r w:rsidR="000F4397" w:rsidRPr="000F4397">
        <w:rPr>
          <w:rFonts w:ascii="Times New Roman" w:hAnsi="Times New Roman" w:cs="Times New Roman"/>
          <w:sz w:val="28"/>
          <w:szCs w:val="28"/>
        </w:rPr>
        <w:t>47,8</w:t>
      </w:r>
      <w:r w:rsidR="008A7368" w:rsidRPr="000F4397">
        <w:rPr>
          <w:rFonts w:ascii="Times New Roman" w:hAnsi="Times New Roman" w:cs="Times New Roman"/>
          <w:sz w:val="28"/>
          <w:szCs w:val="28"/>
        </w:rPr>
        <w:t xml:space="preserve"> </w:t>
      </w:r>
      <w:r w:rsidRPr="000F4397">
        <w:rPr>
          <w:rFonts w:ascii="Times New Roman" w:hAnsi="Times New Roman" w:cs="Times New Roman"/>
          <w:sz w:val="28"/>
          <w:szCs w:val="28"/>
        </w:rPr>
        <w:t xml:space="preserve">% до </w:t>
      </w:r>
      <w:r w:rsidR="000F4397" w:rsidRPr="000F4397">
        <w:rPr>
          <w:rFonts w:ascii="Times New Roman" w:hAnsi="Times New Roman" w:cs="Times New Roman"/>
          <w:sz w:val="28"/>
          <w:szCs w:val="28"/>
        </w:rPr>
        <w:t>10</w:t>
      </w:r>
      <w:r w:rsidRPr="000F4397">
        <w:rPr>
          <w:rFonts w:ascii="Times New Roman" w:hAnsi="Times New Roman" w:cs="Times New Roman"/>
          <w:sz w:val="28"/>
          <w:szCs w:val="28"/>
        </w:rPr>
        <w:t>%);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32" w:rsidRPr="000F4397" w:rsidRDefault="000F4397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97">
        <w:rPr>
          <w:rFonts w:ascii="Times New Roman" w:hAnsi="Times New Roman" w:cs="Times New Roman"/>
          <w:sz w:val="28"/>
          <w:szCs w:val="28"/>
        </w:rPr>
        <w:t xml:space="preserve">- «юридико-лингвистическая неопределенность» (с </w:t>
      </w:r>
      <w:r>
        <w:rPr>
          <w:rFonts w:ascii="Times New Roman" w:hAnsi="Times New Roman" w:cs="Times New Roman"/>
          <w:sz w:val="28"/>
          <w:szCs w:val="28"/>
        </w:rPr>
        <w:t>13,</w:t>
      </w:r>
      <w:r w:rsidRPr="000F4397">
        <w:rPr>
          <w:rFonts w:ascii="Times New Roman" w:hAnsi="Times New Roman" w:cs="Times New Roman"/>
          <w:sz w:val="28"/>
          <w:szCs w:val="28"/>
        </w:rPr>
        <w:t>04 % до 10%);</w:t>
      </w:r>
    </w:p>
    <w:p w:rsidR="000F4397" w:rsidRPr="000F4397" w:rsidRDefault="005A5A27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97">
        <w:rPr>
          <w:rFonts w:ascii="Times New Roman" w:hAnsi="Times New Roman" w:cs="Times New Roman"/>
          <w:sz w:val="28"/>
          <w:szCs w:val="28"/>
        </w:rPr>
        <w:t>д</w:t>
      </w:r>
      <w:r w:rsidR="00C40A32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627DC1" w:rsidRPr="000F4397">
        <w:rPr>
          <w:rFonts w:ascii="Times New Roman" w:hAnsi="Times New Roman" w:cs="Times New Roman"/>
          <w:sz w:val="28"/>
          <w:szCs w:val="28"/>
        </w:rPr>
        <w:t xml:space="preserve">в процентном соотношении </w:t>
      </w:r>
      <w:r w:rsidR="000F4397" w:rsidRPr="000F4397">
        <w:rPr>
          <w:rFonts w:ascii="Times New Roman" w:hAnsi="Times New Roman" w:cs="Times New Roman"/>
          <w:sz w:val="28"/>
          <w:szCs w:val="28"/>
        </w:rPr>
        <w:t>от общего числа выявленных коррупци</w:t>
      </w:r>
      <w:r w:rsidR="000F4397" w:rsidRPr="000F4397">
        <w:rPr>
          <w:rFonts w:ascii="Times New Roman" w:hAnsi="Times New Roman" w:cs="Times New Roman"/>
          <w:sz w:val="28"/>
          <w:szCs w:val="28"/>
        </w:rPr>
        <w:t>о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генных факторов, отраженных в заключениях </w:t>
      </w:r>
      <w:r w:rsidR="000F4397" w:rsidRPr="000F43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 полугодия 2015 года</w:t>
      </w:r>
      <w:r w:rsidR="000F4397">
        <w:rPr>
          <w:rFonts w:ascii="Times New Roman" w:hAnsi="Times New Roman" w:cs="Times New Roman"/>
          <w:sz w:val="28"/>
          <w:szCs w:val="28"/>
        </w:rPr>
        <w:t>,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 </w:t>
      </w:r>
      <w:r w:rsidR="00627DC1" w:rsidRPr="000F4397">
        <w:rPr>
          <w:rFonts w:ascii="Times New Roman" w:hAnsi="Times New Roman" w:cs="Times New Roman"/>
          <w:sz w:val="28"/>
          <w:szCs w:val="28"/>
        </w:rPr>
        <w:t>у</w:t>
      </w:r>
      <w:r w:rsidRPr="000F4397">
        <w:rPr>
          <w:rFonts w:ascii="Times New Roman" w:hAnsi="Times New Roman" w:cs="Times New Roman"/>
          <w:sz w:val="28"/>
          <w:szCs w:val="28"/>
        </w:rPr>
        <w:t>велич</w:t>
      </w:r>
      <w:r w:rsidRPr="000F4397">
        <w:rPr>
          <w:rFonts w:ascii="Times New Roman" w:hAnsi="Times New Roman" w:cs="Times New Roman"/>
          <w:sz w:val="28"/>
          <w:szCs w:val="28"/>
        </w:rPr>
        <w:t>и</w:t>
      </w:r>
      <w:r w:rsidRPr="000F4397">
        <w:rPr>
          <w:rFonts w:ascii="Times New Roman" w:hAnsi="Times New Roman" w:cs="Times New Roman"/>
          <w:sz w:val="28"/>
          <w:szCs w:val="28"/>
        </w:rPr>
        <w:t>лас</w:t>
      </w:r>
      <w:r w:rsidR="00627DC1" w:rsidRPr="000F4397">
        <w:rPr>
          <w:rFonts w:ascii="Times New Roman" w:hAnsi="Times New Roman" w:cs="Times New Roman"/>
          <w:sz w:val="28"/>
          <w:szCs w:val="28"/>
        </w:rPr>
        <w:t xml:space="preserve">ь доля 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27DC1" w:rsidRPr="000F4397">
        <w:rPr>
          <w:rFonts w:ascii="Times New Roman" w:hAnsi="Times New Roman" w:cs="Times New Roman"/>
          <w:sz w:val="28"/>
          <w:szCs w:val="28"/>
        </w:rPr>
        <w:t>коррупциогенного фактора</w:t>
      </w:r>
      <w:r w:rsidR="000F4397" w:rsidRPr="000F4397">
        <w:rPr>
          <w:rFonts w:ascii="Times New Roman" w:hAnsi="Times New Roman" w:cs="Times New Roman"/>
          <w:sz w:val="28"/>
          <w:szCs w:val="28"/>
        </w:rPr>
        <w:t xml:space="preserve">, как «отсутствие или неполнота административных процедур» (с 34,7 % до 70%);  </w:t>
      </w:r>
    </w:p>
    <w:p w:rsidR="00935E14" w:rsidRPr="000F4397" w:rsidRDefault="00757467" w:rsidP="000F43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>е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>) к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оррупциогенные факторы, выявляемые в  проектах нормативных пр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а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вовых актов в рамках антикоррупционной экспертизы, устраняются  на стадии работы над проектом,  путем внесения в него исправлений. Итогом этой работы является положительное заключение антикоррупционной экспертизы, что по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д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 xml:space="preserve">тверждается  </w:t>
      </w:r>
      <w:r w:rsidR="004273F8" w:rsidRPr="000F4397">
        <w:rPr>
          <w:rFonts w:ascii="Times New Roman" w:eastAsia="Calibri" w:hAnsi="Times New Roman" w:cs="Times New Roman"/>
          <w:sz w:val="28"/>
          <w:szCs w:val="28"/>
        </w:rPr>
        <w:t xml:space="preserve">отсутствием отрицательных 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заключений по результатам провед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е</w:t>
      </w:r>
      <w:r w:rsidR="00C81489" w:rsidRPr="000F4397">
        <w:rPr>
          <w:rFonts w:ascii="Times New Roman" w:eastAsia="Calibri" w:hAnsi="Times New Roman" w:cs="Times New Roman"/>
          <w:sz w:val="28"/>
          <w:szCs w:val="28"/>
        </w:rPr>
        <w:t>ния антикоррупционной экспертизы</w:t>
      </w:r>
      <w:r w:rsidR="00C47160" w:rsidRPr="000F4397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9C04E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 их  включения в разрабатываемые проекты нормативных правовых актов разраб</w:t>
      </w:r>
      <w:r w:rsidRPr="000F4397">
        <w:rPr>
          <w:rFonts w:ascii="Times New Roman" w:eastAsia="Calibri" w:hAnsi="Times New Roman" w:cs="Times New Roman"/>
          <w:sz w:val="28"/>
          <w:szCs w:val="28"/>
        </w:rPr>
        <w:t>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з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lastRenderedPageBreak/>
        <w:t>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 предлагается использовать 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</w:t>
      </w:r>
      <w:r w:rsidRPr="000F4397">
        <w:rPr>
          <w:rFonts w:ascii="Times New Roman" w:eastAsia="Calibri" w:hAnsi="Times New Roman" w:cs="Times New Roman"/>
          <w:sz w:val="28"/>
          <w:szCs w:val="28"/>
        </w:rPr>
        <w:t>н</w:t>
      </w: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ной экспертизы органа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r w:rsidRPr="000F4397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proofErr w:type="gramEnd"/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 власти Республики Коми (приложение).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619" w:rsidRPr="00994AC9" w:rsidRDefault="00746F4D" w:rsidP="00994AC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связи с тем, что</w:t>
      </w:r>
      <w:r w:rsidR="005330DF">
        <w:rPr>
          <w:rFonts w:ascii="Times New Roman" w:eastAsia="Calibri" w:hAnsi="Times New Roman" w:cs="Times New Roman"/>
          <w:sz w:val="28"/>
          <w:szCs w:val="28"/>
        </w:rPr>
        <w:t>,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 как и в прежних отчетных периодах</w:t>
      </w:r>
      <w:r w:rsidR="005330DF">
        <w:rPr>
          <w:rFonts w:ascii="Times New Roman" w:eastAsia="Calibri" w:hAnsi="Times New Roman" w:cs="Times New Roman"/>
          <w:sz w:val="28"/>
          <w:szCs w:val="28"/>
        </w:rPr>
        <w:t>,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преобладающими факторам остаются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«ш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 xml:space="preserve">ирота дискреционных полномочий», </w:t>
      </w:r>
      <w:r w:rsidRPr="00994AC9">
        <w:rPr>
          <w:rFonts w:ascii="Times New Roman" w:eastAsia="Calibri" w:hAnsi="Times New Roman" w:cs="Times New Roman"/>
          <w:sz w:val="28"/>
          <w:szCs w:val="28"/>
        </w:rPr>
        <w:t>«отсутствие или н</w:t>
      </w:r>
      <w:r w:rsidRPr="00994AC9">
        <w:rPr>
          <w:rFonts w:ascii="Times New Roman" w:eastAsia="Calibri" w:hAnsi="Times New Roman" w:cs="Times New Roman"/>
          <w:sz w:val="28"/>
          <w:szCs w:val="28"/>
        </w:rPr>
        <w:t>е</w:t>
      </w:r>
      <w:r w:rsidRPr="00994AC9">
        <w:rPr>
          <w:rFonts w:ascii="Times New Roman" w:eastAsia="Calibri" w:hAnsi="Times New Roman" w:cs="Times New Roman"/>
          <w:sz w:val="28"/>
          <w:szCs w:val="28"/>
        </w:rPr>
        <w:t>определенность административных процедур»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>, «юридико-лингвистическая н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>е</w:t>
      </w:r>
      <w:r w:rsidR="008C7F99" w:rsidRPr="00994AC9">
        <w:rPr>
          <w:rFonts w:ascii="Times New Roman" w:eastAsia="Calibri" w:hAnsi="Times New Roman" w:cs="Times New Roman"/>
          <w:sz w:val="28"/>
          <w:szCs w:val="28"/>
        </w:rPr>
        <w:t>определенность»</w:t>
      </w:r>
      <w:r w:rsidRPr="00994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>органов в системе исполнительной вл</w:t>
      </w:r>
      <w:r w:rsidR="00994AC9">
        <w:rPr>
          <w:rFonts w:ascii="Times New Roman" w:eastAsia="Calibri" w:hAnsi="Times New Roman" w:cs="Times New Roman"/>
          <w:sz w:val="28"/>
          <w:szCs w:val="28"/>
        </w:rPr>
        <w:t>а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сти Республики Коми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устранени</w:t>
      </w:r>
      <w:r w:rsidR="00994AC9">
        <w:rPr>
          <w:rFonts w:ascii="Times New Roman" w:eastAsia="Calibri" w:hAnsi="Times New Roman" w:cs="Times New Roman"/>
          <w:sz w:val="28"/>
          <w:szCs w:val="28"/>
        </w:rPr>
        <w:t>я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 и недопущение в норм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а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>тивных правовых актах (их проектах) таких коррупциогенных факторов</w:t>
      </w:r>
      <w:r w:rsidR="00994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6619" w:rsidRDefault="00D66619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734" w:rsidRDefault="002E4734" w:rsidP="000F03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Нефедова Н.А.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285-005</w:t>
      </w:r>
    </w:p>
    <w:p w:rsidR="002E4734" w:rsidRDefault="002E4734" w:rsidP="009C0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5D0AF3">
          <w:footerReference w:type="default" r:id="rId12"/>
          <w:pgSz w:w="11906" w:h="16838"/>
          <w:pgMar w:top="1276" w:right="707" w:bottom="1418" w:left="1560" w:header="709" w:footer="709" w:gutter="0"/>
          <w:cols w:space="708"/>
          <w:titlePg/>
          <w:docGrid w:linePitch="360"/>
        </w:sectPr>
      </w:pP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3379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 коррупциогенных норм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разрабатываемые </w:t>
      </w: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A7305E" w:rsidRDefault="00A7305E" w:rsidP="00303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9AD" w:rsidRDefault="005C39AD" w:rsidP="00303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6629"/>
        <w:gridCol w:w="8080"/>
      </w:tblGrid>
      <w:tr w:rsidR="00A7305E" w:rsidTr="005C39AD">
        <w:tc>
          <w:tcPr>
            <w:tcW w:w="6629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правильно</w:t>
            </w:r>
          </w:p>
          <w:p w:rsidR="00A94CB9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(в положении содержится коррупциогенный </w:t>
            </w:r>
            <w:proofErr w:type="gramEnd"/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фактор)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положении отсутствует коррупциогенный фактор),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5C39AD">
        <w:tc>
          <w:tcPr>
            <w:tcW w:w="14709" w:type="dxa"/>
            <w:gridSpan w:val="2"/>
          </w:tcPr>
          <w:p w:rsidR="00B06627" w:rsidRPr="005618EC" w:rsidRDefault="00B06627" w:rsidP="0087126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 определенных административных действий, должны содержать  сроки (с датой, от которой следует производить отсчет такого срока) и порядки осуществления этих действий</w:t>
            </w:r>
          </w:p>
        </w:tc>
      </w:tr>
      <w:tr w:rsidR="00C65578" w:rsidRPr="00F10A27" w:rsidTr="005C39AD">
        <w:tc>
          <w:tcPr>
            <w:tcW w:w="6629" w:type="dxa"/>
          </w:tcPr>
          <w:p w:rsidR="007E155B" w:rsidRPr="00376585" w:rsidRDefault="007E155B" w:rsidP="007E155B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принимает решение</w:t>
            </w:r>
          </w:p>
          <w:p w:rsidR="007E155B" w:rsidRPr="007E155B" w:rsidRDefault="007E155B" w:rsidP="007E15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15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либо</w:t>
            </w:r>
          </w:p>
          <w:p w:rsidR="007E155B" w:rsidRPr="00376585" w:rsidRDefault="007E155B" w:rsidP="007E155B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принимает решение в течение 10 рабочих дней.</w:t>
            </w:r>
          </w:p>
          <w:p w:rsidR="004C71B6" w:rsidRPr="00F10A27" w:rsidRDefault="007E155B" w:rsidP="007E15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E1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4C71B6" w:rsidRPr="007E1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(отсутствуют сроки совершения админ</w:t>
            </w:r>
            <w:r w:rsidR="004C71B6" w:rsidRPr="007E1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4C71B6" w:rsidRPr="007E1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стративных действий)</w:t>
            </w:r>
          </w:p>
        </w:tc>
        <w:tc>
          <w:tcPr>
            <w:tcW w:w="8080" w:type="dxa"/>
          </w:tcPr>
          <w:p w:rsidR="007E155B" w:rsidRPr="00376585" w:rsidRDefault="007E155B" w:rsidP="007E155B">
            <w:pPr>
              <w:pStyle w:val="ConsPlusNormal"/>
              <w:ind w:firstLine="34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в </w:t>
            </w:r>
            <w:r w:rsidRPr="00B33A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течение 10 рабочих дней со дня регистрации заявления и документов</w:t>
            </w:r>
            <w:r w:rsidR="001B70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E155B" w:rsidRPr="007E155B" w:rsidRDefault="007E155B" w:rsidP="007E155B">
            <w:pPr>
              <w:pStyle w:val="ConsPlusNormal"/>
              <w:ind w:firstLine="349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</w:t>
            </w:r>
          </w:p>
          <w:p w:rsidR="007E155B" w:rsidRPr="00376585" w:rsidRDefault="007E155B" w:rsidP="007E155B">
            <w:pPr>
              <w:pStyle w:val="ConsPlusNormal"/>
              <w:ind w:firstLine="34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государственной услуги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(об отк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) принимается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органом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155B" w:rsidRPr="00376585" w:rsidRDefault="007E155B" w:rsidP="007E155B">
            <w:pPr>
              <w:pStyle w:val="ConsPlusNormal"/>
              <w:ind w:firstLine="34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33A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10 рабочих дней со дня регистрации заявления и документов,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Порядка (в случае если документы, указанные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>рядка, представлены по инициативе заявителя);</w:t>
            </w:r>
          </w:p>
          <w:p w:rsidR="00C65578" w:rsidRPr="00F10A27" w:rsidRDefault="007E155B" w:rsidP="007E15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33A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течение 5 рабочих дней со дня поступления последнего ответа на запросы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органа 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если документы, указанные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 w:rsidRPr="0037658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не представлены заявителем по собственной инициативе).</w:t>
            </w:r>
          </w:p>
        </w:tc>
      </w:tr>
      <w:tr w:rsidR="00DF3C09" w:rsidRPr="00F10A27" w:rsidTr="005C39AD">
        <w:tc>
          <w:tcPr>
            <w:tcW w:w="6629" w:type="dxa"/>
          </w:tcPr>
          <w:p w:rsidR="0033367B" w:rsidRDefault="0033367B" w:rsidP="0070230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представленные заявителем,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стрируются и ему выдается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расписка.</w:t>
            </w:r>
          </w:p>
          <w:p w:rsidR="004C71B6" w:rsidRPr="00F10A27" w:rsidRDefault="0033367B" w:rsidP="0070230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4C71B6"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(отсутствуют сроки совершения админ</w:t>
            </w:r>
            <w:r w:rsidR="004C71B6"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4C71B6"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стративных действий)</w:t>
            </w:r>
          </w:p>
        </w:tc>
        <w:tc>
          <w:tcPr>
            <w:tcW w:w="8080" w:type="dxa"/>
          </w:tcPr>
          <w:p w:rsidR="00DF3C09" w:rsidRPr="00F10A27" w:rsidRDefault="0033367B" w:rsidP="00B43C0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Заявителю непосредственно на приеме в день подачи док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 xml:space="preserve">ментов </w:t>
            </w:r>
            <w:r w:rsidRPr="00D00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выдается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расписка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перечня документов и д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 xml:space="preserve">ты их принятия. В случае направления документов, указанных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настоящего 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Порядка почтовым отправлением ра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писка с указанием перечня документов и даты их принятия </w:t>
            </w:r>
            <w:r w:rsidRPr="00D00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заявителю </w:t>
            </w:r>
            <w:r w:rsidRPr="00D00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овым отправлением </w:t>
            </w:r>
            <w:r w:rsidR="00B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адресу, ук</w:t>
            </w:r>
            <w:r w:rsidR="00B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B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занному в заявлении, 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со дня регистр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85D">
              <w:rPr>
                <w:rFonts w:ascii="Times New Roman" w:hAnsi="Times New Roman" w:cs="Times New Roman"/>
                <w:sz w:val="28"/>
                <w:szCs w:val="28"/>
              </w:rPr>
              <w:t>ции документов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органе.</w:t>
            </w:r>
          </w:p>
        </w:tc>
      </w:tr>
      <w:tr w:rsidR="00F66E52" w:rsidRPr="00553969" w:rsidTr="005C39AD">
        <w:tc>
          <w:tcPr>
            <w:tcW w:w="6629" w:type="dxa"/>
          </w:tcPr>
          <w:p w:rsidR="00F66E52" w:rsidRDefault="00F66E52" w:rsidP="00F66E5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 xml:space="preserve"> целях компенсации потерь в доходах от осу-ществления аэропортовой деятельности на террит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рии Республики Коми организации воздушного транспорта представляют в Министерство (докуме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 xml:space="preserve">ты, определенные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 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Порядка, которые подлежат регистрации в день их поступления в М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</w:t>
            </w:r>
            <w:r w:rsidRPr="00F66E52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  <w:proofErr w:type="gramEnd"/>
          </w:p>
          <w:p w:rsidR="00F5223E" w:rsidRDefault="00F5223E" w:rsidP="007E1E8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(отсутствуют 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порядок выдачи расписки, под-тверждающей предоставление документов орган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7E1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зациями.</w:t>
            </w:r>
            <w:proofErr w:type="gramEnd"/>
            <w:r w:rsidR="007E1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7E1E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Вместе с тем иным положением 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Порядка предусмотрено принятие Министерством решения об отказе в предоставлении компенсации при пред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ставлении организациями неполного пакета док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Pr="00F522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ментов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80" w:type="dxa"/>
          </w:tcPr>
          <w:p w:rsidR="00CE59CA" w:rsidRDefault="00CE59CA" w:rsidP="00CE59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 непосредственно в Министерство либо направляются в Министерство через организацию почтовой связи, иную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зацию, осуществляющую доставку корреспонденции.</w:t>
            </w:r>
          </w:p>
          <w:p w:rsidR="00CE59CA" w:rsidRDefault="00CE59CA" w:rsidP="00CE59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документов непосредственно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нистерство датой представления документов, указанных в 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ящем пункте, считается дата их регистрации в Министерстве. Указанные документы регистрируются специалистом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 день их поступления в Министерство. В день регистрации документов лицу, их представившему, выдается расписка с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занием перечня принятых документов и даты их поступления в Министерство.</w:t>
            </w:r>
          </w:p>
          <w:p w:rsidR="00F66E52" w:rsidRDefault="00CE59CA" w:rsidP="00CE59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документов, указанных в настоящем пункте, через организацию почтовой связи, иную организацию, осуществляющую доставку корреспонденции, датой их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в Министерство считается дата их регистрации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нистерстве. Указанные документы регистрируются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 Министерства в день их поступления в Министерство.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писка о регистрации документов, направленных через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почтовой связи, иную организацию, осуществляющую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ставку корреспонденции, направляется специалистом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по указанному в заявлении адресу в течение 3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указанных документов.</w:t>
            </w:r>
          </w:p>
        </w:tc>
      </w:tr>
      <w:tr w:rsidR="005C39AD" w:rsidRPr="00553969" w:rsidTr="005C39AD">
        <w:tc>
          <w:tcPr>
            <w:tcW w:w="6629" w:type="dxa"/>
          </w:tcPr>
          <w:p w:rsidR="00957264" w:rsidRPr="00957264" w:rsidRDefault="00957264" w:rsidP="0095726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264">
              <w:rPr>
                <w:rFonts w:ascii="Times New Roman" w:hAnsi="Times New Roman" w:cs="Times New Roman"/>
                <w:sz w:val="28"/>
                <w:szCs w:val="28"/>
              </w:rPr>
              <w:t xml:space="preserve">аспорт набора открытых данных возвращается в государственный орган в течение 15 рабочих дней со дня согласования уполномоченным органом, </w:t>
            </w:r>
            <w:r w:rsidRPr="007F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утверждается приказом</w:t>
            </w:r>
            <w:r w:rsidRPr="0095726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органа и размещается на официальном сайте государственн</w:t>
            </w:r>
            <w:r w:rsidRPr="009572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264">
              <w:rPr>
                <w:rFonts w:ascii="Times New Roman" w:hAnsi="Times New Roman" w:cs="Times New Roman"/>
                <w:sz w:val="28"/>
                <w:szCs w:val="28"/>
              </w:rPr>
              <w:t>го органа в сети «Интернет» в разделе «Открытые данные».</w:t>
            </w:r>
          </w:p>
          <w:p w:rsidR="005C39AD" w:rsidRPr="00F10A27" w:rsidRDefault="007F48E6" w:rsidP="007F48E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C39AD"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(отсутствуют сроки совершения админ</w:t>
            </w:r>
            <w:r w:rsidR="005C39AD"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5C39AD"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стративных действий</w:t>
            </w:r>
            <w:r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утверждения приказом паспорта</w:t>
            </w:r>
            <w:r w:rsidR="005C39AD" w:rsidRPr="007F48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8080" w:type="dxa"/>
          </w:tcPr>
          <w:p w:rsidR="00957264" w:rsidRDefault="00957264" w:rsidP="00957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набора открытых данных возвращается в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орган в течение 5 рабочих дней со дня согласования уполномоченным органом, </w:t>
            </w:r>
            <w:r w:rsidRPr="007F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течение 10 рабочих дней со дня его </w:t>
            </w:r>
            <w:r w:rsidRPr="007F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получения утверждается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органа и размещается на официальном сайте государственного органа в сети </w:t>
            </w:r>
            <w:r w:rsidR="00273DF5" w:rsidRPr="009572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DF5" w:rsidRPr="0095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="00273DF5" w:rsidRPr="009572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Открытые данные</w:t>
            </w:r>
            <w:r w:rsidR="00273DF5" w:rsidRPr="0095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9AD" w:rsidRPr="00553969" w:rsidRDefault="005C39AD" w:rsidP="005C3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B8E" w:rsidTr="005C39AD">
        <w:tc>
          <w:tcPr>
            <w:tcW w:w="14709" w:type="dxa"/>
            <w:gridSpan w:val="2"/>
          </w:tcPr>
          <w:p w:rsidR="009C5B8E" w:rsidRPr="005618EC" w:rsidRDefault="00577FB2" w:rsidP="007700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Положения нормативных правовых актов, предусматривающих осуществление  определенных административных действий, должны содержать четкие  условия</w:t>
            </w:r>
            <w:r w:rsidR="00A13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(основания)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осуществления этих действий</w:t>
            </w:r>
          </w:p>
        </w:tc>
      </w:tr>
      <w:tr w:rsidR="00F10A27" w:rsidRPr="00553969" w:rsidTr="005C39AD">
        <w:tc>
          <w:tcPr>
            <w:tcW w:w="6629" w:type="dxa"/>
          </w:tcPr>
          <w:p w:rsidR="00F10A27" w:rsidRDefault="00F10A27" w:rsidP="00F10A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рассматривает  представленные документы в течение 10 рабочих дней со дня их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ступления и принимает решение о предоставлении (отказе в предоставлении) субсидии.</w:t>
            </w:r>
          </w:p>
          <w:p w:rsidR="00F10A27" w:rsidRPr="00F10A27" w:rsidRDefault="00F10A27" w:rsidP="00F10A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>снованием для отказа в предоставлении субс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дий является </w:t>
            </w:r>
            <w:r w:rsidRPr="007A465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выявление неверных данных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справке-расчете при ее подтверждении.</w:t>
            </w:r>
          </w:p>
          <w:p w:rsidR="00F10A27" w:rsidRPr="00553969" w:rsidRDefault="00F10A27" w:rsidP="00F10A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10A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установлена неоднозначная формулировка «н</w:t>
            </w:r>
            <w:r w:rsidRPr="00F10A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F10A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верные данные»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080" w:type="dxa"/>
          </w:tcPr>
          <w:p w:rsidR="00F10A27" w:rsidRDefault="00F10A27" w:rsidP="00F10A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рассматривает  представленные документы в течение 10 рабочих дней со дня их поступления и принимает решение о предоставлении (отказе в предоставлении) субсидии.</w:t>
            </w:r>
          </w:p>
          <w:p w:rsidR="007A465B" w:rsidRPr="003259DB" w:rsidRDefault="00F10A27" w:rsidP="007A46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A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снованием для отказа в предоставлении субсидий является выявление </w:t>
            </w:r>
            <w:r w:rsidR="007A465B" w:rsidRPr="003259DB">
              <w:rPr>
                <w:rFonts w:ascii="Times New Roman" w:hAnsi="Times New Roman" w:cs="Times New Roman"/>
                <w:sz w:val="28"/>
                <w:szCs w:val="28"/>
              </w:rPr>
              <w:t>в представленных документах недостоверных свед</w:t>
            </w:r>
            <w:r w:rsidR="007A465B" w:rsidRPr="00325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465B" w:rsidRPr="003259DB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7A465B" w:rsidRPr="003259DB" w:rsidRDefault="007A465B" w:rsidP="004B0C5C">
            <w:pPr>
              <w:pStyle w:val="ConsPlusNormal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наличии противоречивых сведений в представленных документах и (или) при несоответствии содержания и (или) оформления документов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на предмет соответствия указанных св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дений действительности посредством направления в течение 5 рабочих дней со дня представления документов, указанных в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Правил, запросов в органы и организации, распол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гающие необходимой информацией. </w:t>
            </w:r>
            <w:proofErr w:type="gramStart"/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При этом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принятия решения  о предоставлении субсидии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(об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субсидии),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настоящих Правил, пр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длевается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органа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уполномоченным им лицом на срок, необходимый для получения запрашиваемой информ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ции, но не более чем на 20 рабочих дней, о чем сообщается з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явителю путем направления письменного уведомления в течение 5 рабочих дней со дня направления соответствующего запроса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(запросов).</w:t>
            </w:r>
            <w:proofErr w:type="gramEnd"/>
          </w:p>
          <w:p w:rsidR="007A465B" w:rsidRPr="003259DB" w:rsidRDefault="007A465B" w:rsidP="004B0C5C">
            <w:pPr>
              <w:pStyle w:val="ConsPlusNormal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подтверждающей недостове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ность представленных сведений,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указанной информации принимает решение 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субсидии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A27" w:rsidRPr="00553969" w:rsidRDefault="007A465B" w:rsidP="004B0C5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не подтверждающей недост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представленных сведений,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получения указанной информации принимает реш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9DB"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субсидии.</w:t>
            </w:r>
          </w:p>
        </w:tc>
      </w:tr>
      <w:tr w:rsidR="00DF3C09" w:rsidRPr="00F10A27" w:rsidTr="005C39AD">
        <w:tc>
          <w:tcPr>
            <w:tcW w:w="6629" w:type="dxa"/>
          </w:tcPr>
          <w:p w:rsidR="00541DCC" w:rsidRPr="00541DCC" w:rsidRDefault="00541DCC" w:rsidP="00541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чреждение обязуется 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своевременно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устранять нарушения исполнения соглашения о выделении д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нежных сре</w:t>
            </w:r>
            <w:proofErr w:type="gramStart"/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дств в в</w:t>
            </w:r>
            <w:proofErr w:type="gramEnd"/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иде гранта на реализацию в Ре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публике Коми Программы, а также 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своевременно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информировать Фонд об обстоятельствах, которые могут привести к частичному или полному невыпо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нению мероприятий Программы.</w:t>
            </w:r>
          </w:p>
          <w:p w:rsidR="004C71B6" w:rsidRPr="00F10A27" w:rsidRDefault="004C71B6" w:rsidP="00541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41D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(установлена неоднозначная формулировка «отдельные случаи»)</w:t>
            </w:r>
          </w:p>
        </w:tc>
        <w:tc>
          <w:tcPr>
            <w:tcW w:w="8080" w:type="dxa"/>
          </w:tcPr>
          <w:p w:rsidR="00541DCC" w:rsidRPr="00541DCC" w:rsidRDefault="00541DCC" w:rsidP="00541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чреждение обязуется  устранять нарушения исполнения соглашения о выделении денежных средств в виде гранта на ре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лизацию в Республике Коми Программы в течение 10 дней со дня выявления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таких 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нарушений, а также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10 дней со дня выявления 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обстоятельствах, которые могут привести к ч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>стичному или полному невыполнению мероприятий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информировать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этом</w:t>
            </w:r>
            <w:r w:rsidRPr="0054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Фонд.</w:t>
            </w:r>
            <w:proofErr w:type="gramEnd"/>
          </w:p>
          <w:p w:rsidR="00DF3C09" w:rsidRPr="00F10A27" w:rsidRDefault="00DF3C09" w:rsidP="00541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762B2" w:rsidRPr="00AE48D2" w:rsidRDefault="00F762B2" w:rsidP="00147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AE48D2" w:rsidSect="005C39AD">
      <w:pgSz w:w="16838" w:h="11906" w:orient="landscape"/>
      <w:pgMar w:top="709" w:right="1418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71" w:rsidRDefault="00AA3971" w:rsidP="00A9079E">
      <w:pPr>
        <w:spacing w:after="0" w:line="240" w:lineRule="auto"/>
      </w:pPr>
      <w:r>
        <w:separator/>
      </w:r>
    </w:p>
  </w:endnote>
  <w:endnote w:type="continuationSeparator" w:id="0">
    <w:p w:rsidR="00AA3971" w:rsidRDefault="00AA3971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5365"/>
      <w:docPartObj>
        <w:docPartGallery w:val="Page Numbers (Bottom of Page)"/>
        <w:docPartUnique/>
      </w:docPartObj>
    </w:sdtPr>
    <w:sdtEndPr/>
    <w:sdtContent>
      <w:p w:rsidR="005B43E8" w:rsidRDefault="005B43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13">
          <w:rPr>
            <w:noProof/>
          </w:rPr>
          <w:t>14</w:t>
        </w:r>
        <w:r>
          <w:fldChar w:fldCharType="end"/>
        </w:r>
      </w:p>
    </w:sdtContent>
  </w:sdt>
  <w:p w:rsidR="005B43E8" w:rsidRDefault="005B43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71" w:rsidRDefault="00AA3971" w:rsidP="00A9079E">
      <w:pPr>
        <w:spacing w:after="0" w:line="240" w:lineRule="auto"/>
      </w:pPr>
      <w:r>
        <w:separator/>
      </w:r>
    </w:p>
  </w:footnote>
  <w:footnote w:type="continuationSeparator" w:id="0">
    <w:p w:rsidR="00AA3971" w:rsidRDefault="00AA3971" w:rsidP="00A9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7"/>
  </w:num>
  <w:num w:numId="3">
    <w:abstractNumId w:val="40"/>
  </w:num>
  <w:num w:numId="4">
    <w:abstractNumId w:val="33"/>
  </w:num>
  <w:num w:numId="5">
    <w:abstractNumId w:val="20"/>
  </w:num>
  <w:num w:numId="6">
    <w:abstractNumId w:val="23"/>
  </w:num>
  <w:num w:numId="7">
    <w:abstractNumId w:val="32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37"/>
  </w:num>
  <w:num w:numId="17">
    <w:abstractNumId w:val="1"/>
  </w:num>
  <w:num w:numId="18">
    <w:abstractNumId w:val="41"/>
  </w:num>
  <w:num w:numId="19">
    <w:abstractNumId w:val="12"/>
  </w:num>
  <w:num w:numId="20">
    <w:abstractNumId w:val="22"/>
  </w:num>
  <w:num w:numId="21">
    <w:abstractNumId w:val="8"/>
  </w:num>
  <w:num w:numId="22">
    <w:abstractNumId w:val="29"/>
  </w:num>
  <w:num w:numId="23">
    <w:abstractNumId w:val="24"/>
  </w:num>
  <w:num w:numId="24">
    <w:abstractNumId w:val="38"/>
  </w:num>
  <w:num w:numId="25">
    <w:abstractNumId w:val="42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18"/>
  </w:num>
  <w:num w:numId="31">
    <w:abstractNumId w:val="39"/>
  </w:num>
  <w:num w:numId="32">
    <w:abstractNumId w:val="17"/>
  </w:num>
  <w:num w:numId="33">
    <w:abstractNumId w:val="31"/>
  </w:num>
  <w:num w:numId="34">
    <w:abstractNumId w:val="9"/>
  </w:num>
  <w:num w:numId="35">
    <w:abstractNumId w:val="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1C11"/>
    <w:rsid w:val="000022FD"/>
    <w:rsid w:val="00005B46"/>
    <w:rsid w:val="00006163"/>
    <w:rsid w:val="0001085D"/>
    <w:rsid w:val="000122A3"/>
    <w:rsid w:val="00013A6A"/>
    <w:rsid w:val="000144C4"/>
    <w:rsid w:val="00023DDD"/>
    <w:rsid w:val="0002710A"/>
    <w:rsid w:val="00030B05"/>
    <w:rsid w:val="00031E71"/>
    <w:rsid w:val="00032DD5"/>
    <w:rsid w:val="0003394B"/>
    <w:rsid w:val="000430D4"/>
    <w:rsid w:val="00047A5B"/>
    <w:rsid w:val="00050EB8"/>
    <w:rsid w:val="00056A1C"/>
    <w:rsid w:val="00057BA3"/>
    <w:rsid w:val="0006171F"/>
    <w:rsid w:val="00062EA7"/>
    <w:rsid w:val="00066469"/>
    <w:rsid w:val="00067C0A"/>
    <w:rsid w:val="00070FA1"/>
    <w:rsid w:val="000737A8"/>
    <w:rsid w:val="000749CB"/>
    <w:rsid w:val="000765B1"/>
    <w:rsid w:val="000769BA"/>
    <w:rsid w:val="00077A71"/>
    <w:rsid w:val="0008081E"/>
    <w:rsid w:val="000825E8"/>
    <w:rsid w:val="000870BF"/>
    <w:rsid w:val="000933E7"/>
    <w:rsid w:val="000943B1"/>
    <w:rsid w:val="000A0860"/>
    <w:rsid w:val="000A5DF0"/>
    <w:rsid w:val="000A6A43"/>
    <w:rsid w:val="000A6EC4"/>
    <w:rsid w:val="000B0764"/>
    <w:rsid w:val="000B1BAF"/>
    <w:rsid w:val="000B51AE"/>
    <w:rsid w:val="000B5779"/>
    <w:rsid w:val="000B5F22"/>
    <w:rsid w:val="000B6727"/>
    <w:rsid w:val="000B70F9"/>
    <w:rsid w:val="000B7522"/>
    <w:rsid w:val="000B784C"/>
    <w:rsid w:val="000C1949"/>
    <w:rsid w:val="000D04CA"/>
    <w:rsid w:val="000D46EB"/>
    <w:rsid w:val="000D6669"/>
    <w:rsid w:val="000D6D4C"/>
    <w:rsid w:val="000E0EA6"/>
    <w:rsid w:val="000E16DE"/>
    <w:rsid w:val="000E2FB0"/>
    <w:rsid w:val="000F039C"/>
    <w:rsid w:val="000F402C"/>
    <w:rsid w:val="000F4397"/>
    <w:rsid w:val="000F516D"/>
    <w:rsid w:val="00102583"/>
    <w:rsid w:val="00120336"/>
    <w:rsid w:val="0012452F"/>
    <w:rsid w:val="00124810"/>
    <w:rsid w:val="00130ABB"/>
    <w:rsid w:val="00131B7C"/>
    <w:rsid w:val="001320AD"/>
    <w:rsid w:val="00132A1A"/>
    <w:rsid w:val="0013549C"/>
    <w:rsid w:val="00135767"/>
    <w:rsid w:val="00136511"/>
    <w:rsid w:val="0014020A"/>
    <w:rsid w:val="0014257A"/>
    <w:rsid w:val="001444EA"/>
    <w:rsid w:val="00147F21"/>
    <w:rsid w:val="00150383"/>
    <w:rsid w:val="00151837"/>
    <w:rsid w:val="00165485"/>
    <w:rsid w:val="00176CB3"/>
    <w:rsid w:val="001835F4"/>
    <w:rsid w:val="00183C51"/>
    <w:rsid w:val="00194B7F"/>
    <w:rsid w:val="00195FC6"/>
    <w:rsid w:val="001A102E"/>
    <w:rsid w:val="001A5E22"/>
    <w:rsid w:val="001B7033"/>
    <w:rsid w:val="001B7EA4"/>
    <w:rsid w:val="001B7EA5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F6B"/>
    <w:rsid w:val="001E38EF"/>
    <w:rsid w:val="001E7F35"/>
    <w:rsid w:val="001F10C1"/>
    <w:rsid w:val="001F54C5"/>
    <w:rsid w:val="001F5D1D"/>
    <w:rsid w:val="00200659"/>
    <w:rsid w:val="0020344E"/>
    <w:rsid w:val="00224A7F"/>
    <w:rsid w:val="00226DDA"/>
    <w:rsid w:val="00227633"/>
    <w:rsid w:val="002362BD"/>
    <w:rsid w:val="002364CD"/>
    <w:rsid w:val="00246135"/>
    <w:rsid w:val="00252B21"/>
    <w:rsid w:val="00257CBB"/>
    <w:rsid w:val="00267AE2"/>
    <w:rsid w:val="00273DF5"/>
    <w:rsid w:val="00276B8E"/>
    <w:rsid w:val="0027799C"/>
    <w:rsid w:val="00281C6C"/>
    <w:rsid w:val="00286F13"/>
    <w:rsid w:val="0029086E"/>
    <w:rsid w:val="00293CB9"/>
    <w:rsid w:val="00294A7C"/>
    <w:rsid w:val="00296781"/>
    <w:rsid w:val="002A6E9C"/>
    <w:rsid w:val="002A707E"/>
    <w:rsid w:val="002A779C"/>
    <w:rsid w:val="002B51F9"/>
    <w:rsid w:val="002B748B"/>
    <w:rsid w:val="002B7A96"/>
    <w:rsid w:val="002C0715"/>
    <w:rsid w:val="002C5B6D"/>
    <w:rsid w:val="002D4858"/>
    <w:rsid w:val="002D4FBB"/>
    <w:rsid w:val="002D5D0C"/>
    <w:rsid w:val="002D73AC"/>
    <w:rsid w:val="002E0625"/>
    <w:rsid w:val="002E37EE"/>
    <w:rsid w:val="002E4734"/>
    <w:rsid w:val="002E5F5B"/>
    <w:rsid w:val="002F0896"/>
    <w:rsid w:val="003000F8"/>
    <w:rsid w:val="003019D1"/>
    <w:rsid w:val="003021A9"/>
    <w:rsid w:val="00303283"/>
    <w:rsid w:val="00305895"/>
    <w:rsid w:val="003137B5"/>
    <w:rsid w:val="003154E2"/>
    <w:rsid w:val="003169BC"/>
    <w:rsid w:val="00316EB2"/>
    <w:rsid w:val="0032008B"/>
    <w:rsid w:val="003259DB"/>
    <w:rsid w:val="00325C57"/>
    <w:rsid w:val="003267F8"/>
    <w:rsid w:val="003303FA"/>
    <w:rsid w:val="0033367B"/>
    <w:rsid w:val="0035047F"/>
    <w:rsid w:val="003525C4"/>
    <w:rsid w:val="003539FE"/>
    <w:rsid w:val="00354C4F"/>
    <w:rsid w:val="00357160"/>
    <w:rsid w:val="00360670"/>
    <w:rsid w:val="00361A9A"/>
    <w:rsid w:val="0036692F"/>
    <w:rsid w:val="00367F83"/>
    <w:rsid w:val="00370650"/>
    <w:rsid w:val="00376585"/>
    <w:rsid w:val="00380ED6"/>
    <w:rsid w:val="00382003"/>
    <w:rsid w:val="00383D9A"/>
    <w:rsid w:val="00394D4A"/>
    <w:rsid w:val="00395496"/>
    <w:rsid w:val="00397D9C"/>
    <w:rsid w:val="003A060F"/>
    <w:rsid w:val="003A0FBA"/>
    <w:rsid w:val="003A2FF6"/>
    <w:rsid w:val="003A7E69"/>
    <w:rsid w:val="003B0F28"/>
    <w:rsid w:val="003B46F0"/>
    <w:rsid w:val="003B5E2C"/>
    <w:rsid w:val="003C5CA2"/>
    <w:rsid w:val="003C5CF8"/>
    <w:rsid w:val="003D0E9B"/>
    <w:rsid w:val="003D0ECF"/>
    <w:rsid w:val="003D21E1"/>
    <w:rsid w:val="003D4A96"/>
    <w:rsid w:val="003D744C"/>
    <w:rsid w:val="003E1DE1"/>
    <w:rsid w:val="003E2BA1"/>
    <w:rsid w:val="003E6353"/>
    <w:rsid w:val="003E7927"/>
    <w:rsid w:val="003F11D9"/>
    <w:rsid w:val="003F4B01"/>
    <w:rsid w:val="003F5207"/>
    <w:rsid w:val="003F66C5"/>
    <w:rsid w:val="0040304E"/>
    <w:rsid w:val="00403379"/>
    <w:rsid w:val="00404984"/>
    <w:rsid w:val="00406889"/>
    <w:rsid w:val="0041316A"/>
    <w:rsid w:val="00417C88"/>
    <w:rsid w:val="0042104F"/>
    <w:rsid w:val="00424808"/>
    <w:rsid w:val="004265A9"/>
    <w:rsid w:val="004273F8"/>
    <w:rsid w:val="00442861"/>
    <w:rsid w:val="0044695C"/>
    <w:rsid w:val="0044790B"/>
    <w:rsid w:val="004507AF"/>
    <w:rsid w:val="0045408A"/>
    <w:rsid w:val="00455A87"/>
    <w:rsid w:val="00457180"/>
    <w:rsid w:val="004620BB"/>
    <w:rsid w:val="00466302"/>
    <w:rsid w:val="00470851"/>
    <w:rsid w:val="00470E63"/>
    <w:rsid w:val="004715B8"/>
    <w:rsid w:val="004716D9"/>
    <w:rsid w:val="0047724E"/>
    <w:rsid w:val="004873A4"/>
    <w:rsid w:val="00490B0A"/>
    <w:rsid w:val="0049277A"/>
    <w:rsid w:val="004942A0"/>
    <w:rsid w:val="004945F1"/>
    <w:rsid w:val="004A5288"/>
    <w:rsid w:val="004A54A1"/>
    <w:rsid w:val="004A72C4"/>
    <w:rsid w:val="004B050D"/>
    <w:rsid w:val="004B0C5C"/>
    <w:rsid w:val="004B34FA"/>
    <w:rsid w:val="004B4553"/>
    <w:rsid w:val="004C3913"/>
    <w:rsid w:val="004C60FA"/>
    <w:rsid w:val="004C71B6"/>
    <w:rsid w:val="004C7802"/>
    <w:rsid w:val="004D1538"/>
    <w:rsid w:val="004E1E19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12094"/>
    <w:rsid w:val="00514856"/>
    <w:rsid w:val="00515688"/>
    <w:rsid w:val="0051660C"/>
    <w:rsid w:val="00517471"/>
    <w:rsid w:val="0052103E"/>
    <w:rsid w:val="005220E5"/>
    <w:rsid w:val="00524257"/>
    <w:rsid w:val="005253D0"/>
    <w:rsid w:val="005279DB"/>
    <w:rsid w:val="005330DF"/>
    <w:rsid w:val="0053436F"/>
    <w:rsid w:val="00535411"/>
    <w:rsid w:val="00537791"/>
    <w:rsid w:val="00541DCC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FB2"/>
    <w:rsid w:val="00580AA4"/>
    <w:rsid w:val="00586459"/>
    <w:rsid w:val="00591164"/>
    <w:rsid w:val="00592349"/>
    <w:rsid w:val="005958AB"/>
    <w:rsid w:val="005970E6"/>
    <w:rsid w:val="005A1544"/>
    <w:rsid w:val="005A1ECA"/>
    <w:rsid w:val="005A52D2"/>
    <w:rsid w:val="005A5A27"/>
    <w:rsid w:val="005A768E"/>
    <w:rsid w:val="005B43E8"/>
    <w:rsid w:val="005C1EEC"/>
    <w:rsid w:val="005C336F"/>
    <w:rsid w:val="005C39AD"/>
    <w:rsid w:val="005C79AB"/>
    <w:rsid w:val="005D0AF3"/>
    <w:rsid w:val="005D16FF"/>
    <w:rsid w:val="005D2519"/>
    <w:rsid w:val="005E218C"/>
    <w:rsid w:val="005E356C"/>
    <w:rsid w:val="005E6CD5"/>
    <w:rsid w:val="005E78DC"/>
    <w:rsid w:val="005E79C4"/>
    <w:rsid w:val="00600EB8"/>
    <w:rsid w:val="00604574"/>
    <w:rsid w:val="00611957"/>
    <w:rsid w:val="00611C1F"/>
    <w:rsid w:val="00613743"/>
    <w:rsid w:val="00616BD3"/>
    <w:rsid w:val="00622EF4"/>
    <w:rsid w:val="006235F7"/>
    <w:rsid w:val="0062563B"/>
    <w:rsid w:val="00627DC1"/>
    <w:rsid w:val="0063475B"/>
    <w:rsid w:val="00635285"/>
    <w:rsid w:val="00640245"/>
    <w:rsid w:val="00640EF2"/>
    <w:rsid w:val="00644EDB"/>
    <w:rsid w:val="00647900"/>
    <w:rsid w:val="0065019D"/>
    <w:rsid w:val="00656B80"/>
    <w:rsid w:val="00660B9B"/>
    <w:rsid w:val="00661F5A"/>
    <w:rsid w:val="006621CE"/>
    <w:rsid w:val="0066584B"/>
    <w:rsid w:val="00672CA0"/>
    <w:rsid w:val="0067506F"/>
    <w:rsid w:val="006760B7"/>
    <w:rsid w:val="006819EB"/>
    <w:rsid w:val="00684960"/>
    <w:rsid w:val="00686071"/>
    <w:rsid w:val="00692BA9"/>
    <w:rsid w:val="00697302"/>
    <w:rsid w:val="0069730F"/>
    <w:rsid w:val="006A0741"/>
    <w:rsid w:val="006A22AD"/>
    <w:rsid w:val="006A2C3B"/>
    <w:rsid w:val="006A3AF5"/>
    <w:rsid w:val="006A5C65"/>
    <w:rsid w:val="006A79C9"/>
    <w:rsid w:val="006B06E9"/>
    <w:rsid w:val="006B5AF8"/>
    <w:rsid w:val="006C0BE3"/>
    <w:rsid w:val="006C0CFB"/>
    <w:rsid w:val="006C58F7"/>
    <w:rsid w:val="006C5EE1"/>
    <w:rsid w:val="006D11D0"/>
    <w:rsid w:val="006D27C2"/>
    <w:rsid w:val="006D59AB"/>
    <w:rsid w:val="006E79A3"/>
    <w:rsid w:val="006F07BB"/>
    <w:rsid w:val="006F11AC"/>
    <w:rsid w:val="006F54D0"/>
    <w:rsid w:val="006F5E98"/>
    <w:rsid w:val="006F5F30"/>
    <w:rsid w:val="00700D25"/>
    <w:rsid w:val="00702302"/>
    <w:rsid w:val="00703112"/>
    <w:rsid w:val="0071042D"/>
    <w:rsid w:val="00714E70"/>
    <w:rsid w:val="00720179"/>
    <w:rsid w:val="00722079"/>
    <w:rsid w:val="007220DB"/>
    <w:rsid w:val="00725849"/>
    <w:rsid w:val="0072790A"/>
    <w:rsid w:val="00727A34"/>
    <w:rsid w:val="00730B70"/>
    <w:rsid w:val="007324EE"/>
    <w:rsid w:val="0073280C"/>
    <w:rsid w:val="007328E8"/>
    <w:rsid w:val="00735D9A"/>
    <w:rsid w:val="00743C99"/>
    <w:rsid w:val="007459F8"/>
    <w:rsid w:val="00746F4D"/>
    <w:rsid w:val="0075166A"/>
    <w:rsid w:val="00757467"/>
    <w:rsid w:val="00757C53"/>
    <w:rsid w:val="00770083"/>
    <w:rsid w:val="007707DB"/>
    <w:rsid w:val="00772AD3"/>
    <w:rsid w:val="00774ADA"/>
    <w:rsid w:val="007763E5"/>
    <w:rsid w:val="00777F89"/>
    <w:rsid w:val="00782F10"/>
    <w:rsid w:val="007A06AB"/>
    <w:rsid w:val="007A1881"/>
    <w:rsid w:val="007A465B"/>
    <w:rsid w:val="007A4AE6"/>
    <w:rsid w:val="007A59B7"/>
    <w:rsid w:val="007A6355"/>
    <w:rsid w:val="007A7469"/>
    <w:rsid w:val="007B4ADB"/>
    <w:rsid w:val="007D509E"/>
    <w:rsid w:val="007E109A"/>
    <w:rsid w:val="007E155B"/>
    <w:rsid w:val="007E167B"/>
    <w:rsid w:val="007E1E8C"/>
    <w:rsid w:val="007F1274"/>
    <w:rsid w:val="007F48E6"/>
    <w:rsid w:val="007F6777"/>
    <w:rsid w:val="00803B36"/>
    <w:rsid w:val="00810792"/>
    <w:rsid w:val="00812DF9"/>
    <w:rsid w:val="00813EB9"/>
    <w:rsid w:val="00817A1F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FE8"/>
    <w:rsid w:val="0085507A"/>
    <w:rsid w:val="008642DD"/>
    <w:rsid w:val="0087126F"/>
    <w:rsid w:val="008775CA"/>
    <w:rsid w:val="00882393"/>
    <w:rsid w:val="00882F06"/>
    <w:rsid w:val="00891A0C"/>
    <w:rsid w:val="00892DDC"/>
    <w:rsid w:val="008930B6"/>
    <w:rsid w:val="00893464"/>
    <w:rsid w:val="008939C3"/>
    <w:rsid w:val="00895AF3"/>
    <w:rsid w:val="008A52DA"/>
    <w:rsid w:val="008A7368"/>
    <w:rsid w:val="008B0B04"/>
    <w:rsid w:val="008C2506"/>
    <w:rsid w:val="008C7F99"/>
    <w:rsid w:val="008D1990"/>
    <w:rsid w:val="008D1DBC"/>
    <w:rsid w:val="008D33E3"/>
    <w:rsid w:val="008D5CAA"/>
    <w:rsid w:val="008E2722"/>
    <w:rsid w:val="008E2980"/>
    <w:rsid w:val="008F3159"/>
    <w:rsid w:val="009038B1"/>
    <w:rsid w:val="0090759A"/>
    <w:rsid w:val="00915B5A"/>
    <w:rsid w:val="00917316"/>
    <w:rsid w:val="009175DE"/>
    <w:rsid w:val="009200E8"/>
    <w:rsid w:val="00921585"/>
    <w:rsid w:val="0092210C"/>
    <w:rsid w:val="00930CDA"/>
    <w:rsid w:val="00935E14"/>
    <w:rsid w:val="0093736B"/>
    <w:rsid w:val="009425EF"/>
    <w:rsid w:val="00947C62"/>
    <w:rsid w:val="00951381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91F72"/>
    <w:rsid w:val="00993852"/>
    <w:rsid w:val="00994AC9"/>
    <w:rsid w:val="00996D6D"/>
    <w:rsid w:val="009B0102"/>
    <w:rsid w:val="009B06E9"/>
    <w:rsid w:val="009B2677"/>
    <w:rsid w:val="009B26E2"/>
    <w:rsid w:val="009B7082"/>
    <w:rsid w:val="009C04E6"/>
    <w:rsid w:val="009C48DC"/>
    <w:rsid w:val="009C5B8E"/>
    <w:rsid w:val="009C6E10"/>
    <w:rsid w:val="009D09FB"/>
    <w:rsid w:val="009D24C8"/>
    <w:rsid w:val="009D603E"/>
    <w:rsid w:val="009E53D9"/>
    <w:rsid w:val="009F6797"/>
    <w:rsid w:val="00A0087B"/>
    <w:rsid w:val="00A00C2D"/>
    <w:rsid w:val="00A022D1"/>
    <w:rsid w:val="00A02433"/>
    <w:rsid w:val="00A02ECF"/>
    <w:rsid w:val="00A11347"/>
    <w:rsid w:val="00A13048"/>
    <w:rsid w:val="00A16E93"/>
    <w:rsid w:val="00A2152D"/>
    <w:rsid w:val="00A26F59"/>
    <w:rsid w:val="00A31A12"/>
    <w:rsid w:val="00A32129"/>
    <w:rsid w:val="00A329C1"/>
    <w:rsid w:val="00A36F94"/>
    <w:rsid w:val="00A3750D"/>
    <w:rsid w:val="00A47425"/>
    <w:rsid w:val="00A51D60"/>
    <w:rsid w:val="00A57DBA"/>
    <w:rsid w:val="00A608D9"/>
    <w:rsid w:val="00A659B7"/>
    <w:rsid w:val="00A67A66"/>
    <w:rsid w:val="00A7305E"/>
    <w:rsid w:val="00A80ECC"/>
    <w:rsid w:val="00A8129E"/>
    <w:rsid w:val="00A83EDD"/>
    <w:rsid w:val="00A84B3F"/>
    <w:rsid w:val="00A86179"/>
    <w:rsid w:val="00A8775A"/>
    <w:rsid w:val="00A9079E"/>
    <w:rsid w:val="00A93B23"/>
    <w:rsid w:val="00A94CB9"/>
    <w:rsid w:val="00AA05A9"/>
    <w:rsid w:val="00AA3971"/>
    <w:rsid w:val="00AA4A06"/>
    <w:rsid w:val="00AB282E"/>
    <w:rsid w:val="00AB5433"/>
    <w:rsid w:val="00AB589F"/>
    <w:rsid w:val="00AC2CF1"/>
    <w:rsid w:val="00AC63BA"/>
    <w:rsid w:val="00AD10F8"/>
    <w:rsid w:val="00AD2B70"/>
    <w:rsid w:val="00AD4162"/>
    <w:rsid w:val="00AD684B"/>
    <w:rsid w:val="00AD7C3A"/>
    <w:rsid w:val="00AE1DA9"/>
    <w:rsid w:val="00AE48D2"/>
    <w:rsid w:val="00AE4E75"/>
    <w:rsid w:val="00AE60A5"/>
    <w:rsid w:val="00AF497F"/>
    <w:rsid w:val="00AF6F87"/>
    <w:rsid w:val="00AF76E1"/>
    <w:rsid w:val="00B017C1"/>
    <w:rsid w:val="00B04352"/>
    <w:rsid w:val="00B05DC6"/>
    <w:rsid w:val="00B05F78"/>
    <w:rsid w:val="00B06627"/>
    <w:rsid w:val="00B1087D"/>
    <w:rsid w:val="00B12017"/>
    <w:rsid w:val="00B163CE"/>
    <w:rsid w:val="00B2009E"/>
    <w:rsid w:val="00B33AA9"/>
    <w:rsid w:val="00B417D3"/>
    <w:rsid w:val="00B43AC0"/>
    <w:rsid w:val="00B43C0B"/>
    <w:rsid w:val="00B51D82"/>
    <w:rsid w:val="00B629A6"/>
    <w:rsid w:val="00B640F7"/>
    <w:rsid w:val="00B70721"/>
    <w:rsid w:val="00B736E1"/>
    <w:rsid w:val="00B80B2E"/>
    <w:rsid w:val="00B8187F"/>
    <w:rsid w:val="00B84E46"/>
    <w:rsid w:val="00B86348"/>
    <w:rsid w:val="00B86BE8"/>
    <w:rsid w:val="00B90164"/>
    <w:rsid w:val="00B92E2F"/>
    <w:rsid w:val="00B94E58"/>
    <w:rsid w:val="00B966DB"/>
    <w:rsid w:val="00BA2826"/>
    <w:rsid w:val="00BA4824"/>
    <w:rsid w:val="00BA7BEA"/>
    <w:rsid w:val="00BB440E"/>
    <w:rsid w:val="00BB6CF1"/>
    <w:rsid w:val="00BC4AD5"/>
    <w:rsid w:val="00BD0E0D"/>
    <w:rsid w:val="00BD24C3"/>
    <w:rsid w:val="00BD650F"/>
    <w:rsid w:val="00BE19EB"/>
    <w:rsid w:val="00BE1D2C"/>
    <w:rsid w:val="00BF2690"/>
    <w:rsid w:val="00BF47EB"/>
    <w:rsid w:val="00BF4F4E"/>
    <w:rsid w:val="00C05DD4"/>
    <w:rsid w:val="00C1235D"/>
    <w:rsid w:val="00C12A04"/>
    <w:rsid w:val="00C20F36"/>
    <w:rsid w:val="00C25116"/>
    <w:rsid w:val="00C263C1"/>
    <w:rsid w:val="00C34005"/>
    <w:rsid w:val="00C3500F"/>
    <w:rsid w:val="00C3557C"/>
    <w:rsid w:val="00C358F0"/>
    <w:rsid w:val="00C37E51"/>
    <w:rsid w:val="00C40A32"/>
    <w:rsid w:val="00C4212A"/>
    <w:rsid w:val="00C4267F"/>
    <w:rsid w:val="00C426C9"/>
    <w:rsid w:val="00C47160"/>
    <w:rsid w:val="00C54875"/>
    <w:rsid w:val="00C5546F"/>
    <w:rsid w:val="00C55F34"/>
    <w:rsid w:val="00C56C18"/>
    <w:rsid w:val="00C60613"/>
    <w:rsid w:val="00C651A6"/>
    <w:rsid w:val="00C65578"/>
    <w:rsid w:val="00C70843"/>
    <w:rsid w:val="00C76F08"/>
    <w:rsid w:val="00C77322"/>
    <w:rsid w:val="00C81489"/>
    <w:rsid w:val="00C90683"/>
    <w:rsid w:val="00C93B58"/>
    <w:rsid w:val="00C96768"/>
    <w:rsid w:val="00C978A1"/>
    <w:rsid w:val="00CA4B6E"/>
    <w:rsid w:val="00CA5190"/>
    <w:rsid w:val="00CA5EB1"/>
    <w:rsid w:val="00CA75D0"/>
    <w:rsid w:val="00CB1D37"/>
    <w:rsid w:val="00CB7C91"/>
    <w:rsid w:val="00CC102D"/>
    <w:rsid w:val="00CC3F34"/>
    <w:rsid w:val="00CC446F"/>
    <w:rsid w:val="00CC57A5"/>
    <w:rsid w:val="00CD00DC"/>
    <w:rsid w:val="00CD114A"/>
    <w:rsid w:val="00CD1FEF"/>
    <w:rsid w:val="00CD2A01"/>
    <w:rsid w:val="00CD38E8"/>
    <w:rsid w:val="00CE047A"/>
    <w:rsid w:val="00CE400C"/>
    <w:rsid w:val="00CE59CA"/>
    <w:rsid w:val="00CE5F5C"/>
    <w:rsid w:val="00CF0B13"/>
    <w:rsid w:val="00CF2984"/>
    <w:rsid w:val="00D004E1"/>
    <w:rsid w:val="00D0195C"/>
    <w:rsid w:val="00D05561"/>
    <w:rsid w:val="00D06494"/>
    <w:rsid w:val="00D13FCE"/>
    <w:rsid w:val="00D20B4D"/>
    <w:rsid w:val="00D232EF"/>
    <w:rsid w:val="00D32A90"/>
    <w:rsid w:val="00D33B56"/>
    <w:rsid w:val="00D34321"/>
    <w:rsid w:val="00D344FD"/>
    <w:rsid w:val="00D42F39"/>
    <w:rsid w:val="00D479E0"/>
    <w:rsid w:val="00D54AB0"/>
    <w:rsid w:val="00D62024"/>
    <w:rsid w:val="00D63DC3"/>
    <w:rsid w:val="00D64E0A"/>
    <w:rsid w:val="00D65EC3"/>
    <w:rsid w:val="00D66619"/>
    <w:rsid w:val="00D6742F"/>
    <w:rsid w:val="00D76AE1"/>
    <w:rsid w:val="00D77FD3"/>
    <w:rsid w:val="00D840F3"/>
    <w:rsid w:val="00D878C4"/>
    <w:rsid w:val="00DA0EE7"/>
    <w:rsid w:val="00DA2FFB"/>
    <w:rsid w:val="00DA51C6"/>
    <w:rsid w:val="00DA5C5C"/>
    <w:rsid w:val="00DA5E7E"/>
    <w:rsid w:val="00DA6086"/>
    <w:rsid w:val="00DB0E8F"/>
    <w:rsid w:val="00DB16A7"/>
    <w:rsid w:val="00DB5223"/>
    <w:rsid w:val="00DB738E"/>
    <w:rsid w:val="00DC5C1F"/>
    <w:rsid w:val="00DC6097"/>
    <w:rsid w:val="00DD6C99"/>
    <w:rsid w:val="00DD6D2C"/>
    <w:rsid w:val="00DD739E"/>
    <w:rsid w:val="00DE44AC"/>
    <w:rsid w:val="00DF0CCD"/>
    <w:rsid w:val="00DF16EB"/>
    <w:rsid w:val="00DF2178"/>
    <w:rsid w:val="00DF3C09"/>
    <w:rsid w:val="00DF554E"/>
    <w:rsid w:val="00E00367"/>
    <w:rsid w:val="00E00A80"/>
    <w:rsid w:val="00E11539"/>
    <w:rsid w:val="00E12859"/>
    <w:rsid w:val="00E12D50"/>
    <w:rsid w:val="00E14CE2"/>
    <w:rsid w:val="00E169A4"/>
    <w:rsid w:val="00E25B26"/>
    <w:rsid w:val="00E264E4"/>
    <w:rsid w:val="00E32CB2"/>
    <w:rsid w:val="00E338E2"/>
    <w:rsid w:val="00E359E5"/>
    <w:rsid w:val="00E45DE3"/>
    <w:rsid w:val="00E460E9"/>
    <w:rsid w:val="00E47CFB"/>
    <w:rsid w:val="00E50EB6"/>
    <w:rsid w:val="00E513E2"/>
    <w:rsid w:val="00E57FA4"/>
    <w:rsid w:val="00E60472"/>
    <w:rsid w:val="00E62FE6"/>
    <w:rsid w:val="00E63D3D"/>
    <w:rsid w:val="00E66987"/>
    <w:rsid w:val="00E734B6"/>
    <w:rsid w:val="00E80202"/>
    <w:rsid w:val="00E809BC"/>
    <w:rsid w:val="00E8249D"/>
    <w:rsid w:val="00E84727"/>
    <w:rsid w:val="00E84C27"/>
    <w:rsid w:val="00E86848"/>
    <w:rsid w:val="00E90E89"/>
    <w:rsid w:val="00E9338A"/>
    <w:rsid w:val="00EA0C4C"/>
    <w:rsid w:val="00EA463B"/>
    <w:rsid w:val="00EA69C5"/>
    <w:rsid w:val="00EB73C7"/>
    <w:rsid w:val="00EB7D10"/>
    <w:rsid w:val="00EC43E9"/>
    <w:rsid w:val="00ED2139"/>
    <w:rsid w:val="00ED244A"/>
    <w:rsid w:val="00ED46EB"/>
    <w:rsid w:val="00ED6012"/>
    <w:rsid w:val="00EE1199"/>
    <w:rsid w:val="00EE5BC7"/>
    <w:rsid w:val="00EE5E1E"/>
    <w:rsid w:val="00EE6B8A"/>
    <w:rsid w:val="00EF2DFB"/>
    <w:rsid w:val="00F0057D"/>
    <w:rsid w:val="00F01972"/>
    <w:rsid w:val="00F061A2"/>
    <w:rsid w:val="00F10A27"/>
    <w:rsid w:val="00F14906"/>
    <w:rsid w:val="00F221A7"/>
    <w:rsid w:val="00F30B2F"/>
    <w:rsid w:val="00F330E8"/>
    <w:rsid w:val="00F33229"/>
    <w:rsid w:val="00F35321"/>
    <w:rsid w:val="00F359C9"/>
    <w:rsid w:val="00F37C1F"/>
    <w:rsid w:val="00F42BFD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70430"/>
    <w:rsid w:val="00F71BCA"/>
    <w:rsid w:val="00F74F95"/>
    <w:rsid w:val="00F75655"/>
    <w:rsid w:val="00F762B2"/>
    <w:rsid w:val="00F81DB0"/>
    <w:rsid w:val="00F84C9B"/>
    <w:rsid w:val="00F86C94"/>
    <w:rsid w:val="00F95DF3"/>
    <w:rsid w:val="00F9664F"/>
    <w:rsid w:val="00FA05DE"/>
    <w:rsid w:val="00FA2BAC"/>
    <w:rsid w:val="00FA57AB"/>
    <w:rsid w:val="00FA601A"/>
    <w:rsid w:val="00FA7693"/>
    <w:rsid w:val="00FB6CD7"/>
    <w:rsid w:val="00FC03F8"/>
    <w:rsid w:val="00FC22B3"/>
    <w:rsid w:val="00FC312E"/>
    <w:rsid w:val="00FC4607"/>
    <w:rsid w:val="00FD374E"/>
    <w:rsid w:val="00FE55D8"/>
    <w:rsid w:val="00FE765F"/>
    <w:rsid w:val="00FF296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DA8CAF07CD2AED8760AE50756FC804148E42CC4110A5BDA8689E90530AF621471CF805855D6ED7DC29y8a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Выявленные</a:t>
            </a:r>
            <a:r>
              <a:rPr lang="ru-RU" sz="1600" baseline="0"/>
              <a:t> во 2 полугодии 2015 года коррупциогенные факторы</a:t>
            </a:r>
            <a:endParaRPr lang="ru-RU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отсутствие или неполнота административных процедур</c:v>
                </c:pt>
                <c:pt idx="1">
                  <c:v>широта дискреционных полномочий</c:v>
                </c:pt>
                <c:pt idx="2">
                  <c:v> юридико-лингвистическая неопределенность</c:v>
                </c:pt>
                <c:pt idx="3">
                  <c:v>наличие завышенных требований к лицу…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4.4002950964555969E-2"/>
          <c:w val="0.60498760571595223"/>
          <c:h val="0.74666229221347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широтадискреционных полномочий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полугодие 2014</c:v>
                </c:pt>
                <c:pt idx="1">
                  <c:v>2 полугодие 2014</c:v>
                </c:pt>
                <c:pt idx="2">
                  <c:v>1 полугодие 2015 </c:v>
                </c:pt>
                <c:pt idx="3">
                  <c:v>2 полугодие 2015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отсутствие или неполнота административных процедур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полугодие 2014</c:v>
                </c:pt>
                <c:pt idx="1">
                  <c:v>2 полугодие 2014</c:v>
                </c:pt>
                <c:pt idx="2">
                  <c:v>1 полугодие 2015 </c:v>
                </c:pt>
                <c:pt idx="3">
                  <c:v>2 полугодие 2015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юридико-лингвистическая неопределенность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полугодие 2014</c:v>
                </c:pt>
                <c:pt idx="1">
                  <c:v>2 полугодие 2014</c:v>
                </c:pt>
                <c:pt idx="2">
                  <c:v>1 полугодие 2015 </c:v>
                </c:pt>
                <c:pt idx="3">
                  <c:v>2 полугодие 2015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60832"/>
        <c:axId val="42362368"/>
      </c:barChart>
      <c:catAx>
        <c:axId val="4236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42362368"/>
        <c:crosses val="autoZero"/>
        <c:auto val="1"/>
        <c:lblAlgn val="ctr"/>
        <c:lblOffset val="100"/>
        <c:noMultiLvlLbl val="0"/>
      </c:catAx>
      <c:valAx>
        <c:axId val="423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6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10072178477685"/>
          <c:y val="0.32066430406419222"/>
          <c:w val="0.3300103893263342"/>
          <c:h val="0.5013512771285267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широта дискреционных полномочий (в % от выявленных)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1 полугодие 2014 года</c:v>
                </c:pt>
                <c:pt idx="1">
                  <c:v>2 полугодие 2014 года</c:v>
                </c:pt>
                <c:pt idx="2">
                  <c:v>1 полугодие 2015 года</c:v>
                </c:pt>
                <c:pt idx="3">
                  <c:v>2 полугодие 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23.3</c:v>
                </c:pt>
                <c:pt idx="1">
                  <c:v>53.8</c:v>
                </c:pt>
                <c:pt idx="2">
                  <c:v>47.8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отсутствие или неполнота административных процедур (в % от  выявленных)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1 полугодие 2014 года</c:v>
                </c:pt>
                <c:pt idx="1">
                  <c:v>2 полугодие 2014 года</c:v>
                </c:pt>
                <c:pt idx="2">
                  <c:v>1 полугодие 2015 года</c:v>
                </c:pt>
                <c:pt idx="3">
                  <c:v>2 полугодие 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36.6</c:v>
                </c:pt>
                <c:pt idx="1">
                  <c:v>38.46</c:v>
                </c:pt>
                <c:pt idx="2">
                  <c:v>34.700000000000003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юридико-лингвистическая неопределенность (в % от   выявленных)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1 полугодие 2014 года</c:v>
                </c:pt>
                <c:pt idx="1">
                  <c:v>2 полугодие 2014 года</c:v>
                </c:pt>
                <c:pt idx="2">
                  <c:v>1 полугодие 2015 года</c:v>
                </c:pt>
                <c:pt idx="3">
                  <c:v>2 полугодие 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6.6</c:v>
                </c:pt>
                <c:pt idx="1">
                  <c:v>7.7</c:v>
                </c:pt>
                <c:pt idx="2">
                  <c:v>13.04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2"/>
        <c:axId val="46665728"/>
        <c:axId val="46667264"/>
      </c:barChart>
      <c:catAx>
        <c:axId val="466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46667264"/>
        <c:crosses val="autoZero"/>
        <c:auto val="1"/>
        <c:lblAlgn val="ctr"/>
        <c:lblOffset val="100"/>
        <c:noMultiLvlLbl val="0"/>
      </c:catAx>
      <c:valAx>
        <c:axId val="466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6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F331-A2B4-4578-81F8-29510EB3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Нефедова Наталья Александровна</cp:lastModifiedBy>
  <cp:revision>95</cp:revision>
  <cp:lastPrinted>2015-12-04T07:19:00Z</cp:lastPrinted>
  <dcterms:created xsi:type="dcterms:W3CDTF">2015-12-01T06:18:00Z</dcterms:created>
  <dcterms:modified xsi:type="dcterms:W3CDTF">2015-12-28T13:01:00Z</dcterms:modified>
</cp:coreProperties>
</file>