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C9" w:rsidRDefault="00A670C9" w:rsidP="00846AE5">
      <w:pPr>
        <w:ind w:firstLine="0"/>
        <w:jc w:val="center"/>
      </w:pPr>
      <w:r>
        <w:rPr>
          <w:noProof/>
        </w:rPr>
        <w:drawing>
          <wp:inline distT="0" distB="0" distL="0" distR="0">
            <wp:extent cx="410210" cy="4857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C9" w:rsidRDefault="00A670C9" w:rsidP="00A670C9">
      <w:pPr>
        <w:jc w:val="center"/>
      </w:pPr>
    </w:p>
    <w:p w:rsidR="00A670C9" w:rsidRPr="00881889" w:rsidRDefault="00A670C9" w:rsidP="00A670C9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89">
        <w:rPr>
          <w:rFonts w:ascii="Times New Roman" w:hAnsi="Times New Roman" w:cs="Times New Roman"/>
          <w:b/>
          <w:sz w:val="28"/>
          <w:szCs w:val="28"/>
        </w:rPr>
        <w:t>Администрация Касимовского муниципального района</w:t>
      </w:r>
    </w:p>
    <w:p w:rsidR="00A670C9" w:rsidRDefault="00A670C9" w:rsidP="00A670C9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89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A670C9" w:rsidRDefault="00A670C9" w:rsidP="00A670C9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C9" w:rsidRPr="00096BD0" w:rsidRDefault="00A670C9" w:rsidP="00A670C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A670C9" w:rsidRPr="00096BD0" w:rsidRDefault="00A670C9" w:rsidP="00A670C9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BD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670C9" w:rsidRPr="00096BD0" w:rsidRDefault="00A670C9" w:rsidP="00A670C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A670C9" w:rsidRPr="00096BD0" w:rsidRDefault="00A670C9" w:rsidP="00A670C9">
      <w:pPr>
        <w:pStyle w:val="af4"/>
        <w:rPr>
          <w:rFonts w:ascii="Times New Roman" w:hAnsi="Times New Roman" w:cs="Times New Roman"/>
          <w:sz w:val="28"/>
          <w:szCs w:val="28"/>
        </w:rPr>
      </w:pPr>
      <w:r w:rsidRPr="00096BD0">
        <w:rPr>
          <w:rFonts w:ascii="Times New Roman" w:hAnsi="Times New Roman" w:cs="Times New Roman"/>
          <w:sz w:val="28"/>
          <w:szCs w:val="28"/>
        </w:rPr>
        <w:t>___</w:t>
      </w:r>
      <w:r w:rsidR="00A96F17">
        <w:rPr>
          <w:rFonts w:ascii="Times New Roman" w:hAnsi="Times New Roman" w:cs="Times New Roman"/>
          <w:sz w:val="28"/>
          <w:szCs w:val="28"/>
        </w:rPr>
        <w:t>15.04.2019</w:t>
      </w:r>
      <w:r w:rsidRPr="00096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№___</w:t>
      </w:r>
      <w:r w:rsidR="00A96F17">
        <w:rPr>
          <w:rFonts w:ascii="Times New Roman" w:hAnsi="Times New Roman" w:cs="Times New Roman"/>
          <w:sz w:val="28"/>
          <w:szCs w:val="28"/>
        </w:rPr>
        <w:t>657</w:t>
      </w:r>
      <w:r w:rsidRPr="00096BD0">
        <w:rPr>
          <w:rFonts w:ascii="Times New Roman" w:hAnsi="Times New Roman" w:cs="Times New Roman"/>
          <w:sz w:val="28"/>
          <w:szCs w:val="28"/>
        </w:rPr>
        <w:t>______</w:t>
      </w:r>
    </w:p>
    <w:p w:rsidR="00A670C9" w:rsidRPr="00096BD0" w:rsidRDefault="00A670C9" w:rsidP="00A670C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096BD0">
        <w:rPr>
          <w:rFonts w:ascii="Times New Roman" w:hAnsi="Times New Roman" w:cs="Times New Roman"/>
          <w:sz w:val="28"/>
          <w:szCs w:val="28"/>
        </w:rPr>
        <w:t>г. Касимов</w:t>
      </w:r>
    </w:p>
    <w:p w:rsidR="00A670C9" w:rsidRPr="001D2136" w:rsidRDefault="00A670C9" w:rsidP="00A670C9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842657" w:rsidRPr="004E7D4B" w:rsidRDefault="00842657" w:rsidP="00A67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D4B">
        <w:rPr>
          <w:rFonts w:ascii="Times New Roman" w:hAnsi="Times New Roman" w:cs="Times New Roman"/>
          <w:b/>
          <w:bCs/>
          <w:sz w:val="28"/>
          <w:szCs w:val="28"/>
        </w:rPr>
        <w:t>О Ме</w:t>
      </w:r>
      <w:r w:rsidR="004E7D4B">
        <w:rPr>
          <w:rFonts w:ascii="Times New Roman" w:hAnsi="Times New Roman" w:cs="Times New Roman"/>
          <w:b/>
          <w:bCs/>
          <w:sz w:val="28"/>
          <w:szCs w:val="28"/>
        </w:rPr>
        <w:t xml:space="preserve">тодике определения нормативных </w:t>
      </w:r>
      <w:r w:rsidRPr="004E7D4B">
        <w:rPr>
          <w:rFonts w:ascii="Times New Roman" w:hAnsi="Times New Roman" w:cs="Times New Roman"/>
          <w:b/>
          <w:bCs/>
          <w:sz w:val="28"/>
          <w:szCs w:val="28"/>
        </w:rPr>
        <w:t>затрат                                                        на оказание муниципальных услуг по реализации дополнительных общеобразовательных общеразвивающих программ</w:t>
      </w:r>
    </w:p>
    <w:p w:rsidR="00842657" w:rsidRPr="00BD6451" w:rsidRDefault="00842657" w:rsidP="009E348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657" w:rsidRPr="00971DDD" w:rsidRDefault="00842657" w:rsidP="00846AE5">
      <w:pPr>
        <w:rPr>
          <w:rFonts w:ascii="Times New Roman" w:hAnsi="Times New Roman" w:cs="Times New Roman"/>
          <w:bCs/>
          <w:sz w:val="32"/>
        </w:rPr>
      </w:pPr>
      <w:proofErr w:type="gramStart"/>
      <w:r w:rsidRPr="004E7D4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29 декабря 2012 года № 273-ФЗ </w:t>
      </w:r>
      <w:r w:rsidR="004E7D4B">
        <w:rPr>
          <w:rFonts w:ascii="Times New Roman" w:hAnsi="Times New Roman" w:cs="Times New Roman"/>
          <w:bCs/>
          <w:sz w:val="28"/>
        </w:rPr>
        <w:t xml:space="preserve"> «</w:t>
      </w:r>
      <w:r w:rsidRPr="004E7D4B">
        <w:rPr>
          <w:rFonts w:ascii="Times New Roman" w:hAnsi="Times New Roman" w:cs="Times New Roman"/>
          <w:bCs/>
          <w:sz w:val="28"/>
        </w:rPr>
        <w:t>Об образовании</w:t>
      </w:r>
      <w:r w:rsidR="00BD6451" w:rsidRPr="004E7D4B">
        <w:rPr>
          <w:rFonts w:ascii="Times New Roman" w:hAnsi="Times New Roman" w:cs="Times New Roman"/>
          <w:bCs/>
          <w:sz w:val="28"/>
        </w:rPr>
        <w:t xml:space="preserve"> в Российской Федерации», Приказом Министерства образования и науки Российской Федерации от  22 сентября  2015 года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 обеспечение выполнения государственного (муниципального</w:t>
      </w:r>
      <w:proofErr w:type="gramEnd"/>
      <w:r w:rsidR="00BD6451" w:rsidRPr="004E7D4B">
        <w:rPr>
          <w:rFonts w:ascii="Times New Roman" w:hAnsi="Times New Roman" w:cs="Times New Roman"/>
          <w:bCs/>
          <w:sz w:val="28"/>
        </w:rPr>
        <w:t xml:space="preserve">) </w:t>
      </w:r>
      <w:proofErr w:type="gramStart"/>
      <w:r w:rsidR="00BD6451" w:rsidRPr="004E7D4B">
        <w:rPr>
          <w:rFonts w:ascii="Times New Roman" w:hAnsi="Times New Roman" w:cs="Times New Roman"/>
          <w:bCs/>
          <w:sz w:val="28"/>
        </w:rPr>
        <w:t>задания  на оказание государственных (муниципальных) услуг (выполнения работ) государстве</w:t>
      </w:r>
      <w:r w:rsidR="004E7D4B">
        <w:rPr>
          <w:rFonts w:ascii="Times New Roman" w:hAnsi="Times New Roman" w:cs="Times New Roman"/>
          <w:bCs/>
          <w:sz w:val="28"/>
        </w:rPr>
        <w:t xml:space="preserve">нным </w:t>
      </w:r>
      <w:r w:rsidR="00BD6451" w:rsidRPr="004E7D4B">
        <w:rPr>
          <w:rFonts w:ascii="Times New Roman" w:hAnsi="Times New Roman" w:cs="Times New Roman"/>
          <w:bCs/>
          <w:sz w:val="28"/>
        </w:rPr>
        <w:t xml:space="preserve">(муниципальным) учреждением», администрация </w:t>
      </w:r>
      <w:r w:rsidR="00BD6451" w:rsidRPr="00971DDD">
        <w:rPr>
          <w:rFonts w:ascii="Times New Roman" w:hAnsi="Times New Roman" w:cs="Times New Roman"/>
          <w:bCs/>
          <w:sz w:val="28"/>
        </w:rPr>
        <w:t>Кас</w:t>
      </w:r>
      <w:r w:rsidR="00971DDD">
        <w:rPr>
          <w:rFonts w:ascii="Times New Roman" w:hAnsi="Times New Roman" w:cs="Times New Roman"/>
          <w:bCs/>
          <w:sz w:val="28"/>
        </w:rPr>
        <w:t>имовского муниципального района</w:t>
      </w:r>
      <w:proofErr w:type="gramEnd"/>
    </w:p>
    <w:p w:rsidR="00BD6451" w:rsidRPr="004E7D4B" w:rsidRDefault="00BD6451" w:rsidP="00846AE5">
      <w:pPr>
        <w:jc w:val="center"/>
        <w:rPr>
          <w:rFonts w:ascii="Times New Roman" w:hAnsi="Times New Roman" w:cs="Times New Roman"/>
          <w:bCs/>
          <w:sz w:val="28"/>
        </w:rPr>
      </w:pPr>
      <w:r w:rsidRPr="004E7D4B">
        <w:rPr>
          <w:rFonts w:ascii="Times New Roman" w:hAnsi="Times New Roman" w:cs="Times New Roman"/>
          <w:bCs/>
          <w:sz w:val="28"/>
        </w:rPr>
        <w:t>ПОСТАНОВЛЯЕТ:</w:t>
      </w:r>
    </w:p>
    <w:p w:rsidR="00BD6451" w:rsidRPr="004E7D4B" w:rsidRDefault="00BD6451" w:rsidP="00846AE5">
      <w:pPr>
        <w:pStyle w:val="a9"/>
        <w:numPr>
          <w:ilvl w:val="0"/>
          <w:numId w:val="14"/>
        </w:numPr>
        <w:ind w:left="0" w:firstLine="720"/>
        <w:rPr>
          <w:rFonts w:ascii="Times New Roman" w:hAnsi="Times New Roman" w:cs="Times New Roman"/>
          <w:bCs/>
          <w:sz w:val="28"/>
        </w:rPr>
      </w:pPr>
      <w:r w:rsidRPr="004E7D4B">
        <w:rPr>
          <w:rFonts w:ascii="Times New Roman" w:hAnsi="Times New Roman" w:cs="Times New Roman"/>
          <w:bCs/>
          <w:sz w:val="28"/>
        </w:rPr>
        <w:t>Утвердить Методику определения нормативных затрат на оказание муниципальных услуг по реализации дополнительных общеобразовательных общеразвивающих программ согласно приложению №1 к настоящему постановлению.</w:t>
      </w:r>
    </w:p>
    <w:p w:rsidR="00BD6451" w:rsidRPr="004E7D4B" w:rsidRDefault="00657416" w:rsidP="00846AE5">
      <w:pPr>
        <w:pStyle w:val="a9"/>
        <w:numPr>
          <w:ilvl w:val="0"/>
          <w:numId w:val="14"/>
        </w:numPr>
        <w:ind w:left="0" w:firstLine="720"/>
        <w:rPr>
          <w:rFonts w:ascii="Times New Roman" w:hAnsi="Times New Roman" w:cs="Times New Roman"/>
          <w:bCs/>
          <w:sz w:val="28"/>
        </w:rPr>
      </w:pPr>
      <w:r w:rsidRPr="004E7D4B">
        <w:rPr>
          <w:rFonts w:ascii="Times New Roman" w:hAnsi="Times New Roman" w:cs="Times New Roman"/>
          <w:bCs/>
          <w:sz w:val="28"/>
        </w:rPr>
        <w:t>Довести настоящее постановление до заинтересованных лиц.</w:t>
      </w:r>
    </w:p>
    <w:p w:rsidR="00657416" w:rsidRPr="004E7D4B" w:rsidRDefault="00657416" w:rsidP="00846AE5">
      <w:pPr>
        <w:pStyle w:val="a9"/>
        <w:numPr>
          <w:ilvl w:val="0"/>
          <w:numId w:val="14"/>
        </w:numPr>
        <w:ind w:left="0" w:firstLine="720"/>
        <w:rPr>
          <w:rFonts w:ascii="Times New Roman" w:hAnsi="Times New Roman" w:cs="Times New Roman"/>
          <w:bCs/>
          <w:sz w:val="28"/>
        </w:rPr>
      </w:pPr>
      <w:r w:rsidRPr="004E7D4B">
        <w:rPr>
          <w:rFonts w:ascii="Times New Roman" w:hAnsi="Times New Roman" w:cs="Times New Roman"/>
          <w:bCs/>
          <w:sz w:val="28"/>
        </w:rPr>
        <w:t>Настоящее постановление подлежит официальному опубликованию и распространяет свое действие на правоотношения, возникшие с 01.01.2019 года.</w:t>
      </w:r>
    </w:p>
    <w:p w:rsidR="00657416" w:rsidRPr="00A670C9" w:rsidRDefault="00657416" w:rsidP="00846AE5">
      <w:pPr>
        <w:pStyle w:val="a9"/>
        <w:numPr>
          <w:ilvl w:val="0"/>
          <w:numId w:val="14"/>
        </w:numPr>
        <w:ind w:left="0" w:firstLine="720"/>
        <w:jc w:val="left"/>
        <w:rPr>
          <w:rFonts w:ascii="Times New Roman" w:hAnsi="Times New Roman" w:cs="Times New Roman"/>
          <w:bCs/>
          <w:sz w:val="28"/>
        </w:rPr>
      </w:pPr>
      <w:proofErr w:type="gramStart"/>
      <w:r w:rsidRPr="00A670C9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A670C9">
        <w:rPr>
          <w:rFonts w:ascii="Times New Roman" w:hAnsi="Times New Roman" w:cs="Times New Roman"/>
          <w:bCs/>
          <w:sz w:val="28"/>
        </w:rPr>
        <w:t xml:space="preserve"> исполнением настоящего постановления возложить на </w:t>
      </w:r>
      <w:r w:rsidR="00846AE5">
        <w:rPr>
          <w:rFonts w:ascii="Times New Roman" w:hAnsi="Times New Roman" w:cs="Times New Roman"/>
          <w:bCs/>
          <w:sz w:val="28"/>
        </w:rPr>
        <w:t xml:space="preserve">и.о. </w:t>
      </w:r>
      <w:r w:rsidRPr="00A670C9">
        <w:rPr>
          <w:rFonts w:ascii="Times New Roman" w:hAnsi="Times New Roman" w:cs="Times New Roman"/>
          <w:bCs/>
          <w:sz w:val="28"/>
        </w:rPr>
        <w:t xml:space="preserve">заместителя главы администрации по </w:t>
      </w:r>
      <w:r w:rsidR="00846AE5">
        <w:rPr>
          <w:rFonts w:ascii="Times New Roman" w:hAnsi="Times New Roman" w:cs="Times New Roman"/>
          <w:bCs/>
          <w:sz w:val="28"/>
        </w:rPr>
        <w:t xml:space="preserve">социальной политике М.Н. Колесову. </w:t>
      </w:r>
    </w:p>
    <w:p w:rsidR="00842657" w:rsidRDefault="00842657" w:rsidP="00A670C9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846AE5" w:rsidRPr="00A670C9" w:rsidRDefault="00846AE5" w:rsidP="00A670C9">
      <w:pPr>
        <w:spacing w:line="276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846AE5" w:rsidRPr="001D2136" w:rsidRDefault="00846AE5" w:rsidP="00846AE5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  <w:r w:rsidRPr="001D2136">
        <w:rPr>
          <w:rFonts w:ascii="Times New Roman" w:hAnsi="Times New Roman" w:cs="Times New Roman"/>
          <w:sz w:val="26"/>
          <w:szCs w:val="26"/>
        </w:rPr>
        <w:t xml:space="preserve">И.о. главы администрации </w:t>
      </w:r>
    </w:p>
    <w:p w:rsidR="00846AE5" w:rsidRPr="001D2136" w:rsidRDefault="00846AE5" w:rsidP="00846AE5">
      <w:pPr>
        <w:pStyle w:val="af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136">
        <w:rPr>
          <w:rFonts w:ascii="Times New Roman" w:hAnsi="Times New Roman" w:cs="Times New Roman"/>
          <w:sz w:val="26"/>
          <w:szCs w:val="26"/>
        </w:rPr>
        <w:t xml:space="preserve">Касимовского </w:t>
      </w:r>
      <w:r w:rsidRPr="001D213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 </w:t>
      </w:r>
    </w:p>
    <w:p w:rsidR="00842657" w:rsidRPr="00A670C9" w:rsidRDefault="00846AE5" w:rsidP="00846AE5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D2136">
        <w:rPr>
          <w:rFonts w:ascii="Times New Roman" w:hAnsi="Times New Roman" w:cs="Times New Roman"/>
          <w:sz w:val="26"/>
          <w:szCs w:val="26"/>
        </w:rPr>
        <w:t xml:space="preserve">Рязанской области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D213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D2136">
        <w:rPr>
          <w:rFonts w:ascii="Times New Roman" w:hAnsi="Times New Roman" w:cs="Times New Roman"/>
          <w:sz w:val="26"/>
          <w:szCs w:val="26"/>
        </w:rPr>
        <w:t>Ю.Н. Новиков</w:t>
      </w:r>
    </w:p>
    <w:p w:rsidR="00842657" w:rsidRDefault="00842657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D4B" w:rsidRDefault="004E7D4B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E5" w:rsidRDefault="00657416" w:rsidP="00846AE5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74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846AE5" w:rsidRDefault="00657416" w:rsidP="00846AE5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7416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846AE5" w:rsidRDefault="00657416" w:rsidP="00846AE5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57416">
        <w:rPr>
          <w:rFonts w:ascii="Times New Roman" w:hAnsi="Times New Roman" w:cs="Times New Roman"/>
          <w:bCs/>
          <w:sz w:val="28"/>
          <w:szCs w:val="28"/>
        </w:rPr>
        <w:t>асимовского муниципального района</w:t>
      </w:r>
    </w:p>
    <w:p w:rsidR="00657416" w:rsidRDefault="00657416" w:rsidP="00846AE5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7416">
        <w:rPr>
          <w:rFonts w:ascii="Times New Roman" w:hAnsi="Times New Roman" w:cs="Times New Roman"/>
          <w:bCs/>
          <w:sz w:val="28"/>
          <w:szCs w:val="28"/>
        </w:rPr>
        <w:t xml:space="preserve"> Рязанской области</w:t>
      </w:r>
    </w:p>
    <w:p w:rsidR="00657416" w:rsidRDefault="00657416" w:rsidP="00846AE5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</w:t>
      </w:r>
      <w:r w:rsidR="00A96F17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__»_</w:t>
      </w:r>
      <w:r w:rsidR="00A96F17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>2019 г.№_</w:t>
      </w:r>
      <w:r w:rsidR="00A96F17">
        <w:rPr>
          <w:rFonts w:ascii="Times New Roman" w:hAnsi="Times New Roman" w:cs="Times New Roman"/>
          <w:bCs/>
          <w:sz w:val="28"/>
          <w:szCs w:val="28"/>
        </w:rPr>
        <w:t>657</w:t>
      </w:r>
    </w:p>
    <w:p w:rsidR="00657416" w:rsidRPr="00657416" w:rsidRDefault="00657416" w:rsidP="00846AE5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5A4A" w:rsidRPr="009E3488" w:rsidRDefault="00AB3308" w:rsidP="00846AE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b/>
          <w:bCs/>
          <w:sz w:val="28"/>
          <w:szCs w:val="28"/>
        </w:rPr>
        <w:t>услуг по реализации дополнительных общеобразовательных общеразвивающих программ</w:t>
      </w:r>
    </w:p>
    <w:p w:rsidR="00AB3308" w:rsidRPr="009E3488" w:rsidRDefault="00AB3308" w:rsidP="00846AE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3308" w:rsidRPr="009E3488" w:rsidRDefault="00AB3308" w:rsidP="00846AE5">
      <w:pPr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3308" w:rsidRPr="009E3488" w:rsidRDefault="00AB3308" w:rsidP="00846AE5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:rsidR="00AB3308" w:rsidRPr="00971DDD" w:rsidRDefault="00AB3308" w:rsidP="00846AE5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методика </w:t>
      </w:r>
      <w:r w:rsidRP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применяется</w:t>
      </w:r>
      <w:r w:rsid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управлением образования и молодежной политики администрации муниципального образования </w:t>
      </w:r>
      <w:proofErr w:type="spellStart"/>
      <w:r w:rsid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Касимовский</w:t>
      </w:r>
      <w:proofErr w:type="spellEnd"/>
      <w:r w:rsid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муниципальный </w:t>
      </w:r>
      <w:proofErr w:type="spellStart"/>
      <w:r w:rsid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район,</w:t>
      </w:r>
      <w:r w:rsidRP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котор</w:t>
      </w:r>
      <w:r w:rsidR="003A24C6" w:rsidRP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="00824676" w:rsidRP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proofErr w:type="spellEnd"/>
      <w:r w:rsidRP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выполня</w:t>
      </w:r>
      <w:r w:rsidR="003A24C6" w:rsidRP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ю</w:t>
      </w:r>
      <w:r w:rsidRP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 функции</w:t>
      </w:r>
      <w:r w:rsid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полномочия</w:t>
      </w:r>
      <w:r w:rsidRP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учредител</w:t>
      </w:r>
      <w:r w:rsidR="00971D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ейобразовательных организаций, реализующих общеразвивающие программы дополнительного образования детей. Настоящая методика применяется при оказании услуг по реализации дополнительных общеобразовательных программ в системе персонифицированного финансирования.</w:t>
      </w:r>
    </w:p>
    <w:p w:rsidR="00AB3308" w:rsidRPr="009E3488" w:rsidRDefault="00AB3308" w:rsidP="00846AE5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F7B07" w:rsidRPr="009E3488">
        <w:rPr>
          <w:rFonts w:ascii="Times New Roman" w:hAnsi="Times New Roman" w:cs="Times New Roman"/>
          <w:bCs/>
          <w:sz w:val="28"/>
          <w:szCs w:val="28"/>
        </w:rPr>
        <w:t>М</w:t>
      </w:r>
      <w:r w:rsidRPr="009E3488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:rsidR="00AB3308" w:rsidRPr="009E3488" w:rsidRDefault="00657416" w:rsidP="00846AE5">
      <w:pPr>
        <w:shd w:val="clear" w:color="auto" w:fill="FFFFFF"/>
        <w:tabs>
          <w:tab w:val="left" w:pos="902"/>
        </w:tabs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AB3308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="00AB3308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B3308" w:rsidRDefault="00657416" w:rsidP="00846AE5">
      <w:pPr>
        <w:shd w:val="clear" w:color="auto" w:fill="FFFFFF"/>
        <w:tabs>
          <w:tab w:val="left" w:pos="88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308" w:rsidRPr="009E3488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416" w:rsidRDefault="00657416" w:rsidP="00846AE5">
      <w:pPr>
        <w:shd w:val="clear" w:color="auto" w:fill="FFFFFF"/>
        <w:tabs>
          <w:tab w:val="left" w:pos="88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-расчета объема субсидии на финансовое обеспечение выполнения муниципального задания на оказание муниципальных услуг по реализации дополнительных общеобразовательных общеразвивающих программ.</w:t>
      </w:r>
    </w:p>
    <w:p w:rsidR="00657416" w:rsidRPr="009E3488" w:rsidRDefault="00657416" w:rsidP="00846AE5">
      <w:pPr>
        <w:shd w:val="clear" w:color="auto" w:fill="FFFFFF"/>
        <w:tabs>
          <w:tab w:val="left" w:pos="88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3308" w:rsidRPr="009E3488" w:rsidRDefault="00AB3308" w:rsidP="00846AE5">
      <w:pPr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8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оказание </w:t>
      </w:r>
      <w:r w:rsidR="00A87442" w:rsidRPr="009E34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b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</w:p>
    <w:p w:rsidR="00AB3308" w:rsidRPr="009E3488" w:rsidRDefault="00AB3308" w:rsidP="00846AE5">
      <w:pPr>
        <w:pStyle w:val="a7"/>
        <w:spacing w:line="276" w:lineRule="auto"/>
        <w:ind w:firstLine="885"/>
        <w:rPr>
          <w:sz w:val="28"/>
          <w:szCs w:val="28"/>
        </w:rPr>
      </w:pPr>
    </w:p>
    <w:p w:rsidR="00AB3308" w:rsidRPr="009E3488" w:rsidRDefault="00AB3308" w:rsidP="00846AE5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по реализации дополнительных общеобразовательных общеразвивающих программ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lastRenderedPageBreak/>
        <w:t xml:space="preserve">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</w:t>
      </w:r>
      <w:r w:rsidR="009525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от 29 декабря 2012 года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№ 273-ФЗ </w:t>
      </w:r>
      <w:r w:rsidR="009525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« Об образовании в Российской Федерации» особенностей организации и осуществления образовательных услуг ( для различных категорий обучающихся).  </w:t>
      </w:r>
    </w:p>
    <w:p w:rsidR="00AB3308" w:rsidRPr="009E3488" w:rsidRDefault="00AB3308" w:rsidP="00846AE5">
      <w:pPr>
        <w:kinsoku w:val="0"/>
        <w:overflowPunct w:val="0"/>
        <w:spacing w:line="276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Объем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по реализации дополнительных общеобразовательных общеразвивающих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:rsidR="00AB3308" w:rsidRPr="009E3488" w:rsidRDefault="00AB3308" w:rsidP="00846AE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оказание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услуг по реализации дополнительных общеобразовательных общеразвивающих программ определяются по следующей формуле:</w:t>
      </w:r>
    </w:p>
    <w:p w:rsidR="005A1804" w:rsidRDefault="004016A2" w:rsidP="00846AE5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iбаз 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отр  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тер</m:t>
              </m:r>
            </m:sub>
          </m:sSub>
        </m:oMath>
      </m:oMathPara>
    </w:p>
    <w:p w:rsidR="00855F09" w:rsidRPr="009E3488" w:rsidRDefault="00855F09" w:rsidP="00846AE5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где</w:t>
      </w:r>
    </w:p>
    <w:p w:rsidR="00855F09" w:rsidRPr="009E3488" w:rsidDel="000A27CD" w:rsidRDefault="004016A2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</m:oMath>
      <w:r w:rsidR="00855F09" w:rsidRPr="009E3488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</w:t>
      </w:r>
      <w:r w:rsidR="00855F09" w:rsidRPr="009E3488" w:rsidDel="000A27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55F09" w:rsidRPr="009E3488" w:rsidDel="000A27CD">
        <w:rPr>
          <w:rFonts w:ascii="Times New Roman" w:hAnsi="Times New Roman" w:cs="Times New Roman"/>
          <w:sz w:val="28"/>
          <w:szCs w:val="28"/>
        </w:rPr>
        <w:t xml:space="preserve">-ой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855F09" w:rsidRPr="009E3488" w:rsidDel="000A27CD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855F09" w:rsidRPr="009E3488" w:rsidDel="000A27C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дополнительных общеобразовательных общеразвивающих программ;</w:t>
      </w:r>
    </w:p>
    <w:p w:rsidR="00855F09" w:rsidRPr="009E3488" w:rsidRDefault="004016A2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</m:t>
            </m:r>
          </m:sub>
        </m:sSub>
      </m:oMath>
      <w:r w:rsidR="00855F09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855F09" w:rsidRPr="009E3488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r w:rsidR="00855F09" w:rsidRPr="009E348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55F09" w:rsidRPr="009E3488">
        <w:rPr>
          <w:rFonts w:ascii="Times New Roman" w:hAnsi="Times New Roman" w:cs="Times New Roman"/>
          <w:sz w:val="28"/>
          <w:szCs w:val="28"/>
        </w:rPr>
        <w:t xml:space="preserve">-той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855F09" w:rsidRPr="009E3488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855F09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дополнительных общеобразовательных общеразвивающих программ;</w:t>
      </w:r>
    </w:p>
    <w:p w:rsidR="00855F09" w:rsidRDefault="004016A2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отр</m:t>
            </m:r>
          </m:sub>
        </m:sSub>
      </m:oMath>
      <w:r w:rsidR="00855F09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</w:t>
      </w:r>
      <w:r w:rsidR="009E57C6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</w:p>
    <w:p w:rsidR="00A45F30" w:rsidRDefault="004016A2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тер  </m:t>
            </m:r>
          </m:sub>
        </m:sSub>
      </m:oMath>
      <w:r w:rsidR="0095252B" w:rsidRPr="005A1804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–территориальный корректирующий коэффициент</w:t>
      </w:r>
      <w:r w:rsidR="00A45F30" w:rsidRPr="005A1804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рассчитывается по следующей формуле:</w:t>
      </w:r>
    </w:p>
    <w:p w:rsidR="005A1804" w:rsidRPr="005A1804" w:rsidRDefault="004016A2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тер  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iбаз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OT 1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 xml:space="preserve"> iбаз</m:t>
                  </m:r>
                </m:sub>
              </m:sSub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тер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OT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  <w:lang w:val="en-US"/>
                        </w:rPr>
                        <m:t>OT 1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 xml:space="preserve"> iбаз</m:t>
                      </m:r>
                    </m:sub>
                  </m:sSub>
                </m:den>
              </m:f>
            </m:e>
          </m:d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тер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СИ</m:t>
              </m:r>
            </m:sup>
          </m:sSubSup>
        </m:oMath>
      </m:oMathPara>
    </w:p>
    <w:p w:rsidR="00A45F30" w:rsidRDefault="00A45F30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p w:rsidR="0095252B" w:rsidRDefault="004016A2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OT</m:t>
            </m:r>
          </m:sup>
        </m:sSubSup>
      </m:oMath>
      <w:r w:rsidR="00156D7F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- </w:t>
      </w:r>
      <w:r w:rsidR="00A45F30" w:rsidRPr="00156D7F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территориальный корректирующий коэффициент</w:t>
      </w:r>
      <w:r w:rsidR="009525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на оплату труда с начислени</w:t>
      </w:r>
      <w:r w:rsidR="002B1D8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ям</w:t>
      </w:r>
      <w:r w:rsidR="009525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и на выплаты</w:t>
      </w:r>
      <w:r w:rsidR="002B1D8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по оплате труда.</w:t>
      </w:r>
    </w:p>
    <w:p w:rsidR="002B1D80" w:rsidRDefault="002B1D80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lastRenderedPageBreak/>
        <w:t>Рассчитывается как соотношение между:</w:t>
      </w:r>
    </w:p>
    <w:p w:rsidR="002B1D80" w:rsidRDefault="002B1D80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-среднемесячной начисленной заработной платой в целом по </w:t>
      </w:r>
      <w:proofErr w:type="spellStart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Касимовскому</w:t>
      </w:r>
      <w:proofErr w:type="spell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муниципальному району,</w:t>
      </w:r>
    </w:p>
    <w:p w:rsidR="002B1D80" w:rsidRDefault="002B1D80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- и среднемесячной начисленной заработной платой в целом, данные по которой использовались для определения базового норматива затрат на оказание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  <w:lang w:val="en-CA"/>
        </w:rPr>
        <w:t>i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-ой муниципальной услуги.</w:t>
      </w:r>
    </w:p>
    <w:p w:rsidR="002B1D80" w:rsidRDefault="004016A2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2B1D80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– территориальный корректирующий коэффициент на коммунальные услуги и на содержание недвижимого имущества</w:t>
      </w:r>
    </w:p>
    <w:p w:rsidR="002B1D80" w:rsidRDefault="002B1D80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Рассчитывается как соотношение между:</w:t>
      </w:r>
    </w:p>
    <w:p w:rsidR="002B1D80" w:rsidRDefault="002B1D80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-  суммой затрат на коммунальные услуги и на содержание объектов недвижимого имущества, необходимого для выполнения муниципального задания, определяемыми в соответствии с натуральными нормами, ценами и тарифами на данные услуги, в </w:t>
      </w:r>
      <w:proofErr w:type="spellStart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Касимовском</w:t>
      </w:r>
      <w:proofErr w:type="spell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муниципальном районе</w:t>
      </w:r>
      <w:r w:rsidR="00BA76F4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;</w:t>
      </w:r>
    </w:p>
    <w:p w:rsidR="00BA76F4" w:rsidRPr="002B1D80" w:rsidRDefault="00BA76F4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- суммой затрат на коммунальные услуги и на содержание объектов недвижимого имущества, необходимого для выполнения муниципального задания,  в субъекте  Российской Федерации, данные по которому  использовались для определения базового норматива затрат на оказание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  <w:lang w:val="en-CA"/>
        </w:rPr>
        <w:t>i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-ой государственной услуги.</w:t>
      </w:r>
    </w:p>
    <w:p w:rsidR="009E57C6" w:rsidRPr="009E3488" w:rsidRDefault="009E57C6" w:rsidP="00846AE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 на оказание i-той </w:t>
      </w:r>
      <w:r w:rsidR="00A87442" w:rsidRPr="009E34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услуги по реализации дополнительных общеобразовательных общеразвивающих программ рассчитываются по следующей формуле: </w:t>
      </w:r>
    </w:p>
    <w:p w:rsidR="00CC0D6A" w:rsidRPr="009E3488" w:rsidRDefault="004016A2" w:rsidP="00846AE5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5F4490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CC0D6A" w:rsidRPr="009E3488">
        <w:rPr>
          <w:rFonts w:ascii="Times New Roman" w:hAnsi="Times New Roman" w:cs="Times New Roman"/>
          <w:sz w:val="28"/>
          <w:szCs w:val="28"/>
        </w:rPr>
        <w:t>где</w:t>
      </w:r>
    </w:p>
    <w:p w:rsidR="00AB3308" w:rsidRPr="009E3488" w:rsidRDefault="004016A2" w:rsidP="00846AE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</m:oMath>
      <w:r w:rsidR="00AB3308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r w:rsidR="00AB3308" w:rsidRPr="009E348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-той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B3308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программ;</w:t>
      </w:r>
    </w:p>
    <w:p w:rsidR="00AB3308" w:rsidRPr="009E3488" w:rsidRDefault="004016A2" w:rsidP="00846AE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</m:oMath>
      <w:r w:rsidR="00AB3308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–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B3308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программ;</w:t>
      </w:r>
    </w:p>
    <w:p w:rsidR="00AB3308" w:rsidRPr="009E3488" w:rsidRDefault="004016A2" w:rsidP="00846AE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0A27CD" w:rsidRPr="009E3488">
        <w:rPr>
          <w:rFonts w:ascii="Times New Roman" w:hAnsi="Times New Roman" w:cs="Times New Roman"/>
          <w:sz w:val="28"/>
          <w:szCs w:val="28"/>
        </w:rPr>
        <w:t>–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общехозяйственные нужды на оказание i-ой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AB3308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дополнительных общеобразовательных общеразвивающих программ. </w:t>
      </w:r>
    </w:p>
    <w:p w:rsidR="00AB3308" w:rsidRPr="009E3488" w:rsidRDefault="00AB3308" w:rsidP="00846AE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A87442" w:rsidRPr="009E3488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услуги по реализации </w:t>
      </w:r>
      <w:r w:rsidR="00C417AE" w:rsidRPr="009E3488">
        <w:rPr>
          <w:rFonts w:ascii="Times New Roman" w:hAnsi="Times New Roman" w:cs="Times New Roman"/>
          <w:spacing w:val="-1"/>
          <w:sz w:val="28"/>
          <w:szCs w:val="28"/>
        </w:rPr>
        <w:t>дополнительных общеобразовательных общеразвивающих программ,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рассчитывается по следующей формуле:</w:t>
      </w:r>
    </w:p>
    <w:p w:rsidR="00460837" w:rsidRPr="002B1D63" w:rsidRDefault="004016A2" w:rsidP="00846AE5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m:rPr>
            <m:sty m:val="bi"/>
          </m:rP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b/>
                <w:i/>
                <w:spacing w:val="-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m:rPr>
            <m:sty m:val="bi"/>
          </m:rPr>
          <w:rPr>
            <w:rFonts w:ascii="Cambria Math" w:hAnsi="Cambria Math" w:cs="Times New Roman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b/>
                <w:i/>
                <w:spacing w:val="-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  <m:r>
          <m:rPr>
            <m:sty m:val="bi"/>
          </m:rP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pacing w:val="-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  <m:r>
          <m:rPr>
            <m:sty m:val="bi"/>
          </m:rP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pacing w:val="-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УЧ</m:t>
            </m:r>
          </m:sup>
        </m:sSubSup>
        <m:r>
          <m:rPr>
            <m:sty m:val="bi"/>
          </m:rPr>
          <w:rPr>
            <w:rFonts w:ascii="Cambria Math" w:hAnsi="Cambria Math" w:cs="Times New Roman"/>
            <w:spacing w:val="-1"/>
            <w:sz w:val="28"/>
            <w:szCs w:val="28"/>
          </w:rPr>
          <m:t>)</m:t>
        </m:r>
      </m:oMath>
      <w:r w:rsidR="004A15A0" w:rsidRPr="002B1D63">
        <w:rPr>
          <w:rFonts w:ascii="Times New Roman" w:hAnsi="Times New Roman" w:cs="Times New Roman"/>
          <w:b/>
          <w:spacing w:val="-1"/>
          <w:sz w:val="28"/>
          <w:szCs w:val="28"/>
        </w:rPr>
        <w:t>,</w:t>
      </w:r>
      <w:r w:rsidR="00460837" w:rsidRPr="002B1D63">
        <w:rPr>
          <w:rFonts w:ascii="Times New Roman" w:hAnsi="Times New Roman" w:cs="Times New Roman"/>
          <w:b/>
          <w:sz w:val="28"/>
          <w:szCs w:val="28"/>
        </w:rPr>
        <w:t>где</w:t>
      </w:r>
      <w:r w:rsidR="00BA76F4" w:rsidRPr="002B1D63">
        <w:rPr>
          <w:rFonts w:ascii="Times New Roman" w:hAnsi="Times New Roman" w:cs="Times New Roman"/>
          <w:b/>
          <w:sz w:val="28"/>
          <w:szCs w:val="28"/>
        </w:rPr>
        <w:t xml:space="preserve"> Ч сред/ </w:t>
      </w:r>
      <w:r w:rsidR="00BA76F4" w:rsidRPr="002B1D63">
        <w:rPr>
          <w:rFonts w:ascii="Times New Roman" w:hAnsi="Times New Roman" w:cs="Times New Roman"/>
          <w:b/>
          <w:sz w:val="28"/>
          <w:szCs w:val="28"/>
          <w:lang w:val="en-CA"/>
        </w:rPr>
        <w:t>V</w:t>
      </w:r>
      <w:r w:rsidR="00BA76F4" w:rsidRPr="002B1D63">
        <w:rPr>
          <w:rFonts w:ascii="Times New Roman" w:hAnsi="Times New Roman" w:cs="Times New Roman"/>
          <w:b/>
          <w:sz w:val="28"/>
          <w:szCs w:val="28"/>
        </w:rPr>
        <w:t xml:space="preserve"> час в год</w:t>
      </w:r>
    </w:p>
    <w:p w:rsidR="002B1D63" w:rsidRDefault="002B1D63" w:rsidP="00846AE5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1899" w:rsidRDefault="004016A2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</m:oMath>
      <w:r w:rsidR="00971DDD">
        <w:rPr>
          <w:rFonts w:ascii="Times New Roman" w:hAnsi="Times New Roman" w:cs="Times New Roman"/>
          <w:spacing w:val="-1"/>
          <w:sz w:val="28"/>
          <w:szCs w:val="28"/>
        </w:rPr>
        <w:t>- базовый норматив затрат, непосредс</w:t>
      </w:r>
      <w:r w:rsidR="00971899">
        <w:rPr>
          <w:rFonts w:ascii="Times New Roman" w:hAnsi="Times New Roman" w:cs="Times New Roman"/>
          <w:spacing w:val="-1"/>
          <w:sz w:val="28"/>
          <w:szCs w:val="28"/>
        </w:rPr>
        <w:t xml:space="preserve">твенно связанных с оказанием  </w:t>
      </w:r>
    </w:p>
    <w:p w:rsidR="00971DDD" w:rsidRDefault="00971DDD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proofErr w:type="spellStart"/>
      <w:proofErr w:type="gramStart"/>
      <w:r>
        <w:rPr>
          <w:rFonts w:ascii="Times New Roman" w:eastAsia="MS PGothic" w:hAnsi="Times New Roman" w:cs="Times New Roman"/>
          <w:bCs/>
          <w:kern w:val="24"/>
          <w:sz w:val="28"/>
          <w:szCs w:val="28"/>
          <w:lang w:val="en-CA"/>
        </w:rPr>
        <w:t>i</w:t>
      </w:r>
      <w:proofErr w:type="spell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-ой</w:t>
      </w:r>
      <w:proofErr w:type="gram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муниципальной услуги по реализации дополнительных общеобразовательных общеразвивающих программ;</w:t>
      </w:r>
    </w:p>
    <w:p w:rsidR="002B1D63" w:rsidRDefault="004016A2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</m:t>
            </m:r>
          </m:sup>
        </m:sSubSup>
      </m:oMath>
      <w:r w:rsidR="002B1D63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</w:t>
      </w:r>
      <w:proofErr w:type="spellStart"/>
      <w:r w:rsidR="002B1D63">
        <w:rPr>
          <w:rFonts w:ascii="Times New Roman" w:eastAsia="MS PGothic" w:hAnsi="Times New Roman" w:cs="Times New Roman"/>
          <w:bCs/>
          <w:kern w:val="24"/>
          <w:sz w:val="28"/>
          <w:szCs w:val="28"/>
          <w:lang w:val="en-CA"/>
        </w:rPr>
        <w:t>i</w:t>
      </w:r>
      <w:proofErr w:type="spellEnd"/>
      <w:r w:rsidR="002B1D63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-ой муниципальной услуги по реализации дополнительных общеобразовательных общеразвивающих программ,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заболеваний;</w:t>
      </w:r>
    </w:p>
    <w:p w:rsidR="002B1D63" w:rsidRDefault="004016A2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rPr>
          <w:rFonts w:ascii="Times New Roman" w:eastAsia="MS PGothic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</m:oMath>
      <w:r w:rsidR="002B1D63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</w:t>
      </w:r>
    </w:p>
    <w:p w:rsidR="002B1D63" w:rsidRDefault="002B1D63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proofErr w:type="spellStart"/>
      <w:proofErr w:type="gramStart"/>
      <w:r>
        <w:rPr>
          <w:rFonts w:ascii="Times New Roman" w:eastAsia="MS PGothic" w:hAnsi="Times New Roman" w:cs="Times New Roman"/>
          <w:bCs/>
          <w:kern w:val="24"/>
          <w:sz w:val="28"/>
          <w:szCs w:val="28"/>
          <w:lang w:val="en-CA"/>
        </w:rPr>
        <w:t>i</w:t>
      </w:r>
      <w:proofErr w:type="spell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-ой</w:t>
      </w:r>
      <w:proofErr w:type="gram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муниципальной услуги по реализации дополнительных общеобразовательных общеразвивающих программ;</w:t>
      </w:r>
    </w:p>
    <w:p w:rsidR="002B1D63" w:rsidRDefault="004016A2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rPr>
          <w:rFonts w:ascii="Times New Roman" w:eastAsia="MS PGothic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1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2B1D63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– иные затраты, непосредственно связанные с оказанием </w:t>
      </w:r>
    </w:p>
    <w:p w:rsidR="002B1D63" w:rsidRDefault="002B1D63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proofErr w:type="spellStart"/>
      <w:r>
        <w:rPr>
          <w:rFonts w:ascii="Times New Roman" w:eastAsia="MS PGothic" w:hAnsi="Times New Roman" w:cs="Times New Roman"/>
          <w:bCs/>
          <w:kern w:val="24"/>
          <w:sz w:val="28"/>
          <w:szCs w:val="28"/>
          <w:lang w:val="en-CA"/>
        </w:rPr>
        <w:t>i</w:t>
      </w:r>
      <w:proofErr w:type="spell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-ой муниципальной услуги по реализации дополнительных общеобразовательных общеразвивающих программ, включая 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муниципальной услуги, 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</w:t>
      </w:r>
      <w:r w:rsidR="003D152A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а исключением затрат на приобрет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ение транспортных услуг, затраты на прохождение педагогическими работниками </w:t>
      </w:r>
      <w:r w:rsidR="003D152A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медицинских осмотров;</w:t>
      </w:r>
    </w:p>
    <w:p w:rsidR="003D152A" w:rsidRPr="003D152A" w:rsidRDefault="003D152A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3D152A">
        <w:rPr>
          <w:rFonts w:ascii="Times New Roman" w:hAnsi="Times New Roman" w:cs="Times New Roman"/>
          <w:b/>
          <w:szCs w:val="28"/>
        </w:rPr>
        <w:t xml:space="preserve">Ч </w:t>
      </w:r>
      <w:r w:rsidRPr="003D152A">
        <w:rPr>
          <w:rFonts w:ascii="Times New Roman" w:hAnsi="Times New Roman" w:cs="Times New Roman"/>
          <w:szCs w:val="28"/>
        </w:rPr>
        <w:t>сред</w:t>
      </w:r>
      <w:r>
        <w:rPr>
          <w:rFonts w:ascii="Times New Roman" w:hAnsi="Times New Roman" w:cs="Times New Roman"/>
          <w:szCs w:val="28"/>
        </w:rPr>
        <w:t xml:space="preserve"> – </w:t>
      </w:r>
      <w:r w:rsidRPr="003D152A">
        <w:rPr>
          <w:rFonts w:ascii="Times New Roman" w:hAnsi="Times New Roman" w:cs="Times New Roman"/>
          <w:sz w:val="28"/>
          <w:szCs w:val="28"/>
        </w:rPr>
        <w:t>число у</w:t>
      </w:r>
      <w:r>
        <w:rPr>
          <w:rFonts w:ascii="Times New Roman" w:hAnsi="Times New Roman" w:cs="Times New Roman"/>
          <w:sz w:val="28"/>
          <w:szCs w:val="28"/>
        </w:rPr>
        <w:t>чащихся в расчете на одного педагогического работника на соответствующий год по «Дорожной карте», утвержденной распоряжением Правительства российской Федерации от 30.04.2014 №722-р;</w:t>
      </w:r>
    </w:p>
    <w:p w:rsidR="003D152A" w:rsidRDefault="003D152A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B1D63">
        <w:rPr>
          <w:rFonts w:ascii="Times New Roman" w:hAnsi="Times New Roman" w:cs="Times New Roman"/>
          <w:b/>
          <w:sz w:val="28"/>
          <w:szCs w:val="28"/>
          <w:lang w:val="en-CA"/>
        </w:rPr>
        <w:t>V</w:t>
      </w:r>
      <w:r w:rsidRPr="003D152A">
        <w:rPr>
          <w:rFonts w:ascii="Times New Roman" w:hAnsi="Times New Roman" w:cs="Times New Roman"/>
          <w:szCs w:val="28"/>
        </w:rPr>
        <w:t xml:space="preserve">час в год </w:t>
      </w:r>
      <w:r>
        <w:rPr>
          <w:rFonts w:ascii="Times New Roman" w:hAnsi="Times New Roman" w:cs="Times New Roman"/>
          <w:sz w:val="28"/>
          <w:szCs w:val="28"/>
        </w:rPr>
        <w:t xml:space="preserve">– норма времени </w:t>
      </w:r>
      <w:r w:rsidR="00971899">
        <w:rPr>
          <w:rFonts w:ascii="Times New Roman" w:hAnsi="Times New Roman" w:cs="Times New Roman"/>
          <w:sz w:val="28"/>
          <w:szCs w:val="28"/>
        </w:rPr>
        <w:t>в год, в соответствии с п. 7.1.3 Приказа Министерства образования и науки РФ от 22.12.2014 №1601.</w:t>
      </w:r>
    </w:p>
    <w:p w:rsidR="00971899" w:rsidRPr="00971899" w:rsidRDefault="00971899" w:rsidP="00846AE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0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71899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общехозяйственные нужды на оказание </w:t>
      </w:r>
      <w:proofErr w:type="spellStart"/>
      <w:r w:rsidRPr="00971899">
        <w:rPr>
          <w:rFonts w:ascii="Times New Roman" w:eastAsia="MS PGothic" w:hAnsi="Times New Roman" w:cs="Times New Roman"/>
          <w:bCs/>
          <w:kern w:val="24"/>
          <w:sz w:val="28"/>
          <w:szCs w:val="28"/>
          <w:lang w:val="en-CA"/>
        </w:rPr>
        <w:t>i</w:t>
      </w:r>
      <w:proofErr w:type="spellEnd"/>
      <w:r w:rsidRPr="0097189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-ой муниципальной услуги по реализации дополнительных общеобразовательных общеразвивающих программ рассчитывается по следующей формуле: </w:t>
      </w:r>
    </w:p>
    <w:p w:rsidR="00971899" w:rsidRDefault="004016A2" w:rsidP="00846AE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1135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СОЦДИ 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ОТ-АУП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ПНЗ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)/ </m:t>
        </m:r>
        <m:r>
          <m:rPr>
            <m:sty m:val="bi"/>
          </m:rPr>
          <w:rPr>
            <w:rFonts w:ascii="Cambria Math" w:hAnsi="Cambria Math" w:cs="Times New Roman"/>
            <w:spacing w:val="-1"/>
            <w:sz w:val="28"/>
            <w:szCs w:val="28"/>
          </w:rPr>
          <m:t xml:space="preserve">Ч 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расчуч/</m:t>
        </m:r>
      </m:oMath>
      <w:r w:rsidR="0026177F" w:rsidRPr="0026177F">
        <w:rPr>
          <w:rFonts w:ascii="Times New Roman" w:hAnsi="Times New Roman" w:cs="Times New Roman"/>
          <w:b/>
          <w:spacing w:val="-1"/>
          <w:sz w:val="28"/>
          <w:szCs w:val="28"/>
        </w:rPr>
        <w:t>Ф</w:t>
      </w:r>
      <w:proofErr w:type="spellStart"/>
      <w:r w:rsidR="0026177F">
        <w:rPr>
          <w:rFonts w:ascii="Times New Roman" w:hAnsi="Times New Roman" w:cs="Times New Roman"/>
          <w:spacing w:val="-1"/>
          <w:sz w:val="28"/>
          <w:szCs w:val="28"/>
        </w:rPr>
        <w:t>учвр</w:t>
      </w:r>
      <w:proofErr w:type="spellEnd"/>
      <w:r w:rsidR="0026177F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26177F" w:rsidRDefault="0026177F" w:rsidP="00846AE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6177F">
        <w:rPr>
          <w:rFonts w:ascii="Times New Roman" w:hAnsi="Times New Roman" w:cs="Times New Roman"/>
          <w:sz w:val="28"/>
          <w:szCs w:val="28"/>
        </w:rPr>
        <w:t>де</w:t>
      </w:r>
    </w:p>
    <w:p w:rsidR="0026177F" w:rsidRDefault="004016A2" w:rsidP="00846AE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197633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197633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197633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197633" w:rsidRPr="009E3488">
        <w:rPr>
          <w:rFonts w:ascii="Times New Roman" w:hAnsi="Times New Roman" w:cs="Times New Roman"/>
          <w:spacing w:val="-1"/>
          <w:sz w:val="28"/>
          <w:szCs w:val="28"/>
        </w:rPr>
        <w:t>оказание i-ой муниципальной услуги по реализации дополнительных общеобразоват</w:t>
      </w:r>
      <w:r w:rsidR="00197633">
        <w:rPr>
          <w:rFonts w:ascii="Times New Roman" w:hAnsi="Times New Roman" w:cs="Times New Roman"/>
          <w:spacing w:val="-1"/>
          <w:sz w:val="28"/>
          <w:szCs w:val="28"/>
        </w:rPr>
        <w:t>ельных общеразвивающих программ;</w:t>
      </w:r>
    </w:p>
    <w:p w:rsidR="00197633" w:rsidRDefault="004016A2" w:rsidP="00846AE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197633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197633">
        <w:rPr>
          <w:rFonts w:ascii="Times New Roman" w:hAnsi="Times New Roman" w:cs="Times New Roman"/>
          <w:sz w:val="28"/>
          <w:szCs w:val="28"/>
        </w:rPr>
        <w:t>з</w:t>
      </w:r>
      <w:r w:rsidR="00197633" w:rsidRPr="009E3488">
        <w:rPr>
          <w:rFonts w:ascii="Times New Roman" w:hAnsi="Times New Roman" w:cs="Times New Roman"/>
          <w:sz w:val="28"/>
          <w:szCs w:val="28"/>
        </w:rPr>
        <w:t xml:space="preserve">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</w:t>
      </w:r>
      <w:r w:rsidR="00197633" w:rsidRPr="009E3488">
        <w:rPr>
          <w:rFonts w:ascii="Times New Roman" w:hAnsi="Times New Roman" w:cs="Times New Roman"/>
          <w:sz w:val="28"/>
          <w:szCs w:val="28"/>
        </w:rPr>
        <w:lastRenderedPageBreak/>
        <w:t>суточного потребления</w:t>
      </w:r>
      <w:r w:rsidR="00197633">
        <w:rPr>
          <w:rFonts w:ascii="Times New Roman" w:hAnsi="Times New Roman" w:cs="Times New Roman"/>
          <w:sz w:val="28"/>
          <w:szCs w:val="28"/>
        </w:rPr>
        <w:t xml:space="preserve"> с учетом расчетной площади помещений (кв.м.). согласно СП 118.13330.2012 (Постановление Правительства РФ от 26.12.2014 № 1521) и СанПиН 2.4.2.2821-10 (Постановление Главного государственного санитарного врача РФ от 239.12.2010 № 189);</w:t>
      </w:r>
    </w:p>
    <w:p w:rsidR="00197633" w:rsidRDefault="004016A2" w:rsidP="00846AE5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197633">
        <w:rPr>
          <w:rFonts w:ascii="Times New Roman" w:hAnsi="Times New Roman" w:cs="Times New Roman"/>
          <w:spacing w:val="-1"/>
          <w:sz w:val="28"/>
          <w:szCs w:val="28"/>
        </w:rPr>
        <w:t xml:space="preserve"> – затраты на содержание о</w:t>
      </w:r>
      <w:r w:rsidR="00AD6CB8">
        <w:rPr>
          <w:rFonts w:ascii="Times New Roman" w:hAnsi="Times New Roman" w:cs="Times New Roman"/>
          <w:spacing w:val="-1"/>
          <w:sz w:val="28"/>
          <w:szCs w:val="28"/>
        </w:rPr>
        <w:t>бъектов недвижимого имущества (</w:t>
      </w:r>
      <w:r w:rsidR="00197633">
        <w:rPr>
          <w:rFonts w:ascii="Times New Roman" w:hAnsi="Times New Roman" w:cs="Times New Roman"/>
          <w:spacing w:val="-1"/>
          <w:sz w:val="28"/>
          <w:szCs w:val="28"/>
        </w:rPr>
        <w:t xml:space="preserve">в том числе затраты на арендные платежи), рассчитываются на основе учета, нормативной площади прилегающей территории (кв.м.) СП 118.13330.2012, нормы обслуживание </w:t>
      </w:r>
      <w:r w:rsidR="004B63FB">
        <w:rPr>
          <w:rFonts w:ascii="Times New Roman" w:hAnsi="Times New Roman" w:cs="Times New Roman"/>
          <w:spacing w:val="-1"/>
          <w:sz w:val="28"/>
          <w:szCs w:val="28"/>
        </w:rPr>
        <w:t xml:space="preserve">территории дворником при механизированной уборке (кв.м.), </w:t>
      </w:r>
      <w:proofErr w:type="spellStart"/>
      <w:r w:rsidR="004B63FB">
        <w:rPr>
          <w:rFonts w:ascii="Times New Roman" w:hAnsi="Times New Roman" w:cs="Times New Roman"/>
          <w:spacing w:val="-1"/>
          <w:sz w:val="28"/>
          <w:szCs w:val="28"/>
        </w:rPr>
        <w:t>СанПин</w:t>
      </w:r>
      <w:proofErr w:type="spellEnd"/>
      <w:r w:rsidR="004B63FB">
        <w:rPr>
          <w:rFonts w:ascii="Times New Roman" w:hAnsi="Times New Roman" w:cs="Times New Roman"/>
          <w:spacing w:val="-1"/>
          <w:sz w:val="28"/>
          <w:szCs w:val="28"/>
        </w:rPr>
        <w:t xml:space="preserve"> 50% 3,7 га (от земельного участка), нормы убираемой площади (кв.м), Постановление Секретариата ВЦСПС от 21.04.1978 № 13-14, пункт 9 б, стоимости обслуживания и уборки помещений, рублей за кв.м.и в месяц (данные по муниципалитету), стоимости вывоза мусора, в месяц, с человека, руб., (данные по муниципалитету);</w:t>
      </w:r>
    </w:p>
    <w:p w:rsidR="004B63FB" w:rsidRDefault="004016A2" w:rsidP="00846AE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СОЦДИ </m:t>
            </m:r>
          </m:sup>
        </m:sSubSup>
      </m:oMath>
      <w:r w:rsidR="00872384">
        <w:rPr>
          <w:rFonts w:ascii="Times New Roman" w:hAnsi="Times New Roman" w:cs="Times New Roman"/>
          <w:spacing w:val="-1"/>
          <w:sz w:val="28"/>
          <w:szCs w:val="28"/>
        </w:rPr>
        <w:t xml:space="preserve"> - затраты на содержание объектов особого ценного движимого имущества, рассчитываются на основе стоимости работ по техническому обслуживанию и </w:t>
      </w:r>
      <w:proofErr w:type="spellStart"/>
      <w:r w:rsidR="00872384">
        <w:rPr>
          <w:rFonts w:ascii="Times New Roman" w:hAnsi="Times New Roman" w:cs="Times New Roman"/>
          <w:spacing w:val="-1"/>
          <w:sz w:val="28"/>
          <w:szCs w:val="28"/>
        </w:rPr>
        <w:t>регламентно</w:t>
      </w:r>
      <w:proofErr w:type="spellEnd"/>
      <w:r w:rsidR="00872384">
        <w:rPr>
          <w:rFonts w:ascii="Times New Roman" w:hAnsi="Times New Roman" w:cs="Times New Roman"/>
          <w:spacing w:val="-1"/>
          <w:sz w:val="28"/>
          <w:szCs w:val="28"/>
        </w:rPr>
        <w:t xml:space="preserve"> – 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872384">
        <w:rPr>
          <w:rFonts w:ascii="Times New Roman" w:hAnsi="Times New Roman" w:cs="Times New Roman"/>
          <w:spacing w:val="-1"/>
          <w:sz w:val="28"/>
          <w:szCs w:val="28"/>
        </w:rPr>
        <w:t>регламентно</w:t>
      </w:r>
      <w:proofErr w:type="spellEnd"/>
      <w:r w:rsidR="00872384">
        <w:rPr>
          <w:rFonts w:ascii="Times New Roman" w:hAnsi="Times New Roman" w:cs="Times New Roman"/>
          <w:spacing w:val="-1"/>
          <w:sz w:val="28"/>
          <w:szCs w:val="28"/>
        </w:rPr>
        <w:t xml:space="preserve"> – 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872384">
        <w:rPr>
          <w:rFonts w:ascii="Times New Roman" w:hAnsi="Times New Roman" w:cs="Times New Roman"/>
          <w:spacing w:val="-1"/>
          <w:sz w:val="28"/>
          <w:szCs w:val="28"/>
        </w:rPr>
        <w:t>регламентно</w:t>
      </w:r>
      <w:proofErr w:type="spellEnd"/>
      <w:r w:rsidR="00872384">
        <w:rPr>
          <w:rFonts w:ascii="Times New Roman" w:hAnsi="Times New Roman" w:cs="Times New Roman"/>
          <w:spacing w:val="-1"/>
          <w:sz w:val="28"/>
          <w:szCs w:val="28"/>
        </w:rPr>
        <w:t xml:space="preserve"> – профилактическому ремонту систем видеонаблюдения, техническому обслуживанию и </w:t>
      </w:r>
      <w:proofErr w:type="spellStart"/>
      <w:r w:rsidR="00872384">
        <w:rPr>
          <w:rFonts w:ascii="Times New Roman" w:hAnsi="Times New Roman" w:cs="Times New Roman"/>
          <w:spacing w:val="-1"/>
          <w:sz w:val="28"/>
          <w:szCs w:val="28"/>
        </w:rPr>
        <w:t>регламентно-профилактическому</w:t>
      </w:r>
      <w:proofErr w:type="spellEnd"/>
      <w:r w:rsidR="00872384">
        <w:rPr>
          <w:rFonts w:ascii="Times New Roman" w:hAnsi="Times New Roman" w:cs="Times New Roman"/>
          <w:spacing w:val="-1"/>
          <w:sz w:val="28"/>
          <w:szCs w:val="28"/>
        </w:rPr>
        <w:t xml:space="preserve"> ремонту систем канализации, наружного водопровода, приборов учета ( воды, т/энергии, э/энергии) (используя данные по муниципалитету),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197633" w:rsidRDefault="004016A2" w:rsidP="00846AE5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893F1F">
        <w:rPr>
          <w:rFonts w:ascii="Times New Roman" w:hAnsi="Times New Roman" w:cs="Times New Roman"/>
          <w:spacing w:val="-1"/>
          <w:sz w:val="28"/>
          <w:szCs w:val="28"/>
        </w:rPr>
        <w:t xml:space="preserve"> –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квалификаций и обратно;</w:t>
      </w:r>
    </w:p>
    <w:p w:rsidR="00893F1F" w:rsidRDefault="004016A2" w:rsidP="00846AE5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ОТ-АУП</m:t>
            </m:r>
          </m:sup>
        </m:sSubSup>
      </m:oMath>
      <w:r w:rsidR="00893F1F">
        <w:rPr>
          <w:rFonts w:ascii="Times New Roman" w:hAnsi="Times New Roman" w:cs="Times New Roman"/>
          <w:spacing w:val="-1"/>
          <w:sz w:val="28"/>
          <w:szCs w:val="28"/>
        </w:rPr>
        <w:t xml:space="preserve"> – 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заболеваний;</w:t>
      </w:r>
    </w:p>
    <w:p w:rsidR="00893F1F" w:rsidRDefault="00893F1F" w:rsidP="00846AE5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 расчете нормативных затрат на оплату труда административно управленческого и вспомогательного персонала (АУП) используется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=0,67-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коэффициент корректировки заработной платы АУП по отношению к заработной плате педагогического персонала</w:t>
      </w:r>
      <w:r w:rsidR="00440CE1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п. 10(2) постановления Правительства Российской Федерации от 05.08.2008 № 583 «О внедрении новых систем оплаты труда работников федеральных бюджетных, автономных и казенных учреждений»; а также Д=0,39 – доля работников АУП в общей численности работников, установленная в «Дорожной карте», утвержденной распоряжением Правительства Российской Федерации от 30 апреля 2014 года №722-р;</w:t>
      </w:r>
    </w:p>
    <w:p w:rsidR="00440CE1" w:rsidRDefault="004016A2" w:rsidP="00846AE5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ПНЗ</m:t>
            </m:r>
          </m:sup>
        </m:sSubSup>
      </m:oMath>
      <w:r w:rsidR="00440CE1">
        <w:rPr>
          <w:rFonts w:ascii="Times New Roman" w:hAnsi="Times New Roman" w:cs="Times New Roman"/>
          <w:spacing w:val="-1"/>
          <w:sz w:val="28"/>
          <w:szCs w:val="28"/>
        </w:rPr>
        <w:t xml:space="preserve"> – затраты на прочие общехозяйственные нужды, включая затраты на повышение квалификации работников, не принимающих непосредственное участие в оказании услуги, приобретение материальных запасов общехозяйственного назначения на основе стоимости набора канцелярских принадлежностей для ППС и АУП, согласно Распоряжению Минсоцзащиты МО от 15.12.2009 № 41-Р «Об утверждении норм потребления</w:t>
      </w:r>
      <w:r w:rsidR="006C5A51">
        <w:rPr>
          <w:rFonts w:ascii="Times New Roman" w:hAnsi="Times New Roman" w:cs="Times New Roman"/>
          <w:spacing w:val="-1"/>
          <w:sz w:val="28"/>
          <w:szCs w:val="28"/>
        </w:rPr>
        <w:t xml:space="preserve"> товаров и услуг, необходимых дл</w:t>
      </w:r>
      <w:r w:rsidR="00440CE1">
        <w:rPr>
          <w:rFonts w:ascii="Times New Roman" w:hAnsi="Times New Roman" w:cs="Times New Roman"/>
          <w:spacing w:val="-1"/>
          <w:sz w:val="28"/>
          <w:szCs w:val="28"/>
        </w:rPr>
        <w:t xml:space="preserve">я оказания муниципальных услуг </w:t>
      </w:r>
      <w:r w:rsidR="006C5A51">
        <w:rPr>
          <w:rFonts w:ascii="Times New Roman" w:hAnsi="Times New Roman" w:cs="Times New Roman"/>
          <w:spacing w:val="-1"/>
          <w:sz w:val="28"/>
          <w:szCs w:val="28"/>
        </w:rPr>
        <w:t>(выполнения работ) муниципальными бюджетными и автономными учреждениями социального обслуживания», а также, стоимости перечня медицинского оборудования согласно Приказу Минздрава России от 05.11.2013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</w:p>
    <w:p w:rsidR="006C5A51" w:rsidRDefault="006C5A51" w:rsidP="00846AE5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6C5A51">
        <w:rPr>
          <w:rFonts w:ascii="Times New Roman" w:hAnsi="Times New Roman" w:cs="Times New Roman"/>
          <w:b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расчун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– расчетное число учащихся в год;</w:t>
      </w:r>
    </w:p>
    <w:p w:rsidR="00197633" w:rsidRPr="00156D7F" w:rsidRDefault="006C5A51" w:rsidP="00846AE5">
      <w:pPr>
        <w:spacing w:line="276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6C5A51">
        <w:rPr>
          <w:rFonts w:ascii="Times New Roman" w:hAnsi="Times New Roman" w:cs="Times New Roman"/>
          <w:b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учвр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– общий фонд учебного времени в год.</w:t>
      </w:r>
    </w:p>
    <w:p w:rsidR="00971899" w:rsidRPr="006C5A51" w:rsidRDefault="006C5A51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5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Коэффициенты к стоимостным группам</w:t>
      </w:r>
    </w:p>
    <w:p w:rsidR="00971DDD" w:rsidRPr="006C5A51" w:rsidRDefault="006C5A51" w:rsidP="00846AE5">
      <w:pPr>
        <w:pStyle w:val="a9"/>
        <w:widowControl/>
        <w:numPr>
          <w:ilvl w:val="0"/>
          <w:numId w:val="16"/>
        </w:numPr>
        <w:shd w:val="clear" w:color="auto" w:fill="FFFFFF"/>
        <w:tabs>
          <w:tab w:val="left" w:pos="883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базовым нормативам затрат на оказание </w:t>
      </w:r>
      <w:proofErr w:type="spellStart"/>
      <w:r w:rsidRPr="006C5A51">
        <w:rPr>
          <w:rFonts w:ascii="Times New Roman" w:eastAsia="MS PGothic" w:hAnsi="Times New Roman" w:cs="Times New Roman"/>
          <w:bCs/>
          <w:kern w:val="24"/>
          <w:sz w:val="28"/>
          <w:szCs w:val="28"/>
          <w:lang w:val="en-CA"/>
        </w:rPr>
        <w:t>i</w:t>
      </w:r>
      <w:proofErr w:type="spellEnd"/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-ой муниципальной услуги по реализации дополнительных общеобразовательных общеразвивающих программ применяются коэффициенты по стоимостным группам следующих направленностей:</w:t>
      </w:r>
    </w:p>
    <w:p w:rsidR="006C5A51" w:rsidRDefault="006C5A51" w:rsidP="00846AE5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883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Туристско-краеведческая</w:t>
      </w:r>
    </w:p>
    <w:p w:rsidR="006C5A51" w:rsidRDefault="006C5A51" w:rsidP="00846AE5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883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</w:t>
      </w:r>
    </w:p>
    <w:p w:rsidR="006C5A51" w:rsidRDefault="006C5A51" w:rsidP="00846AE5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883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Естественно-научная</w:t>
      </w:r>
    </w:p>
    <w:p w:rsidR="006C5A51" w:rsidRDefault="006C5A51" w:rsidP="00846AE5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883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6C5A51" w:rsidRDefault="006C5A51" w:rsidP="00846AE5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883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Техническая</w:t>
      </w:r>
    </w:p>
    <w:p w:rsidR="006C5A51" w:rsidRPr="006C5A51" w:rsidRDefault="006C5A51" w:rsidP="00846AE5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883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971DDD" w:rsidRDefault="006C5A51" w:rsidP="00846AE5">
      <w:pPr>
        <w:widowControl/>
        <w:shd w:val="clear" w:color="auto" w:fill="FFFFFF"/>
        <w:tabs>
          <w:tab w:val="left" w:pos="883"/>
        </w:tabs>
        <w:spacing w:line="276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коэффициентов стоимостных групп</w:t>
      </w:r>
      <w:r w:rsidR="005A1804">
        <w:rPr>
          <w:rFonts w:ascii="Times New Roman" w:hAnsi="Times New Roman" w:cs="Times New Roman"/>
          <w:sz w:val="28"/>
          <w:szCs w:val="28"/>
        </w:rPr>
        <w:t xml:space="preserve"> используется соотношение материально-технического оснащения и фонда оплаты труда (ФОТ), установленное на основании письма Министерства образования и науки РФ от 19.10.2006 № 06-1616 «О методических рекомендациях».</w:t>
      </w:r>
    </w:p>
    <w:sectPr w:rsidR="00971DDD" w:rsidSect="00A670C9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1F5"/>
    <w:multiLevelType w:val="hybridMultilevel"/>
    <w:tmpl w:val="4690747A"/>
    <w:lvl w:ilvl="0" w:tplc="C5FE2F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AA950BF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5DA304F5"/>
    <w:multiLevelType w:val="hybridMultilevel"/>
    <w:tmpl w:val="A6B035B4"/>
    <w:lvl w:ilvl="0" w:tplc="3606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C2CD9"/>
    <w:multiLevelType w:val="hybridMultilevel"/>
    <w:tmpl w:val="917E1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5"/>
  </w:num>
  <w:num w:numId="7">
    <w:abstractNumId w:val="16"/>
  </w:num>
  <w:num w:numId="8">
    <w:abstractNumId w:val="14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A4A"/>
    <w:rsid w:val="00007183"/>
    <w:rsid w:val="00033F56"/>
    <w:rsid w:val="00045F5D"/>
    <w:rsid w:val="000A27CD"/>
    <w:rsid w:val="000A6763"/>
    <w:rsid w:val="000B1CF9"/>
    <w:rsid w:val="000D3914"/>
    <w:rsid w:val="000D4FDC"/>
    <w:rsid w:val="00125FF3"/>
    <w:rsid w:val="00134C5B"/>
    <w:rsid w:val="00156D7F"/>
    <w:rsid w:val="00173378"/>
    <w:rsid w:val="00186B27"/>
    <w:rsid w:val="00197633"/>
    <w:rsid w:val="001B6F32"/>
    <w:rsid w:val="001D1BB5"/>
    <w:rsid w:val="00206F28"/>
    <w:rsid w:val="00240D20"/>
    <w:rsid w:val="00243360"/>
    <w:rsid w:val="00250095"/>
    <w:rsid w:val="0026177F"/>
    <w:rsid w:val="00265D16"/>
    <w:rsid w:val="00281EF6"/>
    <w:rsid w:val="002B1472"/>
    <w:rsid w:val="002B1D63"/>
    <w:rsid w:val="002B1D80"/>
    <w:rsid w:val="002D5A4A"/>
    <w:rsid w:val="002F69A4"/>
    <w:rsid w:val="00303600"/>
    <w:rsid w:val="0031255C"/>
    <w:rsid w:val="003152F7"/>
    <w:rsid w:val="00333AAF"/>
    <w:rsid w:val="00347642"/>
    <w:rsid w:val="003603D4"/>
    <w:rsid w:val="00361510"/>
    <w:rsid w:val="00376155"/>
    <w:rsid w:val="00380321"/>
    <w:rsid w:val="0039490E"/>
    <w:rsid w:val="003A24C6"/>
    <w:rsid w:val="003D152A"/>
    <w:rsid w:val="003F14D8"/>
    <w:rsid w:val="003F4D10"/>
    <w:rsid w:val="004016A2"/>
    <w:rsid w:val="004356C5"/>
    <w:rsid w:val="00440CE1"/>
    <w:rsid w:val="004410BB"/>
    <w:rsid w:val="0044403A"/>
    <w:rsid w:val="004565C2"/>
    <w:rsid w:val="00460837"/>
    <w:rsid w:val="004830BF"/>
    <w:rsid w:val="004A15A0"/>
    <w:rsid w:val="004B63FB"/>
    <w:rsid w:val="004C3AEC"/>
    <w:rsid w:val="004D0153"/>
    <w:rsid w:val="004E7D4B"/>
    <w:rsid w:val="005248B8"/>
    <w:rsid w:val="005417E3"/>
    <w:rsid w:val="00550830"/>
    <w:rsid w:val="0058240E"/>
    <w:rsid w:val="00586AE5"/>
    <w:rsid w:val="005A1804"/>
    <w:rsid w:val="005A2392"/>
    <w:rsid w:val="005B5664"/>
    <w:rsid w:val="005D57C2"/>
    <w:rsid w:val="005F4490"/>
    <w:rsid w:val="00605D3F"/>
    <w:rsid w:val="006128E4"/>
    <w:rsid w:val="00637450"/>
    <w:rsid w:val="0064213B"/>
    <w:rsid w:val="00644E88"/>
    <w:rsid w:val="00657416"/>
    <w:rsid w:val="006A7EA8"/>
    <w:rsid w:val="006C5A51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69A7"/>
    <w:rsid w:val="007C77CE"/>
    <w:rsid w:val="007D457B"/>
    <w:rsid w:val="007F581F"/>
    <w:rsid w:val="00811604"/>
    <w:rsid w:val="008214F9"/>
    <w:rsid w:val="00824676"/>
    <w:rsid w:val="00842657"/>
    <w:rsid w:val="00842E43"/>
    <w:rsid w:val="00846AE5"/>
    <w:rsid w:val="00855F09"/>
    <w:rsid w:val="00857D2A"/>
    <w:rsid w:val="008717B7"/>
    <w:rsid w:val="00872384"/>
    <w:rsid w:val="008728D5"/>
    <w:rsid w:val="00874689"/>
    <w:rsid w:val="00876702"/>
    <w:rsid w:val="008814B8"/>
    <w:rsid w:val="00884F99"/>
    <w:rsid w:val="00893F1F"/>
    <w:rsid w:val="008D73DB"/>
    <w:rsid w:val="00921144"/>
    <w:rsid w:val="00926A4E"/>
    <w:rsid w:val="009517EA"/>
    <w:rsid w:val="0095252B"/>
    <w:rsid w:val="00963121"/>
    <w:rsid w:val="00971899"/>
    <w:rsid w:val="00971DDD"/>
    <w:rsid w:val="009A0B51"/>
    <w:rsid w:val="009A7897"/>
    <w:rsid w:val="009E1F8F"/>
    <w:rsid w:val="009E3488"/>
    <w:rsid w:val="009E489B"/>
    <w:rsid w:val="009E57C6"/>
    <w:rsid w:val="00A45F30"/>
    <w:rsid w:val="00A670C9"/>
    <w:rsid w:val="00A81807"/>
    <w:rsid w:val="00A84047"/>
    <w:rsid w:val="00A84576"/>
    <w:rsid w:val="00A87442"/>
    <w:rsid w:val="00A90A86"/>
    <w:rsid w:val="00A96F17"/>
    <w:rsid w:val="00A97F0D"/>
    <w:rsid w:val="00AA05DF"/>
    <w:rsid w:val="00AB3308"/>
    <w:rsid w:val="00AC7EDC"/>
    <w:rsid w:val="00AD6CB8"/>
    <w:rsid w:val="00B0285A"/>
    <w:rsid w:val="00B041A6"/>
    <w:rsid w:val="00B35F81"/>
    <w:rsid w:val="00B42534"/>
    <w:rsid w:val="00B45A6E"/>
    <w:rsid w:val="00B762ED"/>
    <w:rsid w:val="00B826DC"/>
    <w:rsid w:val="00BA76F4"/>
    <w:rsid w:val="00BB699B"/>
    <w:rsid w:val="00BD5A1D"/>
    <w:rsid w:val="00BD6451"/>
    <w:rsid w:val="00BF48BC"/>
    <w:rsid w:val="00BF6654"/>
    <w:rsid w:val="00C417AE"/>
    <w:rsid w:val="00C4253B"/>
    <w:rsid w:val="00C579D8"/>
    <w:rsid w:val="00C61B44"/>
    <w:rsid w:val="00C8174C"/>
    <w:rsid w:val="00CA3A66"/>
    <w:rsid w:val="00CC0D6A"/>
    <w:rsid w:val="00CD49E7"/>
    <w:rsid w:val="00D14E33"/>
    <w:rsid w:val="00D50EE7"/>
    <w:rsid w:val="00D52B30"/>
    <w:rsid w:val="00D56DD0"/>
    <w:rsid w:val="00D671F1"/>
    <w:rsid w:val="00DC7120"/>
    <w:rsid w:val="00DF0883"/>
    <w:rsid w:val="00DF623D"/>
    <w:rsid w:val="00E271D0"/>
    <w:rsid w:val="00E322D9"/>
    <w:rsid w:val="00E41BA4"/>
    <w:rsid w:val="00E427BD"/>
    <w:rsid w:val="00E53121"/>
    <w:rsid w:val="00E70F6D"/>
    <w:rsid w:val="00E75655"/>
    <w:rsid w:val="00E97F03"/>
    <w:rsid w:val="00EE1DD0"/>
    <w:rsid w:val="00EF52BD"/>
    <w:rsid w:val="00F47673"/>
    <w:rsid w:val="00F52CDA"/>
    <w:rsid w:val="00F663AF"/>
    <w:rsid w:val="00F97288"/>
    <w:rsid w:val="00FB5970"/>
    <w:rsid w:val="00FC1CAC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A670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Пользователь2</cp:lastModifiedBy>
  <cp:revision>9</cp:revision>
  <cp:lastPrinted>2019-03-25T13:15:00Z</cp:lastPrinted>
  <dcterms:created xsi:type="dcterms:W3CDTF">2019-03-21T12:19:00Z</dcterms:created>
  <dcterms:modified xsi:type="dcterms:W3CDTF">2019-04-16T09:39:00Z</dcterms:modified>
</cp:coreProperties>
</file>