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22" w:rsidRPr="00285A5D" w:rsidRDefault="00893422" w:rsidP="00893422">
      <w:pPr>
        <w:shd w:val="clear" w:color="auto" w:fill="FFFFFF"/>
        <w:spacing w:line="240" w:lineRule="auto"/>
        <w:jc w:val="center"/>
        <w:rPr>
          <w:rFonts w:ascii="Times New Roman" w:eastAsia="Times New Roman" w:hAnsi="Times New Roman" w:cs="Times New Roman"/>
          <w:b/>
          <w:color w:val="4C1D01"/>
          <w:sz w:val="27"/>
          <w:szCs w:val="27"/>
          <w:lang w:eastAsia="ru-RU"/>
        </w:rPr>
      </w:pPr>
    </w:p>
    <w:p w:rsidR="00EB1E82" w:rsidRPr="00285A5D" w:rsidRDefault="00BF164A" w:rsidP="00EB1E82">
      <w:pPr>
        <w:shd w:val="clear" w:color="auto" w:fill="FFFFFF"/>
        <w:spacing w:line="240" w:lineRule="auto"/>
        <w:rPr>
          <w:rFonts w:ascii="Times New Roman" w:eastAsia="Times New Roman" w:hAnsi="Times New Roman" w:cs="Times New Roman"/>
          <w:b/>
          <w:color w:val="4C1D01"/>
          <w:sz w:val="27"/>
          <w:szCs w:val="27"/>
          <w:u w:val="single"/>
          <w:lang w:eastAsia="ru-RU"/>
        </w:rPr>
      </w:pPr>
      <w:r w:rsidRPr="00285A5D">
        <w:rPr>
          <w:rFonts w:ascii="Times New Roman" w:eastAsia="Times New Roman" w:hAnsi="Times New Roman" w:cs="Times New Roman"/>
          <w:b/>
          <w:color w:val="4C1D01"/>
          <w:sz w:val="27"/>
          <w:szCs w:val="27"/>
          <w:u w:val="single"/>
          <w:lang w:eastAsia="ru-RU"/>
        </w:rPr>
        <w:t xml:space="preserve"> Механизм подключения к сетям водоснабжения </w:t>
      </w:r>
      <w:r w:rsidR="00285A5D">
        <w:rPr>
          <w:rFonts w:ascii="Times New Roman" w:eastAsia="Times New Roman" w:hAnsi="Times New Roman" w:cs="Times New Roman"/>
          <w:b/>
          <w:color w:val="4C1D01"/>
          <w:sz w:val="27"/>
          <w:szCs w:val="27"/>
          <w:u w:val="single"/>
          <w:lang w:eastAsia="ru-RU"/>
        </w:rPr>
        <w:t xml:space="preserve">в границах муниципального </w:t>
      </w:r>
      <w:proofErr w:type="spellStart"/>
      <w:r w:rsidR="00285A5D">
        <w:rPr>
          <w:rFonts w:ascii="Times New Roman" w:eastAsia="Times New Roman" w:hAnsi="Times New Roman" w:cs="Times New Roman"/>
          <w:b/>
          <w:color w:val="4C1D01"/>
          <w:sz w:val="27"/>
          <w:szCs w:val="27"/>
          <w:u w:val="single"/>
          <w:lang w:eastAsia="ru-RU"/>
        </w:rPr>
        <w:t>образованиия</w:t>
      </w:r>
      <w:proofErr w:type="spellEnd"/>
      <w:r w:rsidR="00285A5D">
        <w:rPr>
          <w:rFonts w:ascii="Times New Roman" w:eastAsia="Times New Roman" w:hAnsi="Times New Roman" w:cs="Times New Roman"/>
          <w:b/>
          <w:color w:val="4C1D01"/>
          <w:sz w:val="27"/>
          <w:szCs w:val="27"/>
          <w:u w:val="single"/>
          <w:lang w:eastAsia="ru-RU"/>
        </w:rPr>
        <w:t xml:space="preserve"> – </w:t>
      </w:r>
      <w:proofErr w:type="spellStart"/>
      <w:r w:rsidR="00285A5D">
        <w:rPr>
          <w:rFonts w:ascii="Times New Roman" w:eastAsia="Times New Roman" w:hAnsi="Times New Roman" w:cs="Times New Roman"/>
          <w:b/>
          <w:color w:val="4C1D01"/>
          <w:sz w:val="27"/>
          <w:szCs w:val="27"/>
          <w:u w:val="single"/>
          <w:lang w:eastAsia="ru-RU"/>
        </w:rPr>
        <w:t>Новодеревенское</w:t>
      </w:r>
      <w:proofErr w:type="spellEnd"/>
      <w:r w:rsidR="00285A5D">
        <w:rPr>
          <w:rFonts w:ascii="Times New Roman" w:eastAsia="Times New Roman" w:hAnsi="Times New Roman" w:cs="Times New Roman"/>
          <w:b/>
          <w:color w:val="4C1D01"/>
          <w:sz w:val="27"/>
          <w:szCs w:val="27"/>
          <w:u w:val="single"/>
          <w:lang w:eastAsia="ru-RU"/>
        </w:rPr>
        <w:t xml:space="preserve"> сельское поселение</w:t>
      </w:r>
    </w:p>
    <w:p w:rsidR="00EB1E82" w:rsidRPr="00EB1E82" w:rsidRDefault="00EB1E82" w:rsidP="00EB1E82">
      <w:pPr>
        <w:pStyle w:val="a3"/>
        <w:numPr>
          <w:ilvl w:val="0"/>
          <w:numId w:val="1"/>
        </w:numPr>
        <w:shd w:val="clear" w:color="auto" w:fill="FFFFFF"/>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Уполномоченная </w:t>
      </w:r>
      <w:proofErr w:type="spellStart"/>
      <w:r>
        <w:rPr>
          <w:rFonts w:ascii="Times New Roman" w:eastAsia="Times New Roman" w:hAnsi="Times New Roman" w:cs="Times New Roman"/>
          <w:color w:val="000000"/>
          <w:sz w:val="27"/>
          <w:szCs w:val="27"/>
          <w:lang w:eastAsia="ru-RU"/>
        </w:rPr>
        <w:t>р</w:t>
      </w:r>
      <w:r w:rsidRPr="00EB1E82">
        <w:rPr>
          <w:rFonts w:ascii="Times New Roman" w:eastAsia="Times New Roman" w:hAnsi="Times New Roman" w:cs="Times New Roman"/>
          <w:color w:val="000000"/>
          <w:sz w:val="27"/>
          <w:szCs w:val="27"/>
          <w:lang w:eastAsia="ru-RU"/>
        </w:rPr>
        <w:t>есурсоснабжающая</w:t>
      </w:r>
      <w:proofErr w:type="spellEnd"/>
      <w:r w:rsidRPr="00EB1E82">
        <w:rPr>
          <w:rFonts w:ascii="Times New Roman" w:eastAsia="Times New Roman" w:hAnsi="Times New Roman" w:cs="Times New Roman"/>
          <w:color w:val="000000"/>
          <w:sz w:val="27"/>
          <w:szCs w:val="27"/>
          <w:lang w:eastAsia="ru-RU"/>
        </w:rPr>
        <w:t xml:space="preserve"> организация – ООО «КВИН», Генеральный директор Кадыров Виктор Николаевич</w:t>
      </w:r>
    </w:p>
    <w:p w:rsidR="00EB1E82" w:rsidRPr="00EB1E82" w:rsidRDefault="00EB1E82" w:rsidP="00EB1E82">
      <w:pPr>
        <w:pStyle w:val="a3"/>
        <w:numPr>
          <w:ilvl w:val="0"/>
          <w:numId w:val="1"/>
        </w:numPr>
        <w:shd w:val="clear" w:color="auto" w:fill="FFFFFF"/>
        <w:spacing w:line="240" w:lineRule="auto"/>
        <w:rPr>
          <w:rFonts w:ascii="Times New Roman" w:eastAsia="Times New Roman" w:hAnsi="Times New Roman" w:cs="Times New Roman"/>
          <w:color w:val="4C1D01"/>
          <w:sz w:val="27"/>
          <w:szCs w:val="27"/>
          <w:u w:val="single"/>
          <w:lang w:eastAsia="ru-RU"/>
        </w:rPr>
      </w:pPr>
      <w:r>
        <w:rPr>
          <w:rFonts w:ascii="Times New Roman" w:eastAsia="Times New Roman" w:hAnsi="Times New Roman" w:cs="Times New Roman"/>
          <w:color w:val="4C1D01"/>
          <w:sz w:val="27"/>
          <w:szCs w:val="27"/>
          <w:u w:val="single"/>
          <w:lang w:eastAsia="ru-RU"/>
        </w:rPr>
        <w:t>Контакты: 04-44-</w:t>
      </w:r>
      <w:proofErr w:type="gramStart"/>
      <w:r>
        <w:rPr>
          <w:rFonts w:ascii="Times New Roman" w:eastAsia="Times New Roman" w:hAnsi="Times New Roman" w:cs="Times New Roman"/>
          <w:color w:val="4C1D01"/>
          <w:sz w:val="27"/>
          <w:szCs w:val="27"/>
          <w:u w:val="single"/>
          <w:lang w:eastAsia="ru-RU"/>
        </w:rPr>
        <w:t>24;  эл</w:t>
      </w:r>
      <w:proofErr w:type="gramEnd"/>
      <w:r>
        <w:rPr>
          <w:rFonts w:ascii="Times New Roman" w:eastAsia="Times New Roman" w:hAnsi="Times New Roman" w:cs="Times New Roman"/>
          <w:color w:val="4C1D01"/>
          <w:sz w:val="27"/>
          <w:szCs w:val="27"/>
          <w:u w:val="single"/>
          <w:lang w:eastAsia="ru-RU"/>
        </w:rPr>
        <w:t xml:space="preserve">. адрес: </w:t>
      </w:r>
      <w:r w:rsidRPr="00EB1E82">
        <w:rPr>
          <w:rFonts w:ascii="Times New Roman" w:eastAsia="Times New Roman" w:hAnsi="Times New Roman" w:cs="Times New Roman"/>
          <w:color w:val="4C1D01"/>
          <w:sz w:val="27"/>
          <w:szCs w:val="27"/>
          <w:u w:val="single"/>
          <w:lang w:eastAsia="ru-RU"/>
        </w:rPr>
        <w:t>elenashlykova84@yandex.ru</w:t>
      </w:r>
    </w:p>
    <w:p w:rsidR="00EB1E82" w:rsidRPr="00EB1E82" w:rsidRDefault="00EB1E82" w:rsidP="00EB1E82">
      <w:pPr>
        <w:shd w:val="clear" w:color="auto" w:fill="FFFFFF"/>
        <w:spacing w:after="0" w:line="240" w:lineRule="auto"/>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3. График приема заказчиков технических условий уполномоченной организацией:</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063"/>
        <w:gridCol w:w="1605"/>
      </w:tblGrid>
      <w:tr w:rsidR="00EB1E82" w:rsidRPr="00EB1E82" w:rsidTr="003F622E">
        <w:trPr>
          <w:trHeight w:val="366"/>
        </w:trPr>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Понедельник </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0" w:line="240" w:lineRule="auto"/>
              <w:ind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u w:val="single"/>
                <w:bdr w:val="none" w:sz="0" w:space="0" w:color="auto" w:frame="1"/>
                <w:lang w:eastAsia="ru-RU"/>
              </w:rPr>
              <w:t>8-00- 17-00</w:t>
            </w:r>
          </w:p>
        </w:tc>
      </w:tr>
      <w:tr w:rsidR="00EB1E82" w:rsidRPr="00EB1E82" w:rsidTr="003F622E">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Вторник </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0" w:line="240" w:lineRule="auto"/>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u w:val="single"/>
                <w:bdr w:val="none" w:sz="0" w:space="0" w:color="auto" w:frame="1"/>
                <w:lang w:eastAsia="ru-RU"/>
              </w:rPr>
              <w:t>8-00- 17-00</w:t>
            </w:r>
          </w:p>
        </w:tc>
      </w:tr>
      <w:tr w:rsidR="00EB1E82" w:rsidRPr="00EB1E82" w:rsidTr="003F622E">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Среда </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0" w:line="240" w:lineRule="auto"/>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u w:val="single"/>
                <w:bdr w:val="none" w:sz="0" w:space="0" w:color="auto" w:frame="1"/>
                <w:lang w:eastAsia="ru-RU"/>
              </w:rPr>
              <w:t>8-00- 17-00</w:t>
            </w:r>
          </w:p>
        </w:tc>
      </w:tr>
      <w:tr w:rsidR="00EB1E82" w:rsidRPr="00EB1E82" w:rsidTr="003F622E">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Четверг </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0" w:line="240" w:lineRule="auto"/>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u w:val="single"/>
                <w:bdr w:val="none" w:sz="0" w:space="0" w:color="auto" w:frame="1"/>
                <w:lang w:eastAsia="ru-RU"/>
              </w:rPr>
              <w:t>8-00- 17-00</w:t>
            </w:r>
          </w:p>
        </w:tc>
      </w:tr>
      <w:tr w:rsidR="00EB1E82" w:rsidRPr="00EB1E82" w:rsidTr="003F622E">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Пятница </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0" w:line="240" w:lineRule="auto"/>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u w:val="single"/>
                <w:bdr w:val="none" w:sz="0" w:space="0" w:color="auto" w:frame="1"/>
                <w:lang w:eastAsia="ru-RU"/>
              </w:rPr>
              <w:t>8-00- 17-00</w:t>
            </w:r>
          </w:p>
        </w:tc>
      </w:tr>
      <w:tr w:rsidR="00EB1E82" w:rsidRPr="00EB1E82" w:rsidTr="003F622E">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Перерыв на обед</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0"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u w:val="single"/>
                <w:bdr w:val="none" w:sz="0" w:space="0" w:color="auto" w:frame="1"/>
                <w:lang w:eastAsia="ru-RU"/>
              </w:rPr>
              <w:t>13.00 – 14.00</w:t>
            </w:r>
          </w:p>
        </w:tc>
      </w:tr>
      <w:tr w:rsidR="00EB1E82" w:rsidRPr="00EB1E82" w:rsidTr="003F622E">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Суббота </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выходной</w:t>
            </w:r>
          </w:p>
        </w:tc>
      </w:tr>
      <w:tr w:rsidR="00EB1E82" w:rsidRPr="00EB1E82" w:rsidTr="003F622E">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Воскресенье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B1E82" w:rsidRPr="00EB1E82" w:rsidRDefault="00EB1E82" w:rsidP="003F622E">
            <w:pPr>
              <w:spacing w:after="375" w:line="240" w:lineRule="auto"/>
              <w:ind w:left="30" w:right="30"/>
              <w:textAlignment w:val="baseline"/>
              <w:rPr>
                <w:rFonts w:ascii="Times New Roman" w:eastAsia="Times New Roman" w:hAnsi="Times New Roman" w:cs="Times New Roman"/>
                <w:color w:val="000000"/>
                <w:sz w:val="27"/>
                <w:szCs w:val="27"/>
                <w:lang w:eastAsia="ru-RU"/>
              </w:rPr>
            </w:pPr>
            <w:r w:rsidRPr="00EB1E82">
              <w:rPr>
                <w:rFonts w:ascii="Times New Roman" w:eastAsia="Times New Roman" w:hAnsi="Times New Roman" w:cs="Times New Roman"/>
                <w:color w:val="000000"/>
                <w:sz w:val="27"/>
                <w:szCs w:val="27"/>
                <w:lang w:eastAsia="ru-RU"/>
              </w:rPr>
              <w:t>выходной</w:t>
            </w:r>
          </w:p>
        </w:tc>
      </w:tr>
    </w:tbl>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b/>
          <w:color w:val="000000"/>
          <w:sz w:val="27"/>
          <w:szCs w:val="27"/>
          <w:lang w:eastAsia="ru-RU"/>
        </w:rPr>
        <w:t xml:space="preserve">  </w:t>
      </w:r>
      <w:r w:rsidR="00285A5D" w:rsidRPr="00285A5D">
        <w:rPr>
          <w:rFonts w:ascii="Times New Roman" w:eastAsia="Times New Roman" w:hAnsi="Times New Roman" w:cs="Times New Roman"/>
          <w:b/>
          <w:color w:val="000000"/>
          <w:sz w:val="27"/>
          <w:szCs w:val="27"/>
          <w:lang w:eastAsia="ru-RU"/>
        </w:rPr>
        <w:t>4.</w:t>
      </w:r>
      <w:r w:rsidRPr="00285A5D">
        <w:rPr>
          <w:rFonts w:ascii="Times New Roman" w:eastAsia="Times New Roman" w:hAnsi="Times New Roman" w:cs="Times New Roman"/>
          <w:b/>
          <w:color w:val="000000"/>
          <w:sz w:val="27"/>
          <w:szCs w:val="27"/>
          <w:lang w:eastAsia="ru-RU"/>
        </w:rPr>
        <w:t xml:space="preserve"> Заказчик предоставляет запрос на выдачу Технических условий</w:t>
      </w:r>
      <w:r w:rsidRPr="00285A5D">
        <w:rPr>
          <w:rFonts w:ascii="Times New Roman" w:eastAsia="Times New Roman" w:hAnsi="Times New Roman" w:cs="Times New Roman"/>
          <w:color w:val="000000"/>
          <w:sz w:val="27"/>
          <w:szCs w:val="27"/>
          <w:lang w:eastAsia="ru-RU"/>
        </w:rPr>
        <w:t xml:space="preserve"> подключения (подтверждения технической возможности подачи водоснабжения по существующим сетям), в котором указывается:</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наименование лица, направившего запрос, его местонахождение и почтовый адрес объекта на который выдаются технические условия;</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планируемый срок ввода в эксплуатацию объекта капитального строительства (при наличии соответствующей информации);</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необходимые виды ресурсов, получаемых от сетей инженерно-технического обеспечения;</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планируемую величину необходимой подключаемой нагрузки (при наличии соответствующей информации).</w:t>
      </w:r>
      <w:bookmarkStart w:id="0" w:name="_GoBack"/>
      <w:bookmarkEnd w:id="0"/>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b/>
          <w:color w:val="000000"/>
          <w:sz w:val="27"/>
          <w:szCs w:val="27"/>
          <w:lang w:eastAsia="ru-RU"/>
        </w:rPr>
      </w:pPr>
      <w:r w:rsidRPr="00285A5D">
        <w:rPr>
          <w:rFonts w:ascii="Times New Roman" w:eastAsia="Times New Roman" w:hAnsi="Times New Roman" w:cs="Times New Roman"/>
          <w:b/>
          <w:color w:val="000000"/>
          <w:sz w:val="27"/>
          <w:szCs w:val="27"/>
          <w:lang w:eastAsia="ru-RU"/>
        </w:rPr>
        <w:lastRenderedPageBreak/>
        <w:t>К запросу прилагаются:</w:t>
      </w:r>
    </w:p>
    <w:p w:rsidR="00EB1E82" w:rsidRPr="00285A5D" w:rsidRDefault="00EB1E82" w:rsidP="00EB1E82">
      <w:pPr>
        <w:shd w:val="clear" w:color="auto" w:fill="FFFFFF"/>
        <w:spacing w:after="0"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нотариально заверенные копии </w:t>
      </w:r>
      <w:hyperlink r:id="rId8" w:tooltip="Документы учредительные" w:history="1">
        <w:r w:rsidRPr="00285A5D">
          <w:rPr>
            <w:rFonts w:ascii="Times New Roman" w:eastAsia="Times New Roman" w:hAnsi="Times New Roman" w:cs="Times New Roman"/>
            <w:color w:val="743399"/>
            <w:sz w:val="27"/>
            <w:szCs w:val="27"/>
            <w:bdr w:val="none" w:sz="0" w:space="0" w:color="auto" w:frame="1"/>
            <w:lang w:eastAsia="ru-RU"/>
          </w:rPr>
          <w:t>учредительных документов</w:t>
        </w:r>
      </w:hyperlink>
      <w:r w:rsidRPr="00285A5D">
        <w:rPr>
          <w:rFonts w:ascii="Times New Roman" w:eastAsia="Times New Roman" w:hAnsi="Times New Roman" w:cs="Times New Roman"/>
          <w:color w:val="000000"/>
          <w:sz w:val="27"/>
          <w:szCs w:val="27"/>
          <w:lang w:eastAsia="ru-RU"/>
        </w:rPr>
        <w:t>, а также документы, подтверждающие полномочия лица, подписавшего запрос;</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правоустанавливающие документы на земельный участок (для правообладателя земельного участка);</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xml:space="preserve">- информация о границах земельного участка, на котором планируется осуществить строительство объекта капитального </w:t>
      </w:r>
      <w:proofErr w:type="gramStart"/>
      <w:r w:rsidRPr="00285A5D">
        <w:rPr>
          <w:rFonts w:ascii="Times New Roman" w:eastAsia="Times New Roman" w:hAnsi="Times New Roman" w:cs="Times New Roman"/>
          <w:color w:val="000000"/>
          <w:sz w:val="27"/>
          <w:szCs w:val="27"/>
          <w:lang w:eastAsia="ru-RU"/>
        </w:rPr>
        <w:t>строительства  или</w:t>
      </w:r>
      <w:proofErr w:type="gramEnd"/>
      <w:r w:rsidRPr="00285A5D">
        <w:rPr>
          <w:rFonts w:ascii="Times New Roman" w:eastAsia="Times New Roman" w:hAnsi="Times New Roman" w:cs="Times New Roman"/>
          <w:color w:val="000000"/>
          <w:sz w:val="27"/>
          <w:szCs w:val="27"/>
          <w:lang w:eastAsia="ru-RU"/>
        </w:rPr>
        <w:t xml:space="preserve"> на котором расположен реконструируемый объект капитального строительства;</w:t>
      </w:r>
    </w:p>
    <w:p w:rsidR="00EB1E82" w:rsidRPr="00285A5D" w:rsidRDefault="00EB1E82" w:rsidP="00EB1E82">
      <w:pPr>
        <w:shd w:val="clear" w:color="auto" w:fill="FFFFFF"/>
        <w:spacing w:after="0"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информация о разрешенном </w:t>
      </w:r>
      <w:hyperlink r:id="rId9" w:tooltip="Землепользование" w:history="1">
        <w:r w:rsidRPr="00285A5D">
          <w:rPr>
            <w:rFonts w:ascii="Times New Roman" w:eastAsia="Times New Roman" w:hAnsi="Times New Roman" w:cs="Times New Roman"/>
            <w:color w:val="743399"/>
            <w:sz w:val="27"/>
            <w:szCs w:val="27"/>
            <w:bdr w:val="none" w:sz="0" w:space="0" w:color="auto" w:frame="1"/>
            <w:lang w:eastAsia="ru-RU"/>
          </w:rPr>
          <w:t>использовании земельного участка</w:t>
        </w:r>
      </w:hyperlink>
      <w:r w:rsidRPr="00285A5D">
        <w:rPr>
          <w:rFonts w:ascii="Times New Roman" w:eastAsia="Times New Roman" w:hAnsi="Times New Roman" w:cs="Times New Roman"/>
          <w:color w:val="000000"/>
          <w:sz w:val="27"/>
          <w:szCs w:val="27"/>
          <w:lang w:eastAsia="ru-RU"/>
        </w:rPr>
        <w:t>;</w:t>
      </w:r>
    </w:p>
    <w:p w:rsidR="00EB1E82" w:rsidRPr="00285A5D" w:rsidRDefault="00EB1E82" w:rsidP="00EB1E82">
      <w:pPr>
        <w:shd w:val="clear" w:color="auto" w:fill="FFFFFF"/>
        <w:spacing w:after="0"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информация о предельных параметрах разрешенного строительства (реконструкции) объектов капитального строительства, (предварительный </w:t>
      </w:r>
      <w:hyperlink r:id="rId10" w:tooltip="Генеральные планы" w:history="1">
        <w:r w:rsidRPr="00285A5D">
          <w:rPr>
            <w:rFonts w:ascii="Times New Roman" w:eastAsia="Times New Roman" w:hAnsi="Times New Roman" w:cs="Times New Roman"/>
            <w:color w:val="743399"/>
            <w:sz w:val="27"/>
            <w:szCs w:val="27"/>
            <w:bdr w:val="none" w:sz="0" w:space="0" w:color="auto" w:frame="1"/>
            <w:lang w:eastAsia="ru-RU"/>
          </w:rPr>
          <w:t>генплан</w:t>
        </w:r>
      </w:hyperlink>
      <w:r w:rsidRPr="00285A5D">
        <w:rPr>
          <w:rFonts w:ascii="Times New Roman" w:eastAsia="Times New Roman" w:hAnsi="Times New Roman" w:cs="Times New Roman"/>
          <w:color w:val="000000"/>
          <w:sz w:val="27"/>
          <w:szCs w:val="27"/>
          <w:lang w:eastAsia="ru-RU"/>
        </w:rPr>
        <w:t> с указанием этажности здания);</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схема размещения объекта строительства (реконструкции);</w:t>
      </w:r>
    </w:p>
    <w:p w:rsidR="00EB1E82" w:rsidRPr="00285A5D" w:rsidRDefault="00EB1E82" w:rsidP="00EB1E82">
      <w:pPr>
        <w:shd w:val="clear" w:color="auto" w:fill="FFFFFF"/>
        <w:spacing w:before="375" w:after="375"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необходимые виды ресурсов (вода), планируемая величина необходимой подключаемой нагрузки – расчет расходов воды __</w:t>
      </w:r>
      <w:proofErr w:type="gramStart"/>
      <w:r w:rsidRPr="00285A5D">
        <w:rPr>
          <w:rFonts w:ascii="Times New Roman" w:eastAsia="Times New Roman" w:hAnsi="Times New Roman" w:cs="Times New Roman"/>
          <w:color w:val="000000"/>
          <w:sz w:val="27"/>
          <w:szCs w:val="27"/>
          <w:lang w:eastAsia="ru-RU"/>
        </w:rPr>
        <w:t>_(</w:t>
      </w:r>
      <w:proofErr w:type="gramEnd"/>
      <w:r w:rsidRPr="00285A5D">
        <w:rPr>
          <w:rFonts w:ascii="Times New Roman" w:eastAsia="Times New Roman" w:hAnsi="Times New Roman" w:cs="Times New Roman"/>
          <w:color w:val="000000"/>
          <w:sz w:val="27"/>
          <w:szCs w:val="27"/>
          <w:lang w:eastAsia="ru-RU"/>
        </w:rPr>
        <w:t>куб. м/час) (______куб./м/</w:t>
      </w:r>
      <w:proofErr w:type="spellStart"/>
      <w:r w:rsidRPr="00285A5D">
        <w:rPr>
          <w:rFonts w:ascii="Times New Roman" w:eastAsia="Times New Roman" w:hAnsi="Times New Roman" w:cs="Times New Roman"/>
          <w:color w:val="000000"/>
          <w:sz w:val="27"/>
          <w:szCs w:val="27"/>
          <w:lang w:eastAsia="ru-RU"/>
        </w:rPr>
        <w:t>сут</w:t>
      </w:r>
      <w:proofErr w:type="spellEnd"/>
      <w:r w:rsidRPr="00285A5D">
        <w:rPr>
          <w:rFonts w:ascii="Times New Roman" w:eastAsia="Times New Roman" w:hAnsi="Times New Roman" w:cs="Times New Roman"/>
          <w:color w:val="000000"/>
          <w:sz w:val="27"/>
          <w:szCs w:val="27"/>
          <w:lang w:eastAsia="ru-RU"/>
        </w:rPr>
        <w:t>);</w:t>
      </w:r>
    </w:p>
    <w:p w:rsidR="00EB1E82" w:rsidRPr="00285A5D" w:rsidRDefault="00EB1E82" w:rsidP="00285A5D">
      <w:pPr>
        <w:shd w:val="clear" w:color="auto" w:fill="FFFFFF"/>
        <w:spacing w:after="0" w:line="240" w:lineRule="auto"/>
        <w:textAlignment w:val="baseline"/>
        <w:rPr>
          <w:rFonts w:ascii="Times New Roman" w:eastAsia="Times New Roman" w:hAnsi="Times New Roman" w:cs="Times New Roman"/>
          <w:color w:val="000000"/>
          <w:sz w:val="27"/>
          <w:szCs w:val="27"/>
          <w:lang w:eastAsia="ru-RU"/>
        </w:rPr>
      </w:pPr>
      <w:r w:rsidRPr="00285A5D">
        <w:rPr>
          <w:rFonts w:ascii="Times New Roman" w:eastAsia="Times New Roman" w:hAnsi="Times New Roman" w:cs="Times New Roman"/>
          <w:color w:val="000000"/>
          <w:sz w:val="27"/>
          <w:szCs w:val="27"/>
          <w:lang w:eastAsia="ru-RU"/>
        </w:rPr>
        <w:t>- при подключении к сетям основного абонента, представляется согласие </w:t>
      </w:r>
      <w:hyperlink r:id="rId11" w:tooltip="Владелец" w:history="1">
        <w:r w:rsidRPr="00285A5D">
          <w:rPr>
            <w:rFonts w:ascii="Times New Roman" w:eastAsia="Times New Roman" w:hAnsi="Times New Roman" w:cs="Times New Roman"/>
            <w:color w:val="743399"/>
            <w:sz w:val="27"/>
            <w:szCs w:val="27"/>
            <w:bdr w:val="none" w:sz="0" w:space="0" w:color="auto" w:frame="1"/>
            <w:lang w:eastAsia="ru-RU"/>
          </w:rPr>
          <w:t>владельца</w:t>
        </w:r>
      </w:hyperlink>
      <w:r w:rsidRPr="00285A5D">
        <w:rPr>
          <w:rFonts w:ascii="Times New Roman" w:eastAsia="Times New Roman" w:hAnsi="Times New Roman" w:cs="Times New Roman"/>
          <w:color w:val="000000"/>
          <w:sz w:val="27"/>
          <w:szCs w:val="27"/>
          <w:lang w:eastAsia="ru-RU"/>
        </w:rPr>
        <w:t> сетей на подключение и получение дополнительной мощности.</w:t>
      </w:r>
    </w:p>
    <w:p w:rsidR="00EB1E82" w:rsidRPr="00285A5D" w:rsidRDefault="00EB1E82" w:rsidP="00BF164A">
      <w:pPr>
        <w:shd w:val="clear" w:color="auto" w:fill="FFFFFF"/>
        <w:spacing w:line="240" w:lineRule="auto"/>
        <w:rPr>
          <w:rFonts w:ascii="Times New Roman" w:eastAsia="Times New Roman" w:hAnsi="Times New Roman" w:cs="Times New Roman"/>
          <w:color w:val="4C1D01"/>
          <w:sz w:val="27"/>
          <w:szCs w:val="27"/>
          <w:u w:val="single"/>
          <w:lang w:eastAsia="ru-RU"/>
        </w:rPr>
      </w:pPr>
    </w:p>
    <w:p w:rsidR="00BF164A" w:rsidRPr="00285A5D" w:rsidRDefault="00285A5D" w:rsidP="00BF164A">
      <w:pPr>
        <w:shd w:val="clear" w:color="auto" w:fill="FFFFFF"/>
        <w:spacing w:after="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b/>
          <w:bCs/>
          <w:color w:val="4C1D01"/>
          <w:sz w:val="27"/>
          <w:szCs w:val="27"/>
          <w:lang w:eastAsia="ru-RU"/>
        </w:rPr>
        <w:t>5.</w:t>
      </w:r>
      <w:r w:rsidR="00BF164A" w:rsidRPr="00285A5D">
        <w:rPr>
          <w:rFonts w:ascii="Times New Roman" w:eastAsia="Times New Roman" w:hAnsi="Times New Roman" w:cs="Times New Roman"/>
          <w:b/>
          <w:bCs/>
          <w:color w:val="4C1D01"/>
          <w:sz w:val="27"/>
          <w:szCs w:val="27"/>
          <w:lang w:eastAsia="ru-RU"/>
        </w:rPr>
        <w:t xml:space="preserve">Подключение (технологическое присоединение) объектов капитального строительства, в том числе водопроводных сетей, к централизованным системам холодного водоснабжения </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Подключение (технологическое присоединение) объектов капитального строительства, в том числе водопроводных сетей, к централизованным системам холодного водоснабжения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 xml:space="preserve">Лица, обратившиеся в организацию, осуществляющую холодное водоснабжение, с заявлением о заключении договора подключения (технологического присоединения) к централизованной системе холодного водоснабжения,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w:t>
      </w:r>
      <w:r w:rsidRPr="00285A5D">
        <w:rPr>
          <w:rFonts w:ascii="Times New Roman" w:eastAsia="Times New Roman" w:hAnsi="Times New Roman" w:cs="Times New Roman"/>
          <w:color w:val="4C1D01"/>
          <w:sz w:val="27"/>
          <w:szCs w:val="27"/>
          <w:lang w:eastAsia="ru-RU"/>
        </w:rPr>
        <w:lastRenderedPageBreak/>
        <w:t>водоснабжения и вносят плату за подключение (технологическое присоединение) к централизованной системе холодного водоснабжения.</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Сроки подключения (технологического присоединения) к централизованной системе холодного водоснабжения,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утвержденными Правительством Российской Федерации.</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 xml:space="preserve">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w:t>
      </w:r>
      <w:r w:rsidRPr="00285A5D">
        <w:rPr>
          <w:rFonts w:ascii="Times New Roman" w:eastAsia="Times New Roman" w:hAnsi="Times New Roman" w:cs="Times New Roman"/>
          <w:color w:val="4C1D01"/>
          <w:sz w:val="27"/>
          <w:szCs w:val="27"/>
          <w:lang w:eastAsia="ru-RU"/>
        </w:rPr>
        <w:lastRenderedPageBreak/>
        <w:t>устанавливаются в соответствии со сроками завершения реализации этих мероприятий.</w:t>
      </w:r>
    </w:p>
    <w:p w:rsidR="00BF164A" w:rsidRPr="00285A5D" w:rsidRDefault="00285A5D" w:rsidP="00BF164A">
      <w:pPr>
        <w:shd w:val="clear" w:color="auto" w:fill="FFFFFF"/>
        <w:spacing w:after="150" w:line="240" w:lineRule="auto"/>
        <w:jc w:val="center"/>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b/>
          <w:bCs/>
          <w:color w:val="4C1D01"/>
          <w:sz w:val="27"/>
          <w:szCs w:val="27"/>
          <w:lang w:eastAsia="ru-RU"/>
        </w:rPr>
        <w:t>6.</w:t>
      </w:r>
      <w:r w:rsidR="00BF164A" w:rsidRPr="00285A5D">
        <w:rPr>
          <w:rFonts w:ascii="Times New Roman" w:eastAsia="Times New Roman" w:hAnsi="Times New Roman" w:cs="Times New Roman"/>
          <w:b/>
          <w:bCs/>
          <w:color w:val="4C1D01"/>
          <w:sz w:val="27"/>
          <w:szCs w:val="27"/>
          <w:lang w:eastAsia="ru-RU"/>
        </w:rPr>
        <w:t xml:space="preserve">Плата за подключение (технологическое присоединение) к сетям водоснабжения  </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b/>
          <w:bCs/>
          <w:color w:val="4C1D01"/>
          <w:sz w:val="27"/>
          <w:szCs w:val="27"/>
          <w:lang w:eastAsia="ru-RU"/>
        </w:rPr>
        <w:t>Плата за подключение (технологическое присоединение)</w:t>
      </w:r>
      <w:r w:rsidRPr="00285A5D">
        <w:rPr>
          <w:rFonts w:ascii="Times New Roman" w:eastAsia="Times New Roman" w:hAnsi="Times New Roman" w:cs="Times New Roman"/>
          <w:color w:val="4C1D01"/>
          <w:sz w:val="27"/>
          <w:szCs w:val="27"/>
          <w:lang w:eastAsia="ru-RU"/>
        </w:rPr>
        <w:t> рассчитывается организацией, осуществляющей холодное водоснабжение,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В случае, если объем запрашиваемой заявителем нагрузки в целях обеспечения водоснабжения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утвержденными Правительством Российской Федерации.</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 xml:space="preserve">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сетей к централизованной системе холодного водоснабжения, включает в себя затраты на создание водопроводных  (и объектов на них от существующих сетей централизованной системы холодного водоснабжения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в том числе расходы на реконструкцию и модернизацию существующих объектов централизованной системы холодного водоснабжения в порядке, определенном основами ценообразования в сфере водоснабжения, утвержденными Правительством Российской Федерации. Точка подключения (технологического присоединения) при наличии технической </w:t>
      </w:r>
      <w:r w:rsidRPr="00285A5D">
        <w:rPr>
          <w:rFonts w:ascii="Times New Roman" w:eastAsia="Times New Roman" w:hAnsi="Times New Roman" w:cs="Times New Roman"/>
          <w:color w:val="4C1D01"/>
          <w:sz w:val="27"/>
          <w:szCs w:val="27"/>
          <w:lang w:eastAsia="ru-RU"/>
        </w:rPr>
        <w:lastRenderedPageBreak/>
        <w:t>возможности устанавливается на границе земельного участка, на котором располагается объект капитального строительства заявителя.</w:t>
      </w:r>
    </w:p>
    <w:p w:rsidR="00BF164A" w:rsidRPr="00285A5D" w:rsidRDefault="00BF164A" w:rsidP="00BF164A">
      <w:pPr>
        <w:shd w:val="clear" w:color="auto" w:fill="FFFFFF"/>
        <w:spacing w:after="150" w:line="240" w:lineRule="auto"/>
        <w:jc w:val="both"/>
        <w:rPr>
          <w:rFonts w:ascii="Times New Roman" w:eastAsia="Times New Roman" w:hAnsi="Times New Roman" w:cs="Times New Roman"/>
          <w:color w:val="4C1D01"/>
          <w:sz w:val="27"/>
          <w:szCs w:val="27"/>
          <w:lang w:eastAsia="ru-RU"/>
        </w:rPr>
      </w:pPr>
      <w:r w:rsidRPr="00285A5D">
        <w:rPr>
          <w:rFonts w:ascii="Times New Roman" w:eastAsia="Times New Roman" w:hAnsi="Times New Roman" w:cs="Times New Roman"/>
          <w:color w:val="4C1D01"/>
          <w:sz w:val="27"/>
          <w:szCs w:val="27"/>
          <w:lang w:eastAsia="ru-RU"/>
        </w:rPr>
        <w:t>Договоры о подключении (технологическом присоединении) к централизованным системам водоснабжения заключаются в соответствии с типовым договором о подключении (технологическом присоединении) к централизованной системе водоснабжения, утвержденными Правительством Российской Федераци</w:t>
      </w:r>
      <w:r w:rsidR="00893422" w:rsidRPr="00285A5D">
        <w:rPr>
          <w:rFonts w:ascii="Times New Roman" w:eastAsia="Times New Roman" w:hAnsi="Times New Roman" w:cs="Times New Roman"/>
          <w:color w:val="4C1D01"/>
          <w:sz w:val="27"/>
          <w:szCs w:val="27"/>
          <w:lang w:eastAsia="ru-RU"/>
        </w:rPr>
        <w:t>и.</w:t>
      </w:r>
    </w:p>
    <w:p w:rsidR="002E02F5" w:rsidRPr="00285A5D" w:rsidRDefault="002E02F5">
      <w:pPr>
        <w:rPr>
          <w:rFonts w:ascii="Times New Roman" w:hAnsi="Times New Roman" w:cs="Times New Roman"/>
          <w:sz w:val="27"/>
          <w:szCs w:val="27"/>
        </w:rPr>
      </w:pPr>
    </w:p>
    <w:sectPr w:rsidR="002E02F5" w:rsidRPr="00285A5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80" w:rsidRDefault="00AD3E80" w:rsidP="000E10C9">
      <w:pPr>
        <w:spacing w:after="0" w:line="240" w:lineRule="auto"/>
      </w:pPr>
      <w:r>
        <w:separator/>
      </w:r>
    </w:p>
  </w:endnote>
  <w:endnote w:type="continuationSeparator" w:id="0">
    <w:p w:rsidR="00AD3E80" w:rsidRDefault="00AD3E80" w:rsidP="000E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80" w:rsidRDefault="00AD3E80" w:rsidP="000E10C9">
      <w:pPr>
        <w:spacing w:after="0" w:line="240" w:lineRule="auto"/>
      </w:pPr>
      <w:r>
        <w:separator/>
      </w:r>
    </w:p>
  </w:footnote>
  <w:footnote w:type="continuationSeparator" w:id="0">
    <w:p w:rsidR="00AD3E80" w:rsidRDefault="00AD3E80" w:rsidP="000E1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99043"/>
      <w:docPartObj>
        <w:docPartGallery w:val="Page Numbers (Top of Page)"/>
        <w:docPartUnique/>
      </w:docPartObj>
    </w:sdtPr>
    <w:sdtContent>
      <w:p w:rsidR="000E10C9" w:rsidRDefault="000E10C9">
        <w:pPr>
          <w:pStyle w:val="a4"/>
          <w:jc w:val="center"/>
        </w:pPr>
        <w:r>
          <w:fldChar w:fldCharType="begin"/>
        </w:r>
        <w:r>
          <w:instrText>PAGE   \* MERGEFORMAT</w:instrText>
        </w:r>
        <w:r>
          <w:fldChar w:fldCharType="separate"/>
        </w:r>
        <w:r>
          <w:rPr>
            <w:noProof/>
          </w:rPr>
          <w:t>5</w:t>
        </w:r>
        <w:r>
          <w:fldChar w:fldCharType="end"/>
        </w:r>
      </w:p>
    </w:sdtContent>
  </w:sdt>
  <w:p w:rsidR="000E10C9" w:rsidRDefault="000E10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964E7"/>
    <w:multiLevelType w:val="hybridMultilevel"/>
    <w:tmpl w:val="E4A8B85E"/>
    <w:lvl w:ilvl="0" w:tplc="749297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4A"/>
    <w:rsid w:val="000E10C9"/>
    <w:rsid w:val="00195144"/>
    <w:rsid w:val="00285A5D"/>
    <w:rsid w:val="002E02F5"/>
    <w:rsid w:val="00893422"/>
    <w:rsid w:val="008E60F8"/>
    <w:rsid w:val="00AD3E80"/>
    <w:rsid w:val="00BF164A"/>
    <w:rsid w:val="00EB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5868-7A98-4C61-BB30-BCC3BEA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82"/>
    <w:pPr>
      <w:ind w:left="720"/>
      <w:contextualSpacing/>
    </w:pPr>
  </w:style>
  <w:style w:type="paragraph" w:styleId="a4">
    <w:name w:val="header"/>
    <w:basedOn w:val="a"/>
    <w:link w:val="a5"/>
    <w:uiPriority w:val="99"/>
    <w:unhideWhenUsed/>
    <w:rsid w:val="000E10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10C9"/>
  </w:style>
  <w:style w:type="paragraph" w:styleId="a6">
    <w:name w:val="footer"/>
    <w:basedOn w:val="a"/>
    <w:link w:val="a7"/>
    <w:uiPriority w:val="99"/>
    <w:unhideWhenUsed/>
    <w:rsid w:val="000E10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54124">
      <w:bodyDiv w:val="1"/>
      <w:marLeft w:val="0"/>
      <w:marRight w:val="0"/>
      <w:marTop w:val="0"/>
      <w:marBottom w:val="0"/>
      <w:divBdr>
        <w:top w:val="none" w:sz="0" w:space="0" w:color="auto"/>
        <w:left w:val="none" w:sz="0" w:space="0" w:color="auto"/>
        <w:bottom w:val="none" w:sz="0" w:space="0" w:color="auto"/>
        <w:right w:val="none" w:sz="0" w:space="0" w:color="auto"/>
      </w:divBdr>
      <w:divsChild>
        <w:div w:id="1000503130">
          <w:marLeft w:val="0"/>
          <w:marRight w:val="0"/>
          <w:marTop w:val="0"/>
          <w:marBottom w:val="180"/>
          <w:divBdr>
            <w:top w:val="none" w:sz="0" w:space="0" w:color="auto"/>
            <w:left w:val="none" w:sz="0" w:space="0" w:color="auto"/>
            <w:bottom w:val="none" w:sz="0" w:space="0" w:color="auto"/>
            <w:right w:val="none" w:sz="0" w:space="0" w:color="auto"/>
          </w:divBdr>
        </w:div>
        <w:div w:id="190140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kumenti_uchreditelmz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ladeletc/" TargetMode="External"/><Relationship Id="rId5" Type="http://schemas.openxmlformats.org/officeDocument/2006/relationships/webSettings" Target="webSettings.xml"/><Relationship Id="rId10" Type="http://schemas.openxmlformats.org/officeDocument/2006/relationships/hyperlink" Target="http://pandia.ru/text/category/generalmznie_plani/" TargetMode="External"/><Relationship Id="rId4" Type="http://schemas.openxmlformats.org/officeDocument/2006/relationships/settings" Target="settings.xml"/><Relationship Id="rId9" Type="http://schemas.openxmlformats.org/officeDocument/2006/relationships/hyperlink" Target="http://pandia.ru/text/category/zemlepolmzzova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7FE2-3941-4596-8749-56DDB331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элекс</dc:creator>
  <cp:keywords/>
  <dc:description/>
  <cp:lastModifiedBy>элекс</cp:lastModifiedBy>
  <cp:revision>5</cp:revision>
  <dcterms:created xsi:type="dcterms:W3CDTF">2017-05-22T06:40:00Z</dcterms:created>
  <dcterms:modified xsi:type="dcterms:W3CDTF">2017-05-22T11:02:00Z</dcterms:modified>
</cp:coreProperties>
</file>