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586E1D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10707F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4F69CE" w:rsidRDefault="004F69CE" w:rsidP="00E04BA6">
      <w:pPr>
        <w:spacing w:after="0" w:line="240" w:lineRule="auto"/>
        <w:ind w:left="142" w:right="11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C79" w:rsidRPr="00FE4F88" w:rsidRDefault="00A73C79" w:rsidP="00E04BA6">
      <w:pPr>
        <w:spacing w:after="0" w:line="240" w:lineRule="auto"/>
        <w:ind w:left="142" w:right="1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88">
        <w:rPr>
          <w:rFonts w:ascii="Times New Roman" w:hAnsi="Times New Roman" w:cs="Times New Roman"/>
          <w:b/>
          <w:sz w:val="26"/>
          <w:szCs w:val="26"/>
        </w:rPr>
        <w:t>Вниманию студентов и старшеклассников!!!</w:t>
      </w:r>
    </w:p>
    <w:p w:rsidR="00532F9F" w:rsidRPr="00FE4F88" w:rsidRDefault="00E04BA6" w:rsidP="00E04BA6">
      <w:pPr>
        <w:spacing w:after="0" w:line="240" w:lineRule="auto"/>
        <w:ind w:left="142" w:right="1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F88">
        <w:rPr>
          <w:rFonts w:ascii="Times New Roman" w:hAnsi="Times New Roman" w:cs="Times New Roman"/>
          <w:b/>
          <w:sz w:val="26"/>
          <w:szCs w:val="26"/>
        </w:rPr>
        <w:t xml:space="preserve">Временное трудоустройство формирует фонд будущей пенсии. </w:t>
      </w:r>
    </w:p>
    <w:p w:rsidR="00E04BA6" w:rsidRPr="00FE4F88" w:rsidRDefault="00E04BA6" w:rsidP="00E04BA6">
      <w:pPr>
        <w:spacing w:after="0" w:line="240" w:lineRule="auto"/>
        <w:ind w:left="142" w:right="1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D6" w:rsidRDefault="00B315A9" w:rsidP="00AE4BD6">
      <w:pPr>
        <w:spacing w:after="0" w:line="240" w:lineRule="auto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</w:pPr>
      <w:r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Для рязанских школьников и студентов приближается время каникул, - почти три летних месяца, </w:t>
      </w:r>
      <w:r w:rsidR="00CE4036"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и </w:t>
      </w:r>
      <w:r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многие молодые люди собираются потратить </w:t>
      </w:r>
      <w:r w:rsidR="00CE4036"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их </w:t>
      </w:r>
      <w:r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не только на отдых от учёбы, но и на </w:t>
      </w:r>
      <w:r w:rsid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временную </w:t>
      </w:r>
      <w:r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>подработку</w:t>
      </w:r>
      <w:r w:rsidR="00CE4036" w:rsidRPr="00CE403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. </w:t>
      </w:r>
      <w:r w:rsidR="00427D6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Обращаем внимание молодых людей, собирающихся подработать летом, на то, </w:t>
      </w:r>
      <w:r w:rsidR="00AE4BD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что даже благодаря этой форме трудоустройства формируется и увеличивается фонд будущей пенсии. В связи с этим </w:t>
      </w:r>
      <w:r w:rsidR="00FE4F8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полезно </w:t>
      </w:r>
      <w:r w:rsidR="00AE4BD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запомнить несколько важных моментов. </w:t>
      </w:r>
    </w:p>
    <w:p w:rsidR="00427D6A" w:rsidRDefault="00427D6A" w:rsidP="00484E0B">
      <w:pPr>
        <w:spacing w:after="0" w:line="240" w:lineRule="auto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bdr w:val="none" w:sz="0" w:space="0" w:color="auto" w:frame="1"/>
          <w:lang w:eastAsia="ru-RU"/>
        </w:rPr>
      </w:pPr>
    </w:p>
    <w:p w:rsidR="00C46940" w:rsidRPr="00EE6F48" w:rsidRDefault="00C0488A" w:rsidP="00FE4F88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</w:t>
      </w: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ab/>
        <w:t xml:space="preserve">В рамках </w:t>
      </w:r>
      <w:r w:rsidR="00863DBD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современной пенсионной системы приобретённые гражданами пенсион</w:t>
      </w:r>
      <w:r w:rsidR="0066052C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ные права формируются в баллах, </w:t>
      </w:r>
      <w:proofErr w:type="gramStart"/>
      <w:r w:rsidR="0066052C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исходя из количеств</w:t>
      </w:r>
      <w:r w:rsidR="00C46940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а которых при выходе на пенсию рассчитывается</w:t>
      </w:r>
      <w:proofErr w:type="gramEnd"/>
      <w:r w:rsidR="00C46940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размер полагающихся выплат. </w:t>
      </w:r>
      <w:r w:rsidR="00F5451E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Сумма пенсионных баллов за каждый конкретный год зависит от взносов, уплачиваемых работодателем на обязательное пенсионное страхование и, соответственно, от размера заработной платы. </w:t>
      </w:r>
      <w:r w:rsidR="00B41985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ab/>
      </w:r>
      <w:r w:rsidR="00FE4F8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Р</w:t>
      </w:r>
      <w:r w:rsidR="00B41985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абота даже </w:t>
      </w:r>
      <w:r w:rsidR="00F5451E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 временному трудовому договору </w:t>
      </w:r>
      <w:r w:rsidR="00B41985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вед</w:t>
      </w:r>
      <w:r w:rsidR="001D667B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ёт к увеличению будущей пенсии, а </w:t>
      </w:r>
      <w:r w:rsidR="00B41985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периоды трудоустройства </w:t>
      </w:r>
      <w:r w:rsidR="007B0DEF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засчитываются в стаж. Для этого необходимы два условия. </w:t>
      </w:r>
    </w:p>
    <w:p w:rsidR="007B0DEF" w:rsidRPr="00EE6F48" w:rsidRDefault="007B0DEF" w:rsidP="00484E0B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ab/>
        <w:t xml:space="preserve"> </w:t>
      </w:r>
      <w:proofErr w:type="gramStart"/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Во</w:t>
      </w:r>
      <w:proofErr w:type="gramEnd"/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– первых, трудиться даже временно следует официально. Очевидно, что конкретные условия и в целом ситуация на рынке труда могут быть разными, однако официальная работа с официальной оплатой – это и официальные гарантии в настоящем, и </w:t>
      </w:r>
      <w:r w:rsidR="004F69C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</w:t>
      </w: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енсия в будущем. Поэтому приоритет </w:t>
      </w:r>
      <w:r w:rsidR="00FD1F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необходимо </w:t>
      </w: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отдавать официально оформленной трудовой деятельности. </w:t>
      </w:r>
    </w:p>
    <w:p w:rsidR="000A6E92" w:rsidRPr="00EE6F48" w:rsidRDefault="006640A8" w:rsidP="00A0052D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ab/>
      </w:r>
      <w:r w:rsidR="00CA498E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Во –</w:t>
      </w:r>
      <w:r w:rsidR="00CA498E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вторых, </w:t>
      </w:r>
      <w:r w:rsidR="004F69C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важный </w:t>
      </w:r>
      <w:r w:rsidR="00CA498E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шаг – это регистрация в системе обязате</w:t>
      </w:r>
      <w:r w:rsidR="001D667B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льного пенсионного страхования с при</w:t>
      </w:r>
      <w:r w:rsidR="00844336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своением </w:t>
      </w:r>
      <w:r w:rsidR="00B80F09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страхового </w:t>
      </w:r>
      <w:r w:rsidR="00844336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номера индивидуального лицевого счёта</w:t>
      </w:r>
      <w:r w:rsidR="00B80F09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(СНИЛС)</w:t>
      </w:r>
      <w:r w:rsidR="00844336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, на котором учитываются пенсионные права, и выдачей страхового свидетельства</w:t>
      </w:r>
      <w:r w:rsidR="006A3C37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(зелёная карточка)</w:t>
      </w:r>
      <w:r w:rsidR="00844336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.</w:t>
      </w:r>
      <w:r w:rsidR="00FD1F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Человеку, официально устраивающемуся работать</w:t>
      </w:r>
      <w:r w:rsidR="006A3C37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, СНИЛС </w:t>
      </w:r>
      <w:proofErr w:type="gramStart"/>
      <w:r w:rsidR="006A3C37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необходим</w:t>
      </w:r>
      <w:proofErr w:type="gramEnd"/>
      <w:r w:rsidR="006A3C37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. Для выдачи СНИЛС достаточно </w:t>
      </w:r>
      <w:r w:rsidR="00A86F38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пос</w:t>
      </w:r>
      <w:r w:rsidR="00E7286A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етить территориальный орган Пенсионного фонда РФ и </w:t>
      </w:r>
      <w:r w:rsidR="00A86F38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заполнить анкету.</w:t>
      </w:r>
      <w:r w:rsidR="00427D6A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8A19B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В </w:t>
      </w:r>
      <w:r w:rsidR="00A86F38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течение нескольких минут</w:t>
      </w:r>
      <w:r w:rsidR="008A19B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E7286A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специалисты ПФР </w:t>
      </w:r>
      <w:r w:rsidR="008A19B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зарегистрируют гражданина и выдадут </w:t>
      </w:r>
      <w:r w:rsidR="00A0052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ему свидетельство. </w:t>
      </w:r>
      <w:r w:rsidR="00427D6A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Помимо органов Пенсионного фонда РФ СНИЛС можно получить в многофункциональных центрах, только в данных учреждениях </w:t>
      </w:r>
      <w:r w:rsidR="00AE4BD6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оформление страхового номера и свидетельства занимает больше времени (около </w:t>
      </w:r>
      <w:r w:rsidR="00A0052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2 недель</w:t>
      </w:r>
      <w:r w:rsidR="00AE4BD6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). </w:t>
      </w:r>
      <w:r w:rsidR="000A6E92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После выдачи СНИЛС можно официально работать и, кроме того, отслеживать процесс формирования своих пенсионных прав. </w:t>
      </w:r>
      <w:r w:rsidR="000A6E92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ab/>
        <w:t xml:space="preserve">Самый простой способ – </w:t>
      </w:r>
      <w:r w:rsidR="00A0052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портал Государственных услуг или </w:t>
      </w:r>
      <w:r w:rsidR="000A6E92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регистрация в Личном кабинете гражданина на Официальном сайте ПФР и использование возможностей этого сервиса. </w:t>
      </w:r>
    </w:p>
    <w:p w:rsidR="00B80F09" w:rsidRDefault="000A6E92" w:rsidP="00FE4F88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ab/>
        <w:t xml:space="preserve">Таким образом, независимо от того, </w:t>
      </w:r>
      <w:r w:rsidR="00D35BE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ради заработка или же для опыта, </w:t>
      </w:r>
      <w:r w:rsidR="00427D6A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саморазвития</w:t>
      </w:r>
      <w:r w:rsidR="00D35BE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и перспектив </w:t>
      </w:r>
      <w:r w:rsidR="00427D6A" w:rsidRPr="00EE6F4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человек занимается временной подработкой, следует помнить,</w:t>
      </w:r>
      <w:r w:rsidR="00AF52CC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что с самых первых дней официальной работы о</w:t>
      </w:r>
      <w:r w:rsidR="00FE4F8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н не только зарабатывает деньги, но и </w:t>
      </w:r>
      <w:r w:rsidR="00A0052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формирует </w:t>
      </w:r>
      <w:r w:rsidR="00FE4F8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будущую пенсию. </w:t>
      </w:r>
    </w:p>
    <w:p w:rsidR="00FE4F88" w:rsidRDefault="00FE4F88" w:rsidP="000A6E92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</w:p>
    <w:p w:rsidR="00FE4F88" w:rsidRPr="00525F7D" w:rsidRDefault="00FE4F88" w:rsidP="00FE4F88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  <w:r w:rsidRPr="00525F7D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Для сведения: </w:t>
      </w:r>
    </w:p>
    <w:p w:rsidR="00FE4F88" w:rsidRPr="00525F7D" w:rsidRDefault="00FE4F88" w:rsidP="00FE4F88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525F7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 статистике 2016 года в Рязанской области официально работали свыше 3 тысяч молодых людей в возрасте от 14 до 18 лет. </w:t>
      </w:r>
    </w:p>
    <w:p w:rsidR="00EE6F48" w:rsidRDefault="00EE6F48" w:rsidP="000A6E92">
      <w:pPr>
        <w:spacing w:after="0"/>
        <w:ind w:left="284" w:right="25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</w:pPr>
    </w:p>
    <w:p w:rsidR="006D1322" w:rsidRDefault="006D1322" w:rsidP="00484E0B">
      <w:pPr>
        <w:spacing w:after="0" w:line="240" w:lineRule="auto"/>
        <w:ind w:left="284" w:right="259"/>
        <w:rPr>
          <w:rFonts w:ascii="Times New Roman" w:hAnsi="Times New Roman" w:cs="Times New Roman"/>
          <w:sz w:val="24"/>
          <w:szCs w:val="24"/>
        </w:rPr>
      </w:pPr>
      <w:r w:rsidRPr="00FE4F88">
        <w:rPr>
          <w:rFonts w:ascii="Times New Roman" w:hAnsi="Times New Roman" w:cs="Times New Roman"/>
          <w:sz w:val="24"/>
          <w:szCs w:val="24"/>
        </w:rPr>
        <w:t xml:space="preserve">Ссылка на пресс – релиз на Официальном сайте ПФР: </w:t>
      </w:r>
    </w:p>
    <w:p w:rsidR="00FE4F88" w:rsidRDefault="00BE1EA0" w:rsidP="00484E0B">
      <w:pPr>
        <w:spacing w:after="0" w:line="240" w:lineRule="auto"/>
        <w:ind w:left="284" w:right="25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7603" w:rsidRPr="00895C49">
          <w:rPr>
            <w:rStyle w:val="a9"/>
            <w:rFonts w:ascii="Times New Roman" w:hAnsi="Times New Roman" w:cs="Times New Roman"/>
            <w:sz w:val="24"/>
            <w:szCs w:val="24"/>
          </w:rPr>
          <w:t>http://www.pfrf.ru/branches/ryazan/news/~2017/05/17/135959</w:t>
        </w:r>
      </w:hyperlink>
    </w:p>
    <w:p w:rsidR="00637603" w:rsidRPr="00FE4F88" w:rsidRDefault="00637603" w:rsidP="00484E0B">
      <w:pPr>
        <w:spacing w:after="0" w:line="240" w:lineRule="auto"/>
        <w:ind w:left="284" w:right="259"/>
        <w:rPr>
          <w:rFonts w:ascii="Times New Roman" w:hAnsi="Times New Roman" w:cs="Times New Roman"/>
          <w:sz w:val="24"/>
          <w:szCs w:val="24"/>
        </w:rPr>
      </w:pPr>
    </w:p>
    <w:sectPr w:rsidR="00637603" w:rsidRPr="00FE4F88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A8" w:rsidRDefault="00B312A8">
      <w:pPr>
        <w:spacing w:after="0" w:line="240" w:lineRule="auto"/>
      </w:pPr>
      <w:r>
        <w:separator/>
      </w:r>
    </w:p>
  </w:endnote>
  <w:endnote w:type="continuationSeparator" w:id="0">
    <w:p w:rsidR="00B312A8" w:rsidRDefault="00B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A0" w:rsidRDefault="00BE1E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844336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 xml:space="preserve">17 </w:t>
          </w:r>
          <w:r w:rsidR="00A73C79">
            <w:rPr>
              <w:color w:val="4F81BD" w:themeColor="accent1"/>
              <w:sz w:val="24"/>
              <w:szCs w:val="24"/>
            </w:rPr>
            <w:t>мая</w:t>
          </w:r>
          <w:r w:rsidR="00E63A00">
            <w:rPr>
              <w:color w:val="4F81BD" w:themeColor="accent1"/>
              <w:sz w:val="24"/>
              <w:szCs w:val="24"/>
            </w:rPr>
            <w:t xml:space="preserve">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942CC4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>Материалы подготовлены Г</w:t>
          </w:r>
          <w:r w:rsidR="00BE1EA0">
            <w:rPr>
              <w:color w:val="4F81BD" w:themeColor="accent1"/>
              <w:sz w:val="20"/>
              <w:szCs w:val="18"/>
            </w:rPr>
            <w:t xml:space="preserve">У </w:t>
          </w:r>
          <w:proofErr w:type="spellStart"/>
          <w:r w:rsidR="00BE1EA0">
            <w:rPr>
              <w:color w:val="4F81BD" w:themeColor="accent1"/>
              <w:sz w:val="20"/>
              <w:szCs w:val="18"/>
            </w:rPr>
            <w:t>упфр</w:t>
          </w:r>
          <w:proofErr w:type="spellEnd"/>
          <w:r w:rsidR="00BE1EA0">
            <w:rPr>
              <w:color w:val="4F81BD" w:themeColor="accent1"/>
              <w:sz w:val="20"/>
              <w:szCs w:val="18"/>
            </w:rPr>
            <w:t xml:space="preserve"> по </w:t>
          </w:r>
          <w:proofErr w:type="spellStart"/>
          <w:r w:rsidR="00BE1EA0"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 w:rsidR="00BE1EA0">
            <w:rPr>
              <w:color w:val="4F81BD" w:themeColor="accent1"/>
              <w:sz w:val="20"/>
              <w:szCs w:val="18"/>
            </w:rPr>
            <w:t xml:space="preserve"> району Ряз</w:t>
          </w:r>
          <w:r w:rsidR="00DC2E1D" w:rsidRPr="00022D7A">
            <w:rPr>
              <w:color w:val="4F81BD" w:themeColor="accent1"/>
              <w:sz w:val="20"/>
              <w:szCs w:val="18"/>
            </w:rPr>
            <w:t xml:space="preserve">анской области </w:t>
          </w:r>
        </w:p>
        <w:p w:rsidR="00942CC4" w:rsidRPr="00DC2E1D" w:rsidRDefault="00844336" w:rsidP="00BE1EA0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</w:t>
          </w:r>
          <w:r w:rsidR="00BE1EA0">
            <w:rPr>
              <w:color w:val="4F81BD" w:themeColor="accent1"/>
              <w:sz w:val="24"/>
              <w:szCs w:val="18"/>
            </w:rPr>
            <w:t>8</w:t>
          </w:r>
          <w:bookmarkStart w:id="0" w:name="_GoBack"/>
          <w:bookmarkEnd w:id="0"/>
          <w:r w:rsidR="007919E2">
            <w:rPr>
              <w:color w:val="4F81BD" w:themeColor="accent1"/>
              <w:sz w:val="24"/>
              <w:szCs w:val="18"/>
            </w:rPr>
            <w:t xml:space="preserve"> </w:t>
          </w:r>
          <w:r w:rsidR="00A73C79">
            <w:rPr>
              <w:color w:val="4F81BD" w:themeColor="accent1"/>
              <w:sz w:val="24"/>
              <w:szCs w:val="18"/>
            </w:rPr>
            <w:t>мая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A8" w:rsidRDefault="00B312A8">
      <w:pPr>
        <w:spacing w:after="0" w:line="240" w:lineRule="auto"/>
      </w:pPr>
      <w:r>
        <w:separator/>
      </w:r>
    </w:p>
  </w:footnote>
  <w:footnote w:type="continuationSeparator" w:id="0">
    <w:p w:rsidR="00B312A8" w:rsidRDefault="00B3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A0" w:rsidRDefault="00BE1E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A602BE"/>
    <w:multiLevelType w:val="multilevel"/>
    <w:tmpl w:val="BDA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28F8"/>
    <w:multiLevelType w:val="multilevel"/>
    <w:tmpl w:val="FC1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330C2"/>
    <w:multiLevelType w:val="multilevel"/>
    <w:tmpl w:val="774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8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1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2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31"/>
  </w:num>
  <w:num w:numId="13">
    <w:abstractNumId w:val="24"/>
  </w:num>
  <w:num w:numId="14">
    <w:abstractNumId w:val="18"/>
  </w:num>
  <w:num w:numId="15">
    <w:abstractNumId w:val="30"/>
  </w:num>
  <w:num w:numId="16">
    <w:abstractNumId w:val="21"/>
  </w:num>
  <w:num w:numId="17">
    <w:abstractNumId w:val="11"/>
  </w:num>
  <w:num w:numId="18">
    <w:abstractNumId w:val="32"/>
  </w:num>
  <w:num w:numId="19">
    <w:abstractNumId w:val="3"/>
  </w:num>
  <w:num w:numId="20">
    <w:abstractNumId w:val="4"/>
  </w:num>
  <w:num w:numId="21">
    <w:abstractNumId w:val="27"/>
  </w:num>
  <w:num w:numId="22">
    <w:abstractNumId w:val="10"/>
  </w:num>
  <w:num w:numId="23">
    <w:abstractNumId w:val="26"/>
  </w:num>
  <w:num w:numId="24">
    <w:abstractNumId w:val="16"/>
  </w:num>
  <w:num w:numId="25">
    <w:abstractNumId w:val="6"/>
  </w:num>
  <w:num w:numId="26">
    <w:abstractNumId w:val="19"/>
  </w:num>
  <w:num w:numId="27">
    <w:abstractNumId w:val="20"/>
  </w:num>
  <w:num w:numId="28">
    <w:abstractNumId w:val="0"/>
  </w:num>
  <w:num w:numId="29">
    <w:abstractNumId w:val="25"/>
  </w:num>
  <w:num w:numId="30">
    <w:abstractNumId w:val="12"/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2DA"/>
    <w:rsid w:val="00005851"/>
    <w:rsid w:val="00005E50"/>
    <w:rsid w:val="00011FF2"/>
    <w:rsid w:val="0002156D"/>
    <w:rsid w:val="00022CCE"/>
    <w:rsid w:val="00022D7A"/>
    <w:rsid w:val="00023F30"/>
    <w:rsid w:val="00030747"/>
    <w:rsid w:val="00030B8D"/>
    <w:rsid w:val="000355A5"/>
    <w:rsid w:val="00037ED3"/>
    <w:rsid w:val="00040BC0"/>
    <w:rsid w:val="00047712"/>
    <w:rsid w:val="0005099F"/>
    <w:rsid w:val="000559F7"/>
    <w:rsid w:val="00064037"/>
    <w:rsid w:val="0006422D"/>
    <w:rsid w:val="00067E52"/>
    <w:rsid w:val="00070619"/>
    <w:rsid w:val="0007619B"/>
    <w:rsid w:val="000762A9"/>
    <w:rsid w:val="0007675B"/>
    <w:rsid w:val="00081198"/>
    <w:rsid w:val="00092591"/>
    <w:rsid w:val="00092E9C"/>
    <w:rsid w:val="00092F60"/>
    <w:rsid w:val="0009415C"/>
    <w:rsid w:val="00096BDC"/>
    <w:rsid w:val="000A0226"/>
    <w:rsid w:val="000A6E92"/>
    <w:rsid w:val="000A73A9"/>
    <w:rsid w:val="000B045A"/>
    <w:rsid w:val="000B208A"/>
    <w:rsid w:val="000B3938"/>
    <w:rsid w:val="000B57F1"/>
    <w:rsid w:val="000B5948"/>
    <w:rsid w:val="000B5E82"/>
    <w:rsid w:val="000C0E7F"/>
    <w:rsid w:val="000C1621"/>
    <w:rsid w:val="000C5DA3"/>
    <w:rsid w:val="000D545A"/>
    <w:rsid w:val="000E11FB"/>
    <w:rsid w:val="000E48B1"/>
    <w:rsid w:val="000F17D6"/>
    <w:rsid w:val="00101936"/>
    <w:rsid w:val="00105BF4"/>
    <w:rsid w:val="0010707F"/>
    <w:rsid w:val="001102D8"/>
    <w:rsid w:val="00113B77"/>
    <w:rsid w:val="00124C89"/>
    <w:rsid w:val="00125CC9"/>
    <w:rsid w:val="00126995"/>
    <w:rsid w:val="0013406D"/>
    <w:rsid w:val="001376F7"/>
    <w:rsid w:val="00143908"/>
    <w:rsid w:val="00150DBD"/>
    <w:rsid w:val="001542B4"/>
    <w:rsid w:val="00155660"/>
    <w:rsid w:val="00156F85"/>
    <w:rsid w:val="00161B5B"/>
    <w:rsid w:val="0016461E"/>
    <w:rsid w:val="0016565E"/>
    <w:rsid w:val="00170980"/>
    <w:rsid w:val="0017509F"/>
    <w:rsid w:val="00175141"/>
    <w:rsid w:val="00176301"/>
    <w:rsid w:val="00184AF6"/>
    <w:rsid w:val="00186B27"/>
    <w:rsid w:val="00191D1D"/>
    <w:rsid w:val="00193B5E"/>
    <w:rsid w:val="001A2F66"/>
    <w:rsid w:val="001A6615"/>
    <w:rsid w:val="001A72F0"/>
    <w:rsid w:val="001B0339"/>
    <w:rsid w:val="001B08CE"/>
    <w:rsid w:val="001B5E56"/>
    <w:rsid w:val="001B67DB"/>
    <w:rsid w:val="001C561C"/>
    <w:rsid w:val="001D0B08"/>
    <w:rsid w:val="001D627C"/>
    <w:rsid w:val="001D667B"/>
    <w:rsid w:val="001D68BB"/>
    <w:rsid w:val="001D7235"/>
    <w:rsid w:val="001E06E0"/>
    <w:rsid w:val="001E2DDD"/>
    <w:rsid w:val="001F10CE"/>
    <w:rsid w:val="001F2451"/>
    <w:rsid w:val="0020191C"/>
    <w:rsid w:val="0020364D"/>
    <w:rsid w:val="00210F90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D5C"/>
    <w:rsid w:val="002572DB"/>
    <w:rsid w:val="002662CC"/>
    <w:rsid w:val="002765C3"/>
    <w:rsid w:val="00277003"/>
    <w:rsid w:val="002844F9"/>
    <w:rsid w:val="002920F4"/>
    <w:rsid w:val="00293C42"/>
    <w:rsid w:val="00293E58"/>
    <w:rsid w:val="00294E7B"/>
    <w:rsid w:val="00295B72"/>
    <w:rsid w:val="00295F7C"/>
    <w:rsid w:val="002A1F1F"/>
    <w:rsid w:val="002A28DC"/>
    <w:rsid w:val="002A3109"/>
    <w:rsid w:val="002A3543"/>
    <w:rsid w:val="002A6F8D"/>
    <w:rsid w:val="002A7217"/>
    <w:rsid w:val="002B56DD"/>
    <w:rsid w:val="002B6A17"/>
    <w:rsid w:val="002B73BD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2F7820"/>
    <w:rsid w:val="00305833"/>
    <w:rsid w:val="00305A6F"/>
    <w:rsid w:val="00306AFC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67D9"/>
    <w:rsid w:val="003A7656"/>
    <w:rsid w:val="003A7AF4"/>
    <w:rsid w:val="003B195C"/>
    <w:rsid w:val="003B4BB7"/>
    <w:rsid w:val="003C08D7"/>
    <w:rsid w:val="003C3AD1"/>
    <w:rsid w:val="003C4065"/>
    <w:rsid w:val="003D184C"/>
    <w:rsid w:val="003D26C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10BA9"/>
    <w:rsid w:val="00427D6A"/>
    <w:rsid w:val="004306DB"/>
    <w:rsid w:val="004327CA"/>
    <w:rsid w:val="00461E5F"/>
    <w:rsid w:val="0046422C"/>
    <w:rsid w:val="00464B7D"/>
    <w:rsid w:val="004837FE"/>
    <w:rsid w:val="00484E0B"/>
    <w:rsid w:val="004963EF"/>
    <w:rsid w:val="00496F58"/>
    <w:rsid w:val="004A09A5"/>
    <w:rsid w:val="004B2808"/>
    <w:rsid w:val="004B724B"/>
    <w:rsid w:val="004C00CB"/>
    <w:rsid w:val="004C6F11"/>
    <w:rsid w:val="004D035A"/>
    <w:rsid w:val="004D0DA1"/>
    <w:rsid w:val="004E10EE"/>
    <w:rsid w:val="004E7A59"/>
    <w:rsid w:val="004F478C"/>
    <w:rsid w:val="004F5F16"/>
    <w:rsid w:val="004F643A"/>
    <w:rsid w:val="004F67C6"/>
    <w:rsid w:val="004F69CE"/>
    <w:rsid w:val="004F7460"/>
    <w:rsid w:val="00504313"/>
    <w:rsid w:val="005046CF"/>
    <w:rsid w:val="00510C75"/>
    <w:rsid w:val="00512C27"/>
    <w:rsid w:val="00523B03"/>
    <w:rsid w:val="00525F7D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2D4"/>
    <w:rsid w:val="00586E1D"/>
    <w:rsid w:val="00593CD8"/>
    <w:rsid w:val="005A0007"/>
    <w:rsid w:val="005A69F1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45E2"/>
    <w:rsid w:val="00605F4E"/>
    <w:rsid w:val="00610C09"/>
    <w:rsid w:val="00617DE5"/>
    <w:rsid w:val="006244FB"/>
    <w:rsid w:val="00637603"/>
    <w:rsid w:val="0064340B"/>
    <w:rsid w:val="00646BA0"/>
    <w:rsid w:val="0066052C"/>
    <w:rsid w:val="00663116"/>
    <w:rsid w:val="006640A8"/>
    <w:rsid w:val="00670705"/>
    <w:rsid w:val="00670950"/>
    <w:rsid w:val="00671DF9"/>
    <w:rsid w:val="00674E9F"/>
    <w:rsid w:val="00680A6E"/>
    <w:rsid w:val="00682848"/>
    <w:rsid w:val="0068342F"/>
    <w:rsid w:val="0068678F"/>
    <w:rsid w:val="00692D15"/>
    <w:rsid w:val="00693070"/>
    <w:rsid w:val="006953E7"/>
    <w:rsid w:val="006A3C37"/>
    <w:rsid w:val="006A7BB1"/>
    <w:rsid w:val="006A7F61"/>
    <w:rsid w:val="006B0C4B"/>
    <w:rsid w:val="006C06C8"/>
    <w:rsid w:val="006C2FF5"/>
    <w:rsid w:val="006C7F3D"/>
    <w:rsid w:val="006D1322"/>
    <w:rsid w:val="006D22D9"/>
    <w:rsid w:val="006D30FC"/>
    <w:rsid w:val="006D4C62"/>
    <w:rsid w:val="006D52FF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611C"/>
    <w:rsid w:val="00782441"/>
    <w:rsid w:val="007837F5"/>
    <w:rsid w:val="00790ACD"/>
    <w:rsid w:val="007919E2"/>
    <w:rsid w:val="00793443"/>
    <w:rsid w:val="007962FC"/>
    <w:rsid w:val="007A4EA2"/>
    <w:rsid w:val="007A7912"/>
    <w:rsid w:val="007B0DEF"/>
    <w:rsid w:val="007B49E8"/>
    <w:rsid w:val="007B533C"/>
    <w:rsid w:val="007C1045"/>
    <w:rsid w:val="007D26FC"/>
    <w:rsid w:val="007D59D3"/>
    <w:rsid w:val="007D730F"/>
    <w:rsid w:val="007E23C5"/>
    <w:rsid w:val="007E53D5"/>
    <w:rsid w:val="007E7D22"/>
    <w:rsid w:val="007F0E36"/>
    <w:rsid w:val="0080036B"/>
    <w:rsid w:val="00800C7D"/>
    <w:rsid w:val="00803677"/>
    <w:rsid w:val="0080492E"/>
    <w:rsid w:val="008073DA"/>
    <w:rsid w:val="00807FD5"/>
    <w:rsid w:val="00813528"/>
    <w:rsid w:val="00817564"/>
    <w:rsid w:val="00820AF9"/>
    <w:rsid w:val="00823DAC"/>
    <w:rsid w:val="00825172"/>
    <w:rsid w:val="0082670F"/>
    <w:rsid w:val="00831726"/>
    <w:rsid w:val="00835D43"/>
    <w:rsid w:val="00835F9E"/>
    <w:rsid w:val="008402AE"/>
    <w:rsid w:val="00844336"/>
    <w:rsid w:val="00846157"/>
    <w:rsid w:val="00855D63"/>
    <w:rsid w:val="00863CB2"/>
    <w:rsid w:val="00863DBD"/>
    <w:rsid w:val="00865702"/>
    <w:rsid w:val="008701CA"/>
    <w:rsid w:val="008800FB"/>
    <w:rsid w:val="00886ABD"/>
    <w:rsid w:val="00890C87"/>
    <w:rsid w:val="008A0275"/>
    <w:rsid w:val="008A19BC"/>
    <w:rsid w:val="008B694A"/>
    <w:rsid w:val="008C4C2A"/>
    <w:rsid w:val="008C72BC"/>
    <w:rsid w:val="008D123E"/>
    <w:rsid w:val="008E3F1D"/>
    <w:rsid w:val="008F152F"/>
    <w:rsid w:val="009114CC"/>
    <w:rsid w:val="00924380"/>
    <w:rsid w:val="00924780"/>
    <w:rsid w:val="009305CD"/>
    <w:rsid w:val="009421B0"/>
    <w:rsid w:val="00942CC4"/>
    <w:rsid w:val="00942D2A"/>
    <w:rsid w:val="009507CD"/>
    <w:rsid w:val="0095540B"/>
    <w:rsid w:val="00957F29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B63B2"/>
    <w:rsid w:val="009C2797"/>
    <w:rsid w:val="009C3251"/>
    <w:rsid w:val="009D596F"/>
    <w:rsid w:val="009E287A"/>
    <w:rsid w:val="00A0052D"/>
    <w:rsid w:val="00A007E3"/>
    <w:rsid w:val="00A12D6D"/>
    <w:rsid w:val="00A143F1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6395A"/>
    <w:rsid w:val="00A72555"/>
    <w:rsid w:val="00A73C79"/>
    <w:rsid w:val="00A74EA5"/>
    <w:rsid w:val="00A85004"/>
    <w:rsid w:val="00A85E3C"/>
    <w:rsid w:val="00A86F38"/>
    <w:rsid w:val="00A9274D"/>
    <w:rsid w:val="00A974D8"/>
    <w:rsid w:val="00AA0D2E"/>
    <w:rsid w:val="00AA1258"/>
    <w:rsid w:val="00AB1F9B"/>
    <w:rsid w:val="00AC6108"/>
    <w:rsid w:val="00AD4EF1"/>
    <w:rsid w:val="00AE4BD6"/>
    <w:rsid w:val="00AE6CCD"/>
    <w:rsid w:val="00AE70F4"/>
    <w:rsid w:val="00AF0A6E"/>
    <w:rsid w:val="00AF4945"/>
    <w:rsid w:val="00AF52CC"/>
    <w:rsid w:val="00AF6973"/>
    <w:rsid w:val="00AF7FA0"/>
    <w:rsid w:val="00B02BB7"/>
    <w:rsid w:val="00B13D28"/>
    <w:rsid w:val="00B25020"/>
    <w:rsid w:val="00B312A8"/>
    <w:rsid w:val="00B315A9"/>
    <w:rsid w:val="00B346FB"/>
    <w:rsid w:val="00B3486A"/>
    <w:rsid w:val="00B41985"/>
    <w:rsid w:val="00B43515"/>
    <w:rsid w:val="00B4751C"/>
    <w:rsid w:val="00B52F4F"/>
    <w:rsid w:val="00B60F07"/>
    <w:rsid w:val="00B61BEA"/>
    <w:rsid w:val="00B62CA4"/>
    <w:rsid w:val="00B706C3"/>
    <w:rsid w:val="00B80F09"/>
    <w:rsid w:val="00B8358B"/>
    <w:rsid w:val="00B9146B"/>
    <w:rsid w:val="00B94289"/>
    <w:rsid w:val="00B95834"/>
    <w:rsid w:val="00BA3BE7"/>
    <w:rsid w:val="00BB0AA6"/>
    <w:rsid w:val="00BB7350"/>
    <w:rsid w:val="00BC1BF2"/>
    <w:rsid w:val="00BC68F0"/>
    <w:rsid w:val="00BD6B40"/>
    <w:rsid w:val="00BE1817"/>
    <w:rsid w:val="00BE1EA0"/>
    <w:rsid w:val="00BF2040"/>
    <w:rsid w:val="00BF3D3F"/>
    <w:rsid w:val="00BF3E4F"/>
    <w:rsid w:val="00BF5E0C"/>
    <w:rsid w:val="00BF6F38"/>
    <w:rsid w:val="00C0019F"/>
    <w:rsid w:val="00C0488A"/>
    <w:rsid w:val="00C05A85"/>
    <w:rsid w:val="00C142B2"/>
    <w:rsid w:val="00C150DE"/>
    <w:rsid w:val="00C2114E"/>
    <w:rsid w:val="00C21F99"/>
    <w:rsid w:val="00C2536E"/>
    <w:rsid w:val="00C27BDC"/>
    <w:rsid w:val="00C301AC"/>
    <w:rsid w:val="00C36044"/>
    <w:rsid w:val="00C41B59"/>
    <w:rsid w:val="00C45CEB"/>
    <w:rsid w:val="00C46940"/>
    <w:rsid w:val="00C50980"/>
    <w:rsid w:val="00C5369D"/>
    <w:rsid w:val="00C5490E"/>
    <w:rsid w:val="00C55E81"/>
    <w:rsid w:val="00C5713D"/>
    <w:rsid w:val="00C57EB3"/>
    <w:rsid w:val="00C6491C"/>
    <w:rsid w:val="00C66818"/>
    <w:rsid w:val="00C70E00"/>
    <w:rsid w:val="00C72B61"/>
    <w:rsid w:val="00C74618"/>
    <w:rsid w:val="00C8445D"/>
    <w:rsid w:val="00C920CE"/>
    <w:rsid w:val="00C933AE"/>
    <w:rsid w:val="00CA2F43"/>
    <w:rsid w:val="00CA498E"/>
    <w:rsid w:val="00CA7288"/>
    <w:rsid w:val="00CB0CE9"/>
    <w:rsid w:val="00CB0D2F"/>
    <w:rsid w:val="00CB5435"/>
    <w:rsid w:val="00CB576E"/>
    <w:rsid w:val="00CC02B4"/>
    <w:rsid w:val="00CC1AC6"/>
    <w:rsid w:val="00CC68D0"/>
    <w:rsid w:val="00CC75C3"/>
    <w:rsid w:val="00CD0286"/>
    <w:rsid w:val="00CD1961"/>
    <w:rsid w:val="00CD28CB"/>
    <w:rsid w:val="00CD3B60"/>
    <w:rsid w:val="00CD40D1"/>
    <w:rsid w:val="00CD557A"/>
    <w:rsid w:val="00CE2105"/>
    <w:rsid w:val="00CE28E9"/>
    <w:rsid w:val="00CE4036"/>
    <w:rsid w:val="00CE5A26"/>
    <w:rsid w:val="00CF0C6D"/>
    <w:rsid w:val="00CF0ED4"/>
    <w:rsid w:val="00CF3A26"/>
    <w:rsid w:val="00D028F8"/>
    <w:rsid w:val="00D07D59"/>
    <w:rsid w:val="00D1255E"/>
    <w:rsid w:val="00D15C7F"/>
    <w:rsid w:val="00D212D0"/>
    <w:rsid w:val="00D24490"/>
    <w:rsid w:val="00D34174"/>
    <w:rsid w:val="00D34E54"/>
    <w:rsid w:val="00D35BEF"/>
    <w:rsid w:val="00D3652A"/>
    <w:rsid w:val="00D41097"/>
    <w:rsid w:val="00D4154D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B5AA7"/>
    <w:rsid w:val="00DC206B"/>
    <w:rsid w:val="00DC2E1D"/>
    <w:rsid w:val="00DC77D7"/>
    <w:rsid w:val="00DE0DB0"/>
    <w:rsid w:val="00E00449"/>
    <w:rsid w:val="00E03230"/>
    <w:rsid w:val="00E042B6"/>
    <w:rsid w:val="00E04BA6"/>
    <w:rsid w:val="00E051B1"/>
    <w:rsid w:val="00E05E27"/>
    <w:rsid w:val="00E17B9E"/>
    <w:rsid w:val="00E21AEE"/>
    <w:rsid w:val="00E2309D"/>
    <w:rsid w:val="00E31D86"/>
    <w:rsid w:val="00E3299C"/>
    <w:rsid w:val="00E36296"/>
    <w:rsid w:val="00E4120A"/>
    <w:rsid w:val="00E45942"/>
    <w:rsid w:val="00E5334E"/>
    <w:rsid w:val="00E53A8F"/>
    <w:rsid w:val="00E5478C"/>
    <w:rsid w:val="00E5504C"/>
    <w:rsid w:val="00E63A00"/>
    <w:rsid w:val="00E7286A"/>
    <w:rsid w:val="00E73876"/>
    <w:rsid w:val="00E76F64"/>
    <w:rsid w:val="00E77DEA"/>
    <w:rsid w:val="00E87917"/>
    <w:rsid w:val="00E91741"/>
    <w:rsid w:val="00EA3DB8"/>
    <w:rsid w:val="00EB052A"/>
    <w:rsid w:val="00EB0B5F"/>
    <w:rsid w:val="00EB2008"/>
    <w:rsid w:val="00EB2373"/>
    <w:rsid w:val="00EB28D4"/>
    <w:rsid w:val="00EB5C8F"/>
    <w:rsid w:val="00EB7C32"/>
    <w:rsid w:val="00EC05F1"/>
    <w:rsid w:val="00EC0A74"/>
    <w:rsid w:val="00EC5DB8"/>
    <w:rsid w:val="00EC6905"/>
    <w:rsid w:val="00EE009B"/>
    <w:rsid w:val="00EE0902"/>
    <w:rsid w:val="00EE353E"/>
    <w:rsid w:val="00EE6F48"/>
    <w:rsid w:val="00EF1297"/>
    <w:rsid w:val="00F01764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451E"/>
    <w:rsid w:val="00F573F3"/>
    <w:rsid w:val="00F6254C"/>
    <w:rsid w:val="00F65F8D"/>
    <w:rsid w:val="00F77385"/>
    <w:rsid w:val="00F832B1"/>
    <w:rsid w:val="00F833CB"/>
    <w:rsid w:val="00F83D68"/>
    <w:rsid w:val="00F902C8"/>
    <w:rsid w:val="00F90410"/>
    <w:rsid w:val="00F94BF1"/>
    <w:rsid w:val="00F97492"/>
    <w:rsid w:val="00F978AD"/>
    <w:rsid w:val="00FA2148"/>
    <w:rsid w:val="00FB26B7"/>
    <w:rsid w:val="00FB42DC"/>
    <w:rsid w:val="00FB514D"/>
    <w:rsid w:val="00FD1F4D"/>
    <w:rsid w:val="00FD566B"/>
    <w:rsid w:val="00FE4F88"/>
    <w:rsid w:val="00FF0335"/>
    <w:rsid w:val="00FF1C3F"/>
    <w:rsid w:val="00FF418E"/>
    <w:rsid w:val="00FF501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table" w:styleId="af1">
    <w:name w:val="Table Grid"/>
    <w:basedOn w:val="a1"/>
    <w:uiPriority w:val="59"/>
    <w:locked/>
    <w:rsid w:val="00F978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table" w:styleId="af1">
    <w:name w:val="Table Grid"/>
    <w:basedOn w:val="a1"/>
    <w:uiPriority w:val="59"/>
    <w:locked/>
    <w:rsid w:val="00F978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5/17/13595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24979-EF80-4C01-A824-E32770B5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378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6</cp:revision>
  <cp:lastPrinted>2017-05-17T09:08:00Z</cp:lastPrinted>
  <dcterms:created xsi:type="dcterms:W3CDTF">2017-05-17T09:05:00Z</dcterms:created>
  <dcterms:modified xsi:type="dcterms:W3CDTF">2017-05-18T07:23:00Z</dcterms:modified>
</cp:coreProperties>
</file>