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8C1935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DF12A2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DF12A2">
        <w:rPr>
          <w:rFonts w:ascii="Times New Roman" w:hAnsi="Times New Roman" w:cs="Times New Roman"/>
          <w:sz w:val="28"/>
          <w:szCs w:val="28"/>
        </w:rPr>
        <w:t xml:space="preserve">Общедоступный </w:t>
      </w:r>
      <w:hyperlink r:id="rId6" w:history="1">
        <w:r w:rsidRPr="00DF12A2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 w:rsidR="00DF12A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F12A2">
        <w:rPr>
          <w:rFonts w:ascii="Times New Roman" w:hAnsi="Times New Roman" w:cs="Times New Roman"/>
          <w:sz w:val="28"/>
          <w:szCs w:val="28"/>
        </w:rPr>
        <w:t xml:space="preserve">Реестр кадастровых инженеров», поможет выбрать лучшего специалиста. В реестре содержится информация о количестве решений о приостановлении и </w:t>
      </w:r>
      <w:r w:rsidRPr="00DF12A2">
        <w:rPr>
          <w:rFonts w:ascii="Times New Roman" w:hAnsi="Times New Roman" w:cs="Times New Roman"/>
          <w:sz w:val="28"/>
          <w:szCs w:val="28"/>
        </w:rPr>
        <w:lastRenderedPageBreak/>
        <w:t>отказах в проведении кадастрового учета, принятых органом регистрации прав по вине кадастрового инженера</w:t>
      </w:r>
      <w:r w:rsidRPr="00DF12A2">
        <w:rPr>
          <w:rFonts w:ascii="Times New Roman" w:hAnsi="Times New Roman" w:cs="Times New Roman"/>
          <w:b/>
          <w:sz w:val="28"/>
          <w:szCs w:val="28"/>
        </w:rPr>
        <w:t>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2A2">
        <w:rPr>
          <w:rFonts w:ascii="Times New Roman" w:hAnsi="Times New Roman" w:cs="Times New Roman"/>
          <w:sz w:val="28"/>
          <w:szCs w:val="28"/>
        </w:rPr>
        <w:t>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</w:t>
      </w:r>
      <w:r w:rsidRPr="00DF12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DF12A2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DF12A2">
        <w:rPr>
          <w:rFonts w:ascii="Times New Roman" w:hAnsi="Times New Roman" w:cs="Times New Roman"/>
          <w:sz w:val="28"/>
          <w:szCs w:val="28"/>
        </w:rPr>
        <w:t xml:space="preserve">Добавить почтовый или электронный адрес в ЕГРН стоит каждому правообладателю.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DF12A2">
        <w:rPr>
          <w:rFonts w:ascii="Times New Roman" w:hAnsi="Times New Roman" w:cs="Times New Roman"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Pr="003834C9">
        <w:rPr>
          <w:rFonts w:ascii="Times New Roman" w:hAnsi="Times New Roman" w:cs="Times New Roman"/>
          <w:b/>
          <w:sz w:val="28"/>
          <w:szCs w:val="28"/>
        </w:rPr>
        <w:t>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Sect="0010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07210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7F099C"/>
    <w:rsid w:val="008C1935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DF12A2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elena.dukova</cp:lastModifiedBy>
  <cp:revision>4</cp:revision>
  <dcterms:created xsi:type="dcterms:W3CDTF">2019-08-28T11:25:00Z</dcterms:created>
  <dcterms:modified xsi:type="dcterms:W3CDTF">2019-08-28T11:31:00Z</dcterms:modified>
</cp:coreProperties>
</file>