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97" w:rsidRPr="00AA0E20" w:rsidRDefault="00F75897" w:rsidP="00F75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20">
        <w:rPr>
          <w:rFonts w:ascii="Times New Roman" w:hAnsi="Times New Roman" w:cs="Times New Roman"/>
          <w:b/>
          <w:bCs/>
          <w:sz w:val="28"/>
          <w:szCs w:val="28"/>
        </w:rPr>
        <w:t>Ежегодное инвестиционное послание</w:t>
      </w:r>
    </w:p>
    <w:p w:rsidR="00F75897" w:rsidRPr="00AA0E20" w:rsidRDefault="00F75897" w:rsidP="00F75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A0E20">
        <w:rPr>
          <w:rFonts w:ascii="Times New Roman" w:hAnsi="Times New Roman" w:cs="Times New Roman"/>
          <w:b/>
          <w:bCs/>
          <w:sz w:val="28"/>
          <w:szCs w:val="28"/>
        </w:rPr>
        <w:t>лавы администрации  муниципального образования –</w:t>
      </w:r>
    </w:p>
    <w:p w:rsidR="00F75897" w:rsidRPr="00AA0E20" w:rsidRDefault="00F75897" w:rsidP="00F75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20">
        <w:rPr>
          <w:rFonts w:ascii="Times New Roman" w:hAnsi="Times New Roman" w:cs="Times New Roman"/>
          <w:b/>
          <w:bCs/>
          <w:sz w:val="28"/>
          <w:szCs w:val="28"/>
        </w:rPr>
        <w:t>городской округ город Касимов</w:t>
      </w:r>
    </w:p>
    <w:p w:rsidR="00F75897" w:rsidRPr="00AA0E20" w:rsidRDefault="00F75897" w:rsidP="00F75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20">
        <w:rPr>
          <w:rFonts w:ascii="Times New Roman" w:hAnsi="Times New Roman" w:cs="Times New Roman"/>
          <w:b/>
          <w:bCs/>
          <w:sz w:val="28"/>
          <w:szCs w:val="28"/>
        </w:rPr>
        <w:t>«Инвестиционный климат и инвестиционная политика</w:t>
      </w:r>
    </w:p>
    <w:p w:rsidR="00F75897" w:rsidRPr="00AA0E20" w:rsidRDefault="00F75897" w:rsidP="00F75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2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городской округ город Касимов»</w:t>
      </w:r>
    </w:p>
    <w:p w:rsidR="00590D6B" w:rsidRPr="00590D6B" w:rsidRDefault="00590D6B" w:rsidP="00590D6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D6B" w:rsidRPr="00590D6B" w:rsidRDefault="00590D6B" w:rsidP="00590D6B">
      <w:pPr>
        <w:pStyle w:val="Default"/>
        <w:shd w:val="clear" w:color="auto" w:fill="FFFFFF" w:themeFill="background1"/>
        <w:rPr>
          <w:sz w:val="28"/>
          <w:szCs w:val="28"/>
        </w:rPr>
      </w:pPr>
    </w:p>
    <w:p w:rsidR="00590D6B" w:rsidRPr="00590D6B" w:rsidRDefault="00590D6B" w:rsidP="00590D6B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90D6B">
        <w:rPr>
          <w:sz w:val="28"/>
          <w:szCs w:val="28"/>
        </w:rPr>
        <w:t xml:space="preserve">Все мы прекрасно понимаем, что любое инвестиционное вливание в экономику города – это создание новых рабочих мест, стабильный доход для граждан, уверенность в «завтрашнем дне», пополнение бюджета. </w:t>
      </w:r>
    </w:p>
    <w:p w:rsidR="00590D6B" w:rsidRPr="00590D6B" w:rsidRDefault="00590D6B" w:rsidP="00590D6B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90D6B">
        <w:rPr>
          <w:sz w:val="28"/>
          <w:szCs w:val="28"/>
        </w:rPr>
        <w:t xml:space="preserve">Цель послания – информирование участников инвестиционного процесса о достигнутых результатах инвестиционной деятельности, проводимой в городе инвестиционной политики, планируемых мероприятиях и задачах, поставленных перед Администрацией города в этом направлении на 2018 год. </w:t>
      </w:r>
    </w:p>
    <w:p w:rsidR="00590D6B" w:rsidRPr="00590D6B" w:rsidRDefault="00590D6B" w:rsidP="00590D6B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90D6B">
        <w:rPr>
          <w:sz w:val="28"/>
          <w:szCs w:val="28"/>
        </w:rPr>
        <w:t>В настоящее время привлечение инвестиций - одна из самых актуальных тем на федеральном, региональном и муниципальном уровнях. И когда поднимается вопрос об увеличении объѐмов инвестиций в экономику какого-либо региона, речь идѐт о привлечении инвесторов на площадку конкретного муниципального образования. Поэтому именно от органов местного самоуправления зависит, насколько хорошо выстроена система поддержки инвестиционной деятельности.</w:t>
      </w:r>
    </w:p>
    <w:p w:rsidR="00590D6B" w:rsidRPr="00590D6B" w:rsidRDefault="00590D6B" w:rsidP="00590D6B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90D6B">
        <w:rPr>
          <w:sz w:val="28"/>
          <w:szCs w:val="28"/>
        </w:rPr>
        <w:t xml:space="preserve">Итак, несколько слов о сложившейся на территории города инвестиционной ситуации и достигнутых в 2017  году результатах. 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Объем инвестиций в основной капитал, </w:t>
      </w:r>
      <w:r w:rsidRPr="00590D6B">
        <w:rPr>
          <w:rFonts w:ascii="Times New Roman" w:hAnsi="Times New Roman" w:cs="Times New Roman"/>
          <w:sz w:val="28"/>
          <w:szCs w:val="28"/>
        </w:rPr>
        <w:t>осуществленных крупными и средними предприятиями на территории города,</w:t>
      </w: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в 2017 году составил 150,6 млн</w:t>
      </w:r>
      <w:proofErr w:type="gram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.р</w:t>
      </w:r>
      <w:proofErr w:type="gramEnd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уб. Указанная сумма   меньше уровня аналогичного периода 2016 года больше чем в 2 раза. Данное снижение обусловлено завершением бюджетного финансирования  муниципальной программы по переселению из аварийного жилого фонда. Так, доля бюджетных средств в общем объеме инвестиций в 2017 году составила лишь 12% или 18,1 млн. рублей, тогда как за аналогичный период  2016 года  доля инвестиций за счет бюджетных источников составляла  более 40% или 139,1 млн. рублей.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Следует  отметить, что основная доля инвестиций (86,5%)  была направлена предприятиями на  приобретение оборудования, тогда как в  2016 году на эти цели было направлено чуть более 50%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- 9,3% от общей суммы инвестиций  направлено на строительство и реконструкцию зданий и сооружений  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- 4% направлены на прочие цели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В прошедшем году на территории муниципального образования в стадии реализации находились 24 инвестиционных проекта, с общим объемом инвестиций 3,535 млрд. руб., в т.ч. бюджетные 20,3 млн. руб. или 0,6%.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Из них: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lastRenderedPageBreak/>
        <w:t>- объекты производственного назначения – 5 инвестиционных проектов (</w:t>
      </w:r>
      <w:r w:rsidRPr="00590D6B">
        <w:rPr>
          <w:rFonts w:ascii="Times New Roman" w:hAnsi="Times New Roman" w:cs="Times New Roman"/>
          <w:bCs/>
          <w:i/>
          <w:sz w:val="28"/>
          <w:szCs w:val="28"/>
          <w:lang w:eastAsia="hi-IN" w:bidi="hi-IN"/>
        </w:rPr>
        <w:t xml:space="preserve">реконструкция  инженерных сетей и производственных цехов ОАО «Порт «Коломна», реконструкция объекта культурного наследия «Дом </w:t>
      </w:r>
      <w:proofErr w:type="spellStart"/>
      <w:r w:rsidRPr="00590D6B">
        <w:rPr>
          <w:rFonts w:ascii="Times New Roman" w:hAnsi="Times New Roman" w:cs="Times New Roman"/>
          <w:bCs/>
          <w:i/>
          <w:sz w:val="28"/>
          <w:szCs w:val="28"/>
          <w:lang w:eastAsia="hi-IN" w:bidi="hi-IN"/>
        </w:rPr>
        <w:t>Кострова</w:t>
      </w:r>
      <w:proofErr w:type="spellEnd"/>
      <w:r w:rsidRPr="00590D6B">
        <w:rPr>
          <w:rFonts w:ascii="Times New Roman" w:hAnsi="Times New Roman" w:cs="Times New Roman"/>
          <w:bCs/>
          <w:i/>
          <w:sz w:val="28"/>
          <w:szCs w:val="28"/>
          <w:lang w:eastAsia="hi-IN" w:bidi="hi-IN"/>
        </w:rPr>
        <w:t>» под гостиничный комплекс, создание инновационного автоматизированного промышленного тепличного комплекса, реконструкция производственных корпусов ЗАО «</w:t>
      </w:r>
      <w:proofErr w:type="spellStart"/>
      <w:r w:rsidRPr="00590D6B">
        <w:rPr>
          <w:rFonts w:ascii="Times New Roman" w:hAnsi="Times New Roman" w:cs="Times New Roman"/>
          <w:bCs/>
          <w:i/>
          <w:sz w:val="28"/>
          <w:szCs w:val="28"/>
          <w:lang w:eastAsia="hi-IN" w:bidi="hi-IN"/>
        </w:rPr>
        <w:t>Касимовская</w:t>
      </w:r>
      <w:proofErr w:type="spellEnd"/>
      <w:r w:rsidRPr="00590D6B">
        <w:rPr>
          <w:rFonts w:ascii="Times New Roman" w:hAnsi="Times New Roman" w:cs="Times New Roman"/>
          <w:bCs/>
          <w:i/>
          <w:sz w:val="28"/>
          <w:szCs w:val="28"/>
          <w:lang w:eastAsia="hi-IN" w:bidi="hi-IN"/>
        </w:rPr>
        <w:t xml:space="preserve"> кондитерская фабрика», реконструкция производственного здания ООО «Кром»);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proofErr w:type="gram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- объекты социального, культурного и бытового назначения – 18 инвестиционных проектов </w:t>
      </w:r>
      <w:r w:rsidRPr="00590D6B">
        <w:rPr>
          <w:rFonts w:ascii="Times New Roman" w:hAnsi="Times New Roman" w:cs="Times New Roman"/>
          <w:bCs/>
          <w:i/>
          <w:sz w:val="28"/>
          <w:szCs w:val="28"/>
          <w:lang w:eastAsia="hi-IN" w:bidi="hi-IN"/>
        </w:rPr>
        <w:t>(строительство 10-и многоквартирных жилых домов, гостиница с кафе по ул. Набережная на 12 номеров на 20 мест, реконструкция нежилого здания под гостиницу по ул. Советская, д.17, 5 объектов торгового назначения общей площадью 976,28 кв. м, газификация жилого дома (0,203 км), строительство светофорного объекта на перекрестке ул. Ленина – ул. Татарская и</w:t>
      </w:r>
      <w:proofErr w:type="gramEnd"/>
      <w:r w:rsidRPr="00590D6B">
        <w:rPr>
          <w:rFonts w:ascii="Times New Roman" w:hAnsi="Times New Roman" w:cs="Times New Roman"/>
          <w:bCs/>
          <w:i/>
          <w:sz w:val="28"/>
          <w:szCs w:val="28"/>
          <w:lang w:eastAsia="hi-IN" w:bidi="hi-IN"/>
        </w:rPr>
        <w:t xml:space="preserve"> др.);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proofErr w:type="gram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- прочие инвестиционные проекты (</w:t>
      </w:r>
      <w:r w:rsidRPr="00590D6B">
        <w:rPr>
          <w:rFonts w:ascii="Times New Roman" w:hAnsi="Times New Roman" w:cs="Times New Roman"/>
          <w:bCs/>
          <w:i/>
          <w:sz w:val="28"/>
          <w:szCs w:val="28"/>
          <w:lang w:eastAsia="hi-IN" w:bidi="hi-IN"/>
        </w:rPr>
        <w:t>реконструкция нежилого здания по адресу ул. Поселок Фабрика, д. 7.</w:t>
      </w:r>
      <w:proofErr w:type="gramEnd"/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По состоянию на 01.01.2018 года на объектах ориентировочно освоено 874,6 млн. руб.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В  2017 году </w:t>
      </w:r>
      <w:proofErr w:type="gram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введены</w:t>
      </w:r>
      <w:proofErr w:type="gramEnd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в эксплуатацию: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- светофорный объект на перекрестке ул. Ленина – ул. Татарская;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- закончены работы по благоустройство сквера и парка культуры по  ул. Советская, дворовых территорий;</w:t>
      </w:r>
    </w:p>
    <w:p w:rsidR="00590D6B" w:rsidRPr="00590D6B" w:rsidRDefault="00590D6B" w:rsidP="00590D6B">
      <w:pPr>
        <w:shd w:val="clear" w:color="auto" w:fill="FFFFFF" w:themeFill="background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0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324100"/>
            <wp:effectExtent l="19050" t="0" r="9525" b="0"/>
            <wp:docPr id="5" name="Рисунок 1" descr="Описание: В Касимове после реконструкции открыли парк культуры и отдых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 Касимове после реконструкции открыли парк культуры и отдыха.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D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90D6B" w:rsidRPr="00590D6B" w:rsidRDefault="00590D6B" w:rsidP="00590D6B">
      <w:pPr>
        <w:shd w:val="clear" w:color="auto" w:fill="FFFFFF" w:themeFill="background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0D6B" w:rsidRPr="00590D6B" w:rsidRDefault="00590D6B" w:rsidP="00590D6B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2221230"/>
            <wp:effectExtent l="19050" t="0" r="9525" b="0"/>
            <wp:docPr id="6" name="Рисунок 3" descr="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D6B">
        <w:rPr>
          <w:rFonts w:ascii="Times New Roman" w:hAnsi="Times New Roman" w:cs="Times New Roman"/>
          <w:color w:val="000000"/>
          <w:spacing w:val="-28"/>
          <w:sz w:val="28"/>
          <w:szCs w:val="28"/>
          <w:lang w:eastAsia="ar-SA"/>
        </w:rPr>
      </w:r>
      <w:r w:rsidRPr="00590D6B">
        <w:rPr>
          <w:rFonts w:ascii="Times New Roman" w:hAnsi="Times New Roman" w:cs="Times New Roman"/>
          <w:color w:val="000000"/>
          <w:spacing w:val="-28"/>
          <w:sz w:val="28"/>
          <w:szCs w:val="28"/>
          <w:lang w:eastAsia="ar-SA"/>
        </w:rPr>
        <w:pict>
          <v:rect id="AutoShape 6" o:spid="_x0000_s1026" alt="Описание: https://apf.mail.ru/cgi-bin/readmsg/collage.jpg?id=15198243290000000749%3B0%3B1&amp;x-email=rnv%40list.ru&amp;exif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LNBwMAADQGAAAOAAAAZHJzL2Uyb0RvYy54bWysVF1v0zAUfUfiP1iWxluaj7ofKUunrV0R&#10;0oBJgx/gJk5icOxgu00H4r9z7bRdu70gIFIj29c995x7T+7l1a4RaMu04UpmOB5EGDGZq4LLKsNf&#10;Pq+CKUbGUllQoSTL8CMz+Gr++tVl185YomolCqYRgEgz69oM19a2szA0ec0aagaqZRKCpdINtbDV&#10;VVho2gF6I8IkisZhp3TRapUzY+B02Qfx3OOXJcvtp7I0zCKRYeBm/Vv799q9w/klnVWatjXP9zTo&#10;X7BoKJeQ9Ai1pJaijeYvoBqea2VUaQe5akJVljxnXgOoiaNnah5q2jKvBYpj2mOZzP+DzT9u7zXi&#10;RYYTjCRtoEXXG6t8ZjTGqGAmh3K5thjoC23LAWgVA70J84oHay5DzWjRmCrMlRC0YoOvbXUFgPEo&#10;TqcJGSZp1D8Tkl4MbyL4xW9o077dBdBiLjIttxckEtxYQPURtuNlFrvedJAVKD6099pV17R3Kv9m&#10;kFSLmsqKXZsWOgy+A+6HI61VVwMlKJKHCM8w3MYAGlp3H1QBaimo9Z3blbpxOaAnaOcN8ng0CNtZ&#10;lMPhMCLTCGyUQ2i/BpIhnR3+3Gpj3zHVILfIsAZ2Hpxu74ztrx6uuFxSrbgQ3oNCnh0AZn8CqeGv&#10;LuZIeEv9TKP0dno7JQFJxrcBiZbL4Hq1IMF4FU9Gy+FysVjGv1zemMxqXhRMujQHe8fkz+yz/9B6&#10;Yx4NbpTghYNzlIyu1guh0ZbC57Xyj+sakD+5Fp7T8GHQ8kxSnJDoJkmD1Xg6CciKjIJ0Ek2DKE5v&#10;0nFEUrJcnUu645L9uyTUZTgdJSPfpRPSz7T1Dn6pjc4abmGACd5kGKwBTz9SnANvZeFba8Hl/fqk&#10;FI7+UymgYodGe786i/buX6viEeyqFdgJnAejFha10j8w6mBsZdh831DNMBLvJVg+jQlxc85vyGiS&#10;wEafRtanESpzgMqwxahfLmw/Gzet5lUNmWJfGKncUCi5t7D7hHpWwN9tYDR5Jfsx6mbf6d7fehr2&#10;8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HqSzQcDAAA0BgAADgAAAAAAAAAAAAAAAAAuAgAAZHJzL2Uyb0RvYy54bWxQSwEC&#10;LQAUAAYACAAAACEATKDpLNgAAAADAQAADwAAAAAAAAAAAAAAAABhBQAAZHJzL2Rvd25yZXYueG1s&#10;UEsFBgAAAAAEAAQA8wAAAGYGAAAAAA==&#10;" filled="f" stroked="f">
            <o:lock v:ext="edit" aspectratio="t"/>
            <w10:wrap type="none"/>
            <w10:anchorlock/>
          </v:rect>
        </w:pict>
      </w:r>
    </w:p>
    <w:p w:rsidR="00590D6B" w:rsidRPr="00590D6B" w:rsidRDefault="00590D6B" w:rsidP="00590D6B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- торгово-офисное здание по ул. Индустриальной</w:t>
      </w:r>
      <w:proofErr w:type="gram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;</w:t>
      </w:r>
      <w:proofErr w:type="gramEnd"/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- нежилое здание (магазин) по ул. </w:t>
      </w:r>
      <w:proofErr w:type="gram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Окружная</w:t>
      </w:r>
      <w:proofErr w:type="gramEnd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, д. 3а  и другое.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В настоящее время остаётся актуальным вопрос по строительству на территории города современного тепличного хозяйства, которое обеспечит в дальнейшем потребность в овощах не только нашего города с объемом инвестиций 2412 </w:t>
      </w:r>
      <w:proofErr w:type="spell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млн</w:t>
      </w:r>
      <w:proofErr w:type="gram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.р</w:t>
      </w:r>
      <w:proofErr w:type="gramEnd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уб</w:t>
      </w:r>
      <w:proofErr w:type="spellEnd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, но и всего региона, а также  реставрации объекта культурного наследия  «Дом  </w:t>
      </w:r>
      <w:proofErr w:type="spell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Кастрова</w:t>
      </w:r>
      <w:proofErr w:type="spellEnd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» с приспособлением под гостиничный комплекс»,  причалом для маломерных судов,  музеем и кафе. Общая сумма инвестиций оценивается в 130 млн. рублей. 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6B">
        <w:rPr>
          <w:rFonts w:ascii="Times New Roman" w:hAnsi="Times New Roman" w:cs="Times New Roman"/>
          <w:sz w:val="28"/>
          <w:szCs w:val="28"/>
        </w:rPr>
        <w:t>Важным фактором повышения инвестиционной привлекательности любого муниципального образования является улучшение качества городской среды, 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района.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Привлечение инвестиций в экономику города является одной из наиболее важных задач, стоящих перед администрацией муниципального образования, решение которой возможно путем формирования целенаправленной и  комплексной политики.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С этой целью администрацией был разработан ряд важных документов по поддержке инвестиционной деятельности потенциальных инвесторов.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Во-первых, – это информационная поддержка с использованием интернет ресурса – создан специализированный раздел «Инвестиции» на сайте муниципального образования. В данном  разделе размещена необходимая для инвестора информация о муниципальном образовании; порядок взаимодействия инвесторов с должностными лицами и органами местного самоуправления; информация о каналах прямой связи инвесторов и руководства муниципального образования информация о свободных инвестиционных проектах, площадках, предложениях; об инвестиционной привлекательности муниципального  образования; план создания объектов необходимой транспортной, энергетической, социальной и другой инфраструктуры муниципального образования</w:t>
      </w:r>
      <w:proofErr w:type="gram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З</w:t>
      </w:r>
      <w:proofErr w:type="gramEnd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десь же потенциальный инвестор может найти информацию и по поддержке, которая предоставляется администрацией города.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Во-вторых, любой инвестор, действующий или готовый реализовать инвестиционный проект на территории города, может напрямую по телефону «горячей линии» обратиться в администрацию города. нами разработан и принят регламент по сопровождению инвестиционных проектов по принципу "одного окна</w:t>
      </w:r>
      <w:proofErr w:type="gram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." </w:t>
      </w:r>
      <w:proofErr w:type="gramEnd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Благодаря принятому документу на территории города стало возможным упрощение процедуры выхода бизнеса на инвестиционную площадку.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proofErr w:type="gram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В-третьих: для более эффективного решения задач по привлечению инвестиционных ресурсов, помимо информационной и консультационной помощи, было принято решение о возможности предоставления инвесторам льгот по уплате земельного налога и арендной платы за земельные участки, </w:t>
      </w: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lastRenderedPageBreak/>
        <w:t>находящиеся в собственности города, в соответствии с  Положением о муниципальной поддержке инвестиционной деятельности на территории муниципального образования – городской округ город Касимов.</w:t>
      </w:r>
      <w:proofErr w:type="gramEnd"/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С целью улучшения состояния инвестиционного и предпринимательского климата, снижения административных барьеров, оптимизации процедур, связанных с ведением на территории города инвестиционной и предпринимательской деятельности,  постановлением администрации от 11.07.2017г. №797 создан Штаб по улучшению состояния инвестиционного и предпринимательского климата в муниципальном образовании – городской округ город Касимов. Основными задачами и функциями Штаба является формирование мероприятий, направленных на развитие и поддержку малого и среднего предпринимательства в муниципальном образовании – городской округ город Касимов. 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С целью привлечения инвесторов, администрация активно продвигает муниципальное образование посредством выставочно-ярмарочной деятельности, участием во всевозможных форумах, конференциях, стараемся помочь нашим предприятиям расширить рынок сбыта, буклеты с продукцией предприятий также рекламируются и выставляются на этих форумах. 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Сформированный альбом с информацией о свободных </w:t>
      </w:r>
      <w:proofErr w:type="spell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инвестплощадках</w:t>
      </w:r>
      <w:proofErr w:type="spellEnd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представлен субъе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ктам малого предпринимательства</w:t>
      </w: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, разослан на электронные адреса крупным бизнесменам, а также участникам форумов в различные города.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По состоянию на 01.01.2018г. в  муниципальном образовании в реестр свободных инвестиционных площадок  включены 23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площадки, расположенные на земельных участках общей площадью 84,8 га (в собственности муниципального образования - 52,0 га, в частной собственности – 32,7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га). В сентябре  2017 г. реализована инвестиционная площадка - Комплекс зданий с земельным участком,  по адресу: г. Касимов, ул. Ленина, д. 2-А для дальнейшей реконструкции здания под медицинский центр.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Рост инвестиций напрямую влияет не только на увеличение налоговых поступлений в бюджет, создание новых рабочих мест, но и на уровень и качества жизни. 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Администрация муниципального образования подвела итоги реализации инвестиционных проектов за 2016-2017г: ежегодно будет дополнительно поступать 4073,5 тыс. руб., в том числе в местный бюджет 1576,4т.р. 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Из них:</w:t>
      </w:r>
    </w:p>
    <w:p w:rsidR="00590D6B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proofErr w:type="gram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НДФЛ-1900,8 тыс. руб., ЕНВД – 908 тыс. руб., УСН – 276 тыс. руб., налог на имущество организаций – 704,3 тыс. руб., налог на имущество физических лиц – 284,4 тыс. </w:t>
      </w:r>
      <w:proofErr w:type="gramEnd"/>
    </w:p>
    <w:p w:rsidR="00E3276C" w:rsidRPr="00590D6B" w:rsidRDefault="00590D6B" w:rsidP="00590D6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Учитывая, что наш город по своему  производственному потенциалу,   экономико-географическому положению и прочим факторам является достаточно </w:t>
      </w:r>
      <w:proofErr w:type="spellStart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инвестиционно-привлекательным</w:t>
      </w:r>
      <w:proofErr w:type="spellEnd"/>
      <w:r w:rsidRPr="00590D6B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городом, надеемся в новом 2018 году выйти на новый социально-культурный туристический ресурс. </w:t>
      </w:r>
    </w:p>
    <w:sectPr w:rsidR="00E3276C" w:rsidRPr="00590D6B" w:rsidSect="00E3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0D6B"/>
    <w:rsid w:val="002345D4"/>
    <w:rsid w:val="00590D6B"/>
    <w:rsid w:val="00E3276C"/>
    <w:rsid w:val="00F7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6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0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7715</Characters>
  <Application>Microsoft Office Word</Application>
  <DocSecurity>0</DocSecurity>
  <Lines>64</Lines>
  <Paragraphs>18</Paragraphs>
  <ScaleCrop>false</ScaleCrop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dcterms:created xsi:type="dcterms:W3CDTF">2019-02-26T07:02:00Z</dcterms:created>
  <dcterms:modified xsi:type="dcterms:W3CDTF">2019-02-26T07:05:00Z</dcterms:modified>
</cp:coreProperties>
</file>