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EDF" w:rsidRPr="00F27775" w:rsidRDefault="00257EDF" w:rsidP="009D2E12">
      <w:pPr>
        <w:pStyle w:val="a3"/>
      </w:pPr>
      <w:r w:rsidRPr="00F27775">
        <w:t>РЕШЕНИЕ СОБРАНИЯ УЧАСТНИКОВ</w:t>
      </w:r>
    </w:p>
    <w:p w:rsidR="00C97E0F" w:rsidRPr="00F27775" w:rsidRDefault="009D2E12" w:rsidP="00C97E0F">
      <w:pPr>
        <w:pStyle w:val="a3"/>
      </w:pPr>
      <w:r w:rsidRPr="00F27775">
        <w:t xml:space="preserve">публичных слушаний </w:t>
      </w:r>
      <w:r w:rsidR="0046100B" w:rsidRPr="00F27775">
        <w:t xml:space="preserve">по проекту </w:t>
      </w:r>
      <w:r w:rsidR="00C97E0F" w:rsidRPr="00F27775">
        <w:t>муниципального</w:t>
      </w:r>
    </w:p>
    <w:p w:rsidR="00C97E0F" w:rsidRPr="00546E84" w:rsidRDefault="00C97E0F" w:rsidP="00C97E0F">
      <w:pPr>
        <w:pStyle w:val="a3"/>
      </w:pPr>
      <w:r w:rsidRPr="00F27775">
        <w:t>нормативного правового акта «</w:t>
      </w:r>
      <w:r w:rsidR="00546E84">
        <w:t xml:space="preserve">О внесении </w:t>
      </w:r>
      <w:r w:rsidR="00546E84" w:rsidRPr="00546E84">
        <w:t>изменений в Правила благоустройства и содержания территории Елизовского городского поселения»</w:t>
      </w:r>
    </w:p>
    <w:p w:rsidR="009D2E12" w:rsidRDefault="009D2E12" w:rsidP="009D2E12">
      <w:pPr>
        <w:pStyle w:val="a3"/>
        <w:jc w:val="left"/>
        <w:rPr>
          <w:b w:val="0"/>
          <w:sz w:val="24"/>
        </w:rPr>
      </w:pPr>
      <w:r w:rsidRPr="006F3DFC">
        <w:rPr>
          <w:b w:val="0"/>
        </w:rPr>
        <w:tab/>
      </w:r>
      <w:r w:rsidRPr="006F3DFC">
        <w:rPr>
          <w:b w:val="0"/>
          <w:sz w:val="32"/>
        </w:rPr>
        <w:tab/>
      </w:r>
      <w:r w:rsidRPr="006F3DFC">
        <w:rPr>
          <w:b w:val="0"/>
          <w:sz w:val="24"/>
        </w:rPr>
        <w:t xml:space="preserve">г. Елизово       </w:t>
      </w:r>
      <w:r w:rsidR="00E42117" w:rsidRPr="006F3DFC">
        <w:rPr>
          <w:b w:val="0"/>
          <w:sz w:val="24"/>
        </w:rPr>
        <w:tab/>
      </w:r>
      <w:r w:rsidR="00E42117" w:rsidRPr="006F3DFC">
        <w:rPr>
          <w:b w:val="0"/>
          <w:sz w:val="24"/>
        </w:rPr>
        <w:tab/>
      </w:r>
      <w:r w:rsidR="00E42117" w:rsidRPr="006F3DFC">
        <w:rPr>
          <w:b w:val="0"/>
          <w:sz w:val="24"/>
        </w:rPr>
        <w:tab/>
      </w:r>
      <w:r w:rsidR="00E42117" w:rsidRPr="006F3DFC">
        <w:rPr>
          <w:b w:val="0"/>
          <w:sz w:val="24"/>
        </w:rPr>
        <w:tab/>
      </w:r>
      <w:r w:rsidR="00D63C87" w:rsidRPr="006F3DFC">
        <w:rPr>
          <w:b w:val="0"/>
          <w:sz w:val="24"/>
        </w:rPr>
        <w:tab/>
      </w:r>
      <w:r w:rsidR="00E42117" w:rsidRPr="006F3DFC">
        <w:rPr>
          <w:b w:val="0"/>
          <w:sz w:val="24"/>
        </w:rPr>
        <w:tab/>
      </w:r>
      <w:r w:rsidR="00E42117" w:rsidRPr="006F3DFC">
        <w:rPr>
          <w:b w:val="0"/>
          <w:sz w:val="24"/>
        </w:rPr>
        <w:tab/>
      </w:r>
      <w:r w:rsidR="00E42117" w:rsidRPr="006F3DFC">
        <w:rPr>
          <w:b w:val="0"/>
          <w:sz w:val="24"/>
        </w:rPr>
        <w:tab/>
      </w:r>
      <w:r w:rsidR="00E42117" w:rsidRPr="006F3DFC">
        <w:rPr>
          <w:b w:val="0"/>
          <w:sz w:val="24"/>
        </w:rPr>
        <w:tab/>
      </w:r>
      <w:r w:rsidR="00E42117" w:rsidRPr="006F3DFC">
        <w:rPr>
          <w:b w:val="0"/>
          <w:sz w:val="24"/>
        </w:rPr>
        <w:tab/>
      </w:r>
      <w:r w:rsidR="00BC0C05" w:rsidRPr="006F3DFC">
        <w:rPr>
          <w:b w:val="0"/>
          <w:sz w:val="24"/>
        </w:rPr>
        <w:t xml:space="preserve">       </w:t>
      </w:r>
      <w:r w:rsidR="00E42117" w:rsidRPr="006F3DFC">
        <w:rPr>
          <w:b w:val="0"/>
          <w:sz w:val="24"/>
        </w:rPr>
        <w:tab/>
      </w:r>
      <w:r w:rsidR="00BC0C05" w:rsidRPr="006F3DFC">
        <w:rPr>
          <w:b w:val="0"/>
          <w:sz w:val="24"/>
        </w:rPr>
        <w:t xml:space="preserve">           </w:t>
      </w:r>
      <w:r w:rsidR="00EC670A">
        <w:rPr>
          <w:b w:val="0"/>
          <w:sz w:val="24"/>
        </w:rPr>
        <w:t xml:space="preserve">  </w:t>
      </w:r>
      <w:r w:rsidR="00276A6E" w:rsidRPr="006F3DFC">
        <w:rPr>
          <w:b w:val="0"/>
          <w:sz w:val="24"/>
        </w:rPr>
        <w:tab/>
      </w:r>
      <w:r w:rsidR="00EA3D14">
        <w:rPr>
          <w:b w:val="0"/>
          <w:sz w:val="24"/>
        </w:rPr>
        <w:t>22 октября</w:t>
      </w:r>
      <w:r w:rsidR="0046100B" w:rsidRPr="006F3DFC">
        <w:rPr>
          <w:b w:val="0"/>
          <w:sz w:val="24"/>
        </w:rPr>
        <w:t xml:space="preserve"> </w:t>
      </w:r>
      <w:r w:rsidR="00EC670A">
        <w:rPr>
          <w:b w:val="0"/>
          <w:sz w:val="24"/>
        </w:rPr>
        <w:t>201</w:t>
      </w:r>
      <w:r w:rsidR="00EA3D14">
        <w:rPr>
          <w:b w:val="0"/>
          <w:sz w:val="24"/>
        </w:rPr>
        <w:t>4</w:t>
      </w:r>
      <w:r w:rsidRPr="006F3DFC">
        <w:rPr>
          <w:b w:val="0"/>
          <w:sz w:val="24"/>
        </w:rPr>
        <w:t xml:space="preserve"> года</w:t>
      </w:r>
    </w:p>
    <w:p w:rsidR="000D33CA" w:rsidRPr="006F3DFC" w:rsidRDefault="000D33CA" w:rsidP="009D2E12">
      <w:pPr>
        <w:pStyle w:val="a3"/>
        <w:jc w:val="left"/>
        <w:rPr>
          <w:b w:val="0"/>
          <w:sz w:val="24"/>
        </w:rPr>
      </w:pPr>
    </w:p>
    <w:p w:rsidR="002738A4" w:rsidRPr="006F3DFC" w:rsidRDefault="002738A4" w:rsidP="0046100B">
      <w:pPr>
        <w:pStyle w:val="a3"/>
        <w:jc w:val="both"/>
        <w:rPr>
          <w:b w:val="0"/>
          <w:sz w:val="24"/>
        </w:rPr>
      </w:pPr>
      <w:r w:rsidRPr="006F3DFC">
        <w:rPr>
          <w:b w:val="0"/>
          <w:sz w:val="24"/>
        </w:rPr>
        <w:tab/>
        <w:t xml:space="preserve">Мы, участники публичных слушаний </w:t>
      </w:r>
      <w:r w:rsidR="0046100B" w:rsidRPr="006F3DFC">
        <w:rPr>
          <w:b w:val="0"/>
          <w:sz w:val="24"/>
        </w:rPr>
        <w:t>по проекту</w:t>
      </w:r>
      <w:r w:rsidR="00C97E0F" w:rsidRPr="006F3DFC">
        <w:rPr>
          <w:sz w:val="26"/>
        </w:rPr>
        <w:t xml:space="preserve"> </w:t>
      </w:r>
      <w:r w:rsidR="00C97E0F" w:rsidRPr="006F3DFC">
        <w:rPr>
          <w:b w:val="0"/>
          <w:sz w:val="24"/>
        </w:rPr>
        <w:t>муниципального нормативного правового акта «О</w:t>
      </w:r>
      <w:r w:rsidR="00546E84">
        <w:rPr>
          <w:b w:val="0"/>
          <w:sz w:val="24"/>
        </w:rPr>
        <w:t xml:space="preserve"> </w:t>
      </w:r>
      <w:r w:rsidR="009769E0" w:rsidRPr="009769E0">
        <w:rPr>
          <w:b w:val="0"/>
          <w:sz w:val="24"/>
        </w:rPr>
        <w:t>внесении изменений в Правила благоустройства и содержания территории Елизовского городского поселения</w:t>
      </w:r>
      <w:r w:rsidR="009769E0">
        <w:rPr>
          <w:b w:val="0"/>
          <w:sz w:val="24"/>
        </w:rPr>
        <w:t>»</w:t>
      </w:r>
      <w:r w:rsidR="00C97E0F" w:rsidRPr="006F3DFC">
        <w:rPr>
          <w:b w:val="0"/>
          <w:sz w:val="24"/>
        </w:rPr>
        <w:t xml:space="preserve">, </w:t>
      </w:r>
      <w:r w:rsidR="0046100B" w:rsidRPr="006F3DFC">
        <w:rPr>
          <w:b w:val="0"/>
          <w:sz w:val="24"/>
        </w:rPr>
        <w:t xml:space="preserve">внесенному в Собрание депутатов Елизовского городского поселения </w:t>
      </w:r>
      <w:r w:rsidR="005134D1">
        <w:rPr>
          <w:b w:val="0"/>
          <w:sz w:val="24"/>
        </w:rPr>
        <w:t>Главой а</w:t>
      </w:r>
      <w:r w:rsidR="00865961">
        <w:rPr>
          <w:b w:val="0"/>
          <w:sz w:val="24"/>
        </w:rPr>
        <w:t xml:space="preserve">дминистрации </w:t>
      </w:r>
      <w:r w:rsidR="0046100B" w:rsidRPr="006F3DFC">
        <w:rPr>
          <w:b w:val="0"/>
          <w:sz w:val="24"/>
        </w:rPr>
        <w:t xml:space="preserve">Елизовского городского поселения и </w:t>
      </w:r>
      <w:r w:rsidR="004C5D24" w:rsidRPr="006F3DFC">
        <w:rPr>
          <w:b w:val="0"/>
          <w:sz w:val="24"/>
        </w:rPr>
        <w:t>опубликованно</w:t>
      </w:r>
      <w:r w:rsidR="00A14029" w:rsidRPr="006F3DFC">
        <w:rPr>
          <w:b w:val="0"/>
          <w:sz w:val="24"/>
        </w:rPr>
        <w:t>му</w:t>
      </w:r>
      <w:r w:rsidR="004C5D24" w:rsidRPr="006F3DFC">
        <w:rPr>
          <w:b w:val="0"/>
          <w:sz w:val="24"/>
        </w:rPr>
        <w:t xml:space="preserve"> в</w:t>
      </w:r>
      <w:r w:rsidR="00C97E0F" w:rsidRPr="006F3DFC">
        <w:rPr>
          <w:b w:val="0"/>
          <w:sz w:val="24"/>
        </w:rPr>
        <w:t xml:space="preserve"> </w:t>
      </w:r>
      <w:r w:rsidR="00CC0210">
        <w:rPr>
          <w:b w:val="0"/>
          <w:sz w:val="24"/>
        </w:rPr>
        <w:t xml:space="preserve">официальном </w:t>
      </w:r>
      <w:r w:rsidR="00865961">
        <w:rPr>
          <w:b w:val="0"/>
          <w:sz w:val="24"/>
        </w:rPr>
        <w:t>печатном издании «Мой город</w:t>
      </w:r>
      <w:r w:rsidR="00C97E0F" w:rsidRPr="006F3DFC">
        <w:rPr>
          <w:b w:val="0"/>
          <w:sz w:val="24"/>
        </w:rPr>
        <w:t xml:space="preserve">» </w:t>
      </w:r>
      <w:r w:rsidR="00865961">
        <w:rPr>
          <w:b w:val="0"/>
          <w:sz w:val="24"/>
        </w:rPr>
        <w:t xml:space="preserve"> </w:t>
      </w:r>
      <w:r w:rsidR="00EA3D14">
        <w:rPr>
          <w:b w:val="0"/>
          <w:sz w:val="24"/>
        </w:rPr>
        <w:t>26.09</w:t>
      </w:r>
      <w:r w:rsidR="009769E0">
        <w:rPr>
          <w:b w:val="0"/>
          <w:sz w:val="24"/>
        </w:rPr>
        <w:t>.201</w:t>
      </w:r>
      <w:r w:rsidR="00EA3D14">
        <w:rPr>
          <w:b w:val="0"/>
          <w:sz w:val="24"/>
        </w:rPr>
        <w:t>4</w:t>
      </w:r>
      <w:r w:rsidR="009769E0">
        <w:rPr>
          <w:b w:val="0"/>
          <w:sz w:val="24"/>
        </w:rPr>
        <w:t xml:space="preserve"> </w:t>
      </w:r>
      <w:r w:rsidR="005134D1" w:rsidRPr="00837F9A">
        <w:rPr>
          <w:b w:val="0"/>
          <w:sz w:val="24"/>
        </w:rPr>
        <w:t>г. №</w:t>
      </w:r>
      <w:r w:rsidR="00EA3D14">
        <w:rPr>
          <w:b w:val="0"/>
          <w:sz w:val="24"/>
        </w:rPr>
        <w:t>12</w:t>
      </w:r>
      <w:r w:rsidR="00C97E0F" w:rsidRPr="006F3DFC">
        <w:rPr>
          <w:b w:val="0"/>
          <w:sz w:val="24"/>
        </w:rPr>
        <w:t xml:space="preserve">, </w:t>
      </w:r>
      <w:r w:rsidRPr="006F3DFC">
        <w:rPr>
          <w:b w:val="0"/>
          <w:sz w:val="24"/>
        </w:rPr>
        <w:t>изучив указанный проект, заслушав и обсудив</w:t>
      </w:r>
      <w:r w:rsidR="00CE3CD3" w:rsidRPr="006F3DFC">
        <w:rPr>
          <w:b w:val="0"/>
          <w:sz w:val="24"/>
        </w:rPr>
        <w:t xml:space="preserve"> </w:t>
      </w:r>
      <w:r w:rsidR="009C18EC" w:rsidRPr="006F3DFC">
        <w:rPr>
          <w:b w:val="0"/>
          <w:sz w:val="24"/>
        </w:rPr>
        <w:t xml:space="preserve">предложения </w:t>
      </w:r>
      <w:r w:rsidRPr="006F3DFC">
        <w:rPr>
          <w:b w:val="0"/>
          <w:sz w:val="24"/>
        </w:rPr>
        <w:t xml:space="preserve">участников </w:t>
      </w:r>
      <w:r w:rsidR="00C97E0F" w:rsidRPr="006F3DFC">
        <w:rPr>
          <w:b w:val="0"/>
          <w:sz w:val="24"/>
        </w:rPr>
        <w:t xml:space="preserve">публичных </w:t>
      </w:r>
      <w:r w:rsidRPr="006F3DFC">
        <w:rPr>
          <w:b w:val="0"/>
          <w:sz w:val="24"/>
        </w:rPr>
        <w:t>слушаний</w:t>
      </w:r>
      <w:r w:rsidR="00B907FA">
        <w:rPr>
          <w:b w:val="0"/>
          <w:sz w:val="24"/>
        </w:rPr>
        <w:t xml:space="preserve">, </w:t>
      </w:r>
      <w:r w:rsidR="00CE3CD3" w:rsidRPr="006F3DFC">
        <w:rPr>
          <w:b w:val="0"/>
          <w:sz w:val="24"/>
        </w:rPr>
        <w:t xml:space="preserve">и </w:t>
      </w:r>
      <w:r w:rsidRPr="006F3DFC">
        <w:rPr>
          <w:b w:val="0"/>
          <w:sz w:val="24"/>
        </w:rPr>
        <w:t>выражая волю населения Елизовского городского поселения,</w:t>
      </w:r>
    </w:p>
    <w:p w:rsidR="009D2E12" w:rsidRPr="00F27775" w:rsidRDefault="009D2E12" w:rsidP="00873F92">
      <w:pPr>
        <w:pStyle w:val="a3"/>
        <w:rPr>
          <w:sz w:val="30"/>
        </w:rPr>
      </w:pPr>
      <w:r w:rsidRPr="00F27775">
        <w:rPr>
          <w:sz w:val="30"/>
        </w:rPr>
        <w:t>РЕШИЛ</w:t>
      </w:r>
      <w:r w:rsidR="00E42117" w:rsidRPr="00F27775">
        <w:rPr>
          <w:sz w:val="30"/>
        </w:rPr>
        <w:t>И</w:t>
      </w:r>
      <w:r w:rsidRPr="00F27775">
        <w:rPr>
          <w:sz w:val="30"/>
        </w:rPr>
        <w:t>:</w:t>
      </w:r>
    </w:p>
    <w:p w:rsidR="009D2E12" w:rsidRPr="006F3DFC" w:rsidRDefault="009D2E12" w:rsidP="008823BB">
      <w:pPr>
        <w:pStyle w:val="a3"/>
        <w:jc w:val="both"/>
        <w:rPr>
          <w:b w:val="0"/>
          <w:sz w:val="24"/>
        </w:rPr>
      </w:pPr>
      <w:r w:rsidRPr="006F3DFC">
        <w:rPr>
          <w:b w:val="0"/>
          <w:sz w:val="22"/>
        </w:rPr>
        <w:tab/>
      </w:r>
      <w:r w:rsidR="004C5D24" w:rsidRPr="006F3DFC">
        <w:rPr>
          <w:b w:val="0"/>
          <w:sz w:val="24"/>
        </w:rPr>
        <w:t>1</w:t>
      </w:r>
      <w:r w:rsidRPr="006F3DFC">
        <w:rPr>
          <w:b w:val="0"/>
          <w:sz w:val="24"/>
        </w:rPr>
        <w:t xml:space="preserve">. Утвердить Итоговый документ публичных слушаний </w:t>
      </w:r>
      <w:r w:rsidR="00CE3CD3" w:rsidRPr="006F3DFC">
        <w:rPr>
          <w:b w:val="0"/>
          <w:sz w:val="24"/>
        </w:rPr>
        <w:t>следующего содержания:</w:t>
      </w:r>
    </w:p>
    <w:p w:rsidR="009D2E12" w:rsidRPr="006F3DFC" w:rsidRDefault="009D2E12" w:rsidP="009D2E12">
      <w:pPr>
        <w:pStyle w:val="a3"/>
        <w:rPr>
          <w:b w:val="0"/>
          <w:sz w:val="18"/>
        </w:rPr>
      </w:pPr>
    </w:p>
    <w:tbl>
      <w:tblPr>
        <w:tblW w:w="498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3"/>
        <w:gridCol w:w="9690"/>
        <w:gridCol w:w="4225"/>
      </w:tblGrid>
      <w:tr w:rsidR="009D2E12" w:rsidRPr="006F3DFC" w:rsidTr="00EC670A">
        <w:tblPrEx>
          <w:tblCellMar>
            <w:top w:w="0" w:type="dxa"/>
            <w:bottom w:w="0" w:type="dxa"/>
          </w:tblCellMar>
        </w:tblPrEx>
        <w:trPr>
          <w:trHeight w:val="520"/>
        </w:trPr>
        <w:tc>
          <w:tcPr>
            <w:tcW w:w="201" w:type="pct"/>
            <w:tcBorders>
              <w:top w:val="single" w:sz="4" w:space="0" w:color="auto"/>
              <w:left w:val="single" w:sz="4" w:space="0" w:color="auto"/>
              <w:bottom w:val="single" w:sz="4" w:space="0" w:color="auto"/>
              <w:right w:val="single" w:sz="4" w:space="0" w:color="auto"/>
            </w:tcBorders>
            <w:vAlign w:val="center"/>
          </w:tcPr>
          <w:p w:rsidR="009D2E12" w:rsidRPr="0099312F" w:rsidRDefault="009D2E12" w:rsidP="00D63C87">
            <w:pPr>
              <w:jc w:val="center"/>
            </w:pPr>
            <w:r w:rsidRPr="0099312F">
              <w:t>№</w:t>
            </w:r>
          </w:p>
          <w:p w:rsidR="009D2E12" w:rsidRPr="0099312F" w:rsidRDefault="009D2E12" w:rsidP="00D63C87">
            <w:pPr>
              <w:jc w:val="center"/>
            </w:pPr>
            <w:r w:rsidRPr="0099312F">
              <w:t>п/п</w:t>
            </w:r>
          </w:p>
        </w:tc>
        <w:tc>
          <w:tcPr>
            <w:tcW w:w="3342" w:type="pct"/>
            <w:tcBorders>
              <w:top w:val="single" w:sz="4" w:space="0" w:color="auto"/>
              <w:left w:val="single" w:sz="4" w:space="0" w:color="auto"/>
              <w:bottom w:val="single" w:sz="4" w:space="0" w:color="auto"/>
              <w:right w:val="single" w:sz="4" w:space="0" w:color="auto"/>
            </w:tcBorders>
            <w:vAlign w:val="center"/>
          </w:tcPr>
          <w:p w:rsidR="009D2E12" w:rsidRPr="0099312F" w:rsidRDefault="009D2E12" w:rsidP="00D63C87">
            <w:pPr>
              <w:ind w:right="-19" w:hanging="33"/>
              <w:jc w:val="center"/>
            </w:pPr>
            <w:r w:rsidRPr="0099312F">
              <w:t>Предложение</w:t>
            </w:r>
          </w:p>
        </w:tc>
        <w:tc>
          <w:tcPr>
            <w:tcW w:w="1457" w:type="pct"/>
            <w:tcBorders>
              <w:top w:val="single" w:sz="4" w:space="0" w:color="auto"/>
              <w:left w:val="single" w:sz="4" w:space="0" w:color="auto"/>
              <w:bottom w:val="single" w:sz="4" w:space="0" w:color="auto"/>
              <w:right w:val="single" w:sz="4" w:space="0" w:color="auto"/>
            </w:tcBorders>
            <w:vAlign w:val="center"/>
          </w:tcPr>
          <w:p w:rsidR="009D2E12" w:rsidRPr="0099312F" w:rsidRDefault="009D2E12" w:rsidP="00CE3CD3">
            <w:pPr>
              <w:ind w:left="146"/>
              <w:jc w:val="center"/>
            </w:pPr>
            <w:r w:rsidRPr="0099312F">
              <w:t xml:space="preserve">Рекомендации </w:t>
            </w:r>
            <w:r w:rsidR="00836EA0" w:rsidRPr="0099312F">
              <w:t>публичных слушаний</w:t>
            </w:r>
          </w:p>
        </w:tc>
      </w:tr>
      <w:tr w:rsidR="009D2E12" w:rsidRPr="006F3DFC" w:rsidTr="00EC670A">
        <w:tblPrEx>
          <w:tblCellMar>
            <w:top w:w="0" w:type="dxa"/>
            <w:bottom w:w="0" w:type="dxa"/>
          </w:tblCellMar>
        </w:tblPrEx>
        <w:trPr>
          <w:trHeight w:val="270"/>
        </w:trPr>
        <w:tc>
          <w:tcPr>
            <w:tcW w:w="201" w:type="pct"/>
            <w:tcBorders>
              <w:top w:val="single" w:sz="4" w:space="0" w:color="auto"/>
              <w:left w:val="single" w:sz="4" w:space="0" w:color="auto"/>
              <w:bottom w:val="single" w:sz="4" w:space="0" w:color="auto"/>
              <w:right w:val="single" w:sz="4" w:space="0" w:color="auto"/>
            </w:tcBorders>
            <w:vAlign w:val="center"/>
          </w:tcPr>
          <w:p w:rsidR="009D2E12" w:rsidRPr="0099312F" w:rsidRDefault="009D2E12" w:rsidP="009D2E12">
            <w:pPr>
              <w:jc w:val="center"/>
            </w:pPr>
            <w:r w:rsidRPr="0099312F">
              <w:t>1</w:t>
            </w:r>
          </w:p>
        </w:tc>
        <w:tc>
          <w:tcPr>
            <w:tcW w:w="3342" w:type="pct"/>
            <w:tcBorders>
              <w:top w:val="single" w:sz="4" w:space="0" w:color="auto"/>
              <w:left w:val="single" w:sz="4" w:space="0" w:color="auto"/>
              <w:bottom w:val="single" w:sz="4" w:space="0" w:color="auto"/>
              <w:right w:val="single" w:sz="4" w:space="0" w:color="auto"/>
            </w:tcBorders>
            <w:vAlign w:val="center"/>
          </w:tcPr>
          <w:p w:rsidR="009D2E12" w:rsidRPr="006F3DFC" w:rsidRDefault="009D2E12" w:rsidP="009D2E12">
            <w:pPr>
              <w:ind w:right="-19" w:hanging="33"/>
              <w:jc w:val="center"/>
              <w:rPr>
                <w:sz w:val="14"/>
                <w:szCs w:val="16"/>
              </w:rPr>
            </w:pPr>
            <w:r w:rsidRPr="006F3DFC">
              <w:rPr>
                <w:sz w:val="14"/>
                <w:szCs w:val="16"/>
              </w:rPr>
              <w:t>2</w:t>
            </w:r>
          </w:p>
        </w:tc>
        <w:tc>
          <w:tcPr>
            <w:tcW w:w="1457" w:type="pct"/>
            <w:tcBorders>
              <w:top w:val="single" w:sz="4" w:space="0" w:color="auto"/>
              <w:left w:val="single" w:sz="4" w:space="0" w:color="auto"/>
              <w:bottom w:val="single" w:sz="4" w:space="0" w:color="auto"/>
              <w:right w:val="single" w:sz="4" w:space="0" w:color="auto"/>
            </w:tcBorders>
            <w:vAlign w:val="center"/>
          </w:tcPr>
          <w:p w:rsidR="009D2E12" w:rsidRPr="006F3DFC" w:rsidRDefault="009D2E12" w:rsidP="000D5ADB">
            <w:pPr>
              <w:ind w:left="146"/>
              <w:jc w:val="center"/>
              <w:rPr>
                <w:sz w:val="14"/>
                <w:szCs w:val="16"/>
              </w:rPr>
            </w:pPr>
            <w:r w:rsidRPr="006F3DFC">
              <w:rPr>
                <w:sz w:val="14"/>
                <w:szCs w:val="16"/>
              </w:rPr>
              <w:t>3</w:t>
            </w:r>
          </w:p>
        </w:tc>
      </w:tr>
      <w:tr w:rsidR="00E001E4" w:rsidRPr="006F3DFC" w:rsidTr="00EC670A">
        <w:tblPrEx>
          <w:tblCellMar>
            <w:top w:w="0" w:type="dxa"/>
            <w:bottom w:w="0" w:type="dxa"/>
          </w:tblCellMar>
        </w:tblPrEx>
        <w:trPr>
          <w:trHeight w:val="270"/>
        </w:trPr>
        <w:tc>
          <w:tcPr>
            <w:tcW w:w="201" w:type="pct"/>
            <w:tcBorders>
              <w:top w:val="single" w:sz="4" w:space="0" w:color="auto"/>
              <w:left w:val="single" w:sz="4" w:space="0" w:color="auto"/>
              <w:bottom w:val="single" w:sz="4" w:space="0" w:color="auto"/>
              <w:right w:val="single" w:sz="4" w:space="0" w:color="auto"/>
            </w:tcBorders>
            <w:vAlign w:val="center"/>
          </w:tcPr>
          <w:p w:rsidR="00E001E4" w:rsidRPr="0099312F" w:rsidRDefault="00E001E4" w:rsidP="009D2E12">
            <w:pPr>
              <w:jc w:val="center"/>
            </w:pPr>
            <w:r>
              <w:t>1</w:t>
            </w:r>
          </w:p>
        </w:tc>
        <w:tc>
          <w:tcPr>
            <w:tcW w:w="3342" w:type="pct"/>
            <w:tcBorders>
              <w:top w:val="single" w:sz="4" w:space="0" w:color="auto"/>
              <w:left w:val="single" w:sz="4" w:space="0" w:color="auto"/>
              <w:bottom w:val="single" w:sz="4" w:space="0" w:color="auto"/>
              <w:right w:val="single" w:sz="4" w:space="0" w:color="auto"/>
            </w:tcBorders>
            <w:vAlign w:val="center"/>
          </w:tcPr>
          <w:p w:rsidR="00E001E4" w:rsidRPr="00E001E4" w:rsidRDefault="00385BF2" w:rsidP="00713CF1">
            <w:pPr>
              <w:ind w:right="-19" w:hanging="33"/>
              <w:jc w:val="center"/>
            </w:pPr>
            <w:r>
              <w:t>Изменения</w:t>
            </w:r>
            <w:r w:rsidR="00E001E4" w:rsidRPr="00E001E4">
              <w:t xml:space="preserve"> </w:t>
            </w:r>
            <w:r w:rsidR="00E001E4">
              <w:t xml:space="preserve"> в муниципальный нормативный акт «О внесении изменений в Правила благоустройства и содержания</w:t>
            </w:r>
            <w:r w:rsidR="00F52F57">
              <w:t xml:space="preserve"> территории</w:t>
            </w:r>
            <w:r w:rsidR="00E001E4">
              <w:t xml:space="preserve"> Елизовского городского поселения»:</w:t>
            </w:r>
          </w:p>
        </w:tc>
        <w:tc>
          <w:tcPr>
            <w:tcW w:w="1457" w:type="pct"/>
            <w:tcBorders>
              <w:top w:val="single" w:sz="4" w:space="0" w:color="auto"/>
              <w:left w:val="single" w:sz="4" w:space="0" w:color="auto"/>
              <w:bottom w:val="single" w:sz="4" w:space="0" w:color="auto"/>
              <w:right w:val="single" w:sz="4" w:space="0" w:color="auto"/>
            </w:tcBorders>
            <w:vAlign w:val="center"/>
          </w:tcPr>
          <w:p w:rsidR="00E001E4" w:rsidRPr="006F3DFC" w:rsidRDefault="00E001E4" w:rsidP="000D5ADB">
            <w:pPr>
              <w:ind w:left="146"/>
              <w:jc w:val="center"/>
              <w:rPr>
                <w:sz w:val="14"/>
                <w:szCs w:val="16"/>
              </w:rPr>
            </w:pPr>
          </w:p>
        </w:tc>
      </w:tr>
      <w:tr w:rsidR="009D2E12" w:rsidRPr="006F3DFC" w:rsidTr="0099312F">
        <w:tblPrEx>
          <w:tblCellMar>
            <w:top w:w="0" w:type="dxa"/>
            <w:bottom w:w="0" w:type="dxa"/>
          </w:tblCellMar>
        </w:tblPrEx>
        <w:trPr>
          <w:trHeight w:val="1057"/>
        </w:trPr>
        <w:tc>
          <w:tcPr>
            <w:tcW w:w="201" w:type="pct"/>
            <w:tcBorders>
              <w:top w:val="single" w:sz="4" w:space="0" w:color="auto"/>
              <w:left w:val="single" w:sz="4" w:space="0" w:color="auto"/>
              <w:bottom w:val="single" w:sz="4" w:space="0" w:color="auto"/>
              <w:right w:val="single" w:sz="4" w:space="0" w:color="auto"/>
            </w:tcBorders>
          </w:tcPr>
          <w:p w:rsidR="009D2E12" w:rsidRPr="0099312F" w:rsidRDefault="00E001E4" w:rsidP="009D2E12">
            <w:pPr>
              <w:jc w:val="center"/>
            </w:pPr>
            <w:r>
              <w:t>1.</w:t>
            </w:r>
            <w:r w:rsidR="00251474" w:rsidRPr="0099312F">
              <w:t>1</w:t>
            </w:r>
          </w:p>
        </w:tc>
        <w:tc>
          <w:tcPr>
            <w:tcW w:w="3342" w:type="pct"/>
            <w:tcBorders>
              <w:top w:val="single" w:sz="4" w:space="0" w:color="auto"/>
              <w:left w:val="single" w:sz="4" w:space="0" w:color="auto"/>
              <w:bottom w:val="single" w:sz="4" w:space="0" w:color="auto"/>
              <w:right w:val="single" w:sz="4" w:space="0" w:color="auto"/>
            </w:tcBorders>
          </w:tcPr>
          <w:p w:rsidR="009D2E12" w:rsidRPr="0099312F" w:rsidRDefault="0099312F" w:rsidP="0099312F">
            <w:pPr>
              <w:tabs>
                <w:tab w:val="left" w:pos="993"/>
              </w:tabs>
              <w:jc w:val="both"/>
              <w:rPr>
                <w:bCs/>
              </w:rPr>
            </w:pPr>
            <w:r w:rsidRPr="0099312F">
              <w:t>Абзац пятый пункта 2.1 раздела 2 изложить в следующей редакции: «Организация уборки на общественных территориях и объектах муниципальной собственности осуществляется  уполномоченным органом администрации Елизовского городского поселения в пределах средств, предусмотренных на эти цели в бюджете Елизовского городского поселения.»</w:t>
            </w:r>
          </w:p>
        </w:tc>
        <w:tc>
          <w:tcPr>
            <w:tcW w:w="1457" w:type="pct"/>
            <w:tcBorders>
              <w:top w:val="single" w:sz="4" w:space="0" w:color="auto"/>
              <w:left w:val="single" w:sz="4" w:space="0" w:color="auto"/>
              <w:bottom w:val="single" w:sz="4" w:space="0" w:color="auto"/>
              <w:right w:val="single" w:sz="4" w:space="0" w:color="auto"/>
            </w:tcBorders>
          </w:tcPr>
          <w:p w:rsidR="0052489A" w:rsidRPr="0099312F" w:rsidRDefault="006D5C28" w:rsidP="00865961">
            <w:pPr>
              <w:pStyle w:val="a4"/>
              <w:ind w:left="146"/>
              <w:jc w:val="both"/>
              <w:rPr>
                <w:bCs/>
              </w:rPr>
            </w:pPr>
            <w:r>
              <w:rPr>
                <w:bCs/>
              </w:rPr>
              <w:t>П</w:t>
            </w:r>
            <w:r w:rsidR="00276A6E" w:rsidRPr="0099312F">
              <w:rPr>
                <w:bCs/>
              </w:rPr>
              <w:t>ринять</w:t>
            </w:r>
            <w:r w:rsidR="00EC670A" w:rsidRPr="0099312F">
              <w:rPr>
                <w:bCs/>
              </w:rPr>
              <w:t xml:space="preserve"> </w:t>
            </w:r>
          </w:p>
        </w:tc>
      </w:tr>
      <w:tr w:rsidR="0099312F" w:rsidRPr="006F3DFC" w:rsidTr="00EC670A">
        <w:tblPrEx>
          <w:tblCellMar>
            <w:top w:w="0" w:type="dxa"/>
            <w:bottom w:w="0" w:type="dxa"/>
          </w:tblCellMar>
        </w:tblPrEx>
        <w:trPr>
          <w:trHeight w:val="668"/>
        </w:trPr>
        <w:tc>
          <w:tcPr>
            <w:tcW w:w="201" w:type="pct"/>
            <w:tcBorders>
              <w:top w:val="single" w:sz="4" w:space="0" w:color="auto"/>
              <w:left w:val="single" w:sz="4" w:space="0" w:color="auto"/>
              <w:bottom w:val="single" w:sz="4" w:space="0" w:color="auto"/>
              <w:right w:val="single" w:sz="4" w:space="0" w:color="auto"/>
            </w:tcBorders>
          </w:tcPr>
          <w:p w:rsidR="0099312F" w:rsidRPr="0099312F" w:rsidRDefault="00E001E4" w:rsidP="009D2E12">
            <w:pPr>
              <w:jc w:val="center"/>
            </w:pPr>
            <w:r>
              <w:t>1.</w:t>
            </w:r>
            <w:r w:rsidR="0099312F" w:rsidRPr="0099312F">
              <w:t>2</w:t>
            </w:r>
          </w:p>
        </w:tc>
        <w:tc>
          <w:tcPr>
            <w:tcW w:w="3342" w:type="pct"/>
            <w:tcBorders>
              <w:top w:val="single" w:sz="4" w:space="0" w:color="auto"/>
              <w:left w:val="single" w:sz="4" w:space="0" w:color="auto"/>
              <w:bottom w:val="single" w:sz="4" w:space="0" w:color="auto"/>
              <w:right w:val="single" w:sz="4" w:space="0" w:color="auto"/>
            </w:tcBorders>
          </w:tcPr>
          <w:p w:rsidR="0099312F" w:rsidRPr="0099312F" w:rsidRDefault="0099312F" w:rsidP="00B46066">
            <w:pPr>
              <w:pStyle w:val="a4"/>
              <w:ind w:left="0"/>
              <w:jc w:val="both"/>
            </w:pPr>
            <w:r w:rsidRPr="0099312F">
              <w:t xml:space="preserve">Пункт 2.1 раздела 2 дополнить абзацем шестым следующего содержания: «Организация уборки на </w:t>
            </w:r>
            <w:r w:rsidR="00B46066">
              <w:t>прилегающей</w:t>
            </w:r>
            <w:r w:rsidRPr="0099312F">
              <w:t xml:space="preserve"> территории многоквартирного дома осуществляется организацией, в управлении которой находится многоквартирный дом»</w:t>
            </w:r>
          </w:p>
        </w:tc>
        <w:tc>
          <w:tcPr>
            <w:tcW w:w="1457" w:type="pct"/>
            <w:tcBorders>
              <w:top w:val="single" w:sz="4" w:space="0" w:color="auto"/>
              <w:left w:val="single" w:sz="4" w:space="0" w:color="auto"/>
              <w:bottom w:val="single" w:sz="4" w:space="0" w:color="auto"/>
              <w:right w:val="single" w:sz="4" w:space="0" w:color="auto"/>
            </w:tcBorders>
          </w:tcPr>
          <w:p w:rsidR="0099312F" w:rsidRPr="006F3DFC" w:rsidRDefault="006D5C28" w:rsidP="00865961">
            <w:pPr>
              <w:pStyle w:val="a4"/>
              <w:ind w:left="146"/>
              <w:jc w:val="both"/>
              <w:rPr>
                <w:bCs/>
                <w:sz w:val="22"/>
              </w:rPr>
            </w:pPr>
            <w:r>
              <w:rPr>
                <w:bCs/>
              </w:rPr>
              <w:t>П</w:t>
            </w:r>
            <w:r w:rsidR="0099312F" w:rsidRPr="0099312F">
              <w:rPr>
                <w:bCs/>
              </w:rPr>
              <w:t>ринять</w:t>
            </w:r>
          </w:p>
        </w:tc>
      </w:tr>
      <w:tr w:rsidR="0099312F" w:rsidRPr="006F3DFC" w:rsidTr="00EC670A">
        <w:tblPrEx>
          <w:tblCellMar>
            <w:top w:w="0" w:type="dxa"/>
            <w:bottom w:w="0" w:type="dxa"/>
          </w:tblCellMar>
        </w:tblPrEx>
        <w:trPr>
          <w:trHeight w:val="668"/>
        </w:trPr>
        <w:tc>
          <w:tcPr>
            <w:tcW w:w="201" w:type="pct"/>
            <w:tcBorders>
              <w:top w:val="single" w:sz="4" w:space="0" w:color="auto"/>
              <w:left w:val="single" w:sz="4" w:space="0" w:color="auto"/>
              <w:bottom w:val="single" w:sz="4" w:space="0" w:color="auto"/>
              <w:right w:val="single" w:sz="4" w:space="0" w:color="auto"/>
            </w:tcBorders>
          </w:tcPr>
          <w:p w:rsidR="0099312F" w:rsidRPr="0099312F" w:rsidRDefault="00E001E4" w:rsidP="009D2E12">
            <w:pPr>
              <w:jc w:val="center"/>
            </w:pPr>
            <w:r>
              <w:t>1.</w:t>
            </w:r>
            <w:r w:rsidR="0099312F" w:rsidRPr="0099312F">
              <w:t>3</w:t>
            </w:r>
          </w:p>
        </w:tc>
        <w:tc>
          <w:tcPr>
            <w:tcW w:w="3342" w:type="pct"/>
            <w:tcBorders>
              <w:top w:val="single" w:sz="4" w:space="0" w:color="auto"/>
              <w:left w:val="single" w:sz="4" w:space="0" w:color="auto"/>
              <w:bottom w:val="single" w:sz="4" w:space="0" w:color="auto"/>
              <w:right w:val="single" w:sz="4" w:space="0" w:color="auto"/>
            </w:tcBorders>
          </w:tcPr>
          <w:p w:rsidR="0099312F" w:rsidRPr="0099312F" w:rsidRDefault="0099312F" w:rsidP="009769E0">
            <w:pPr>
              <w:pStyle w:val="a4"/>
              <w:ind w:left="0"/>
              <w:jc w:val="both"/>
            </w:pPr>
            <w:r w:rsidRPr="0099312F">
              <w:t>В пункте 8.7 слова «Указанные средства расходуются целевым образом только на мероприятия, связанные с восстановлением зеленых насаждений, строительством, ремонтом и содержанием зеленых насаждений.» исключить</w:t>
            </w:r>
          </w:p>
        </w:tc>
        <w:tc>
          <w:tcPr>
            <w:tcW w:w="1457" w:type="pct"/>
            <w:tcBorders>
              <w:top w:val="single" w:sz="4" w:space="0" w:color="auto"/>
              <w:left w:val="single" w:sz="4" w:space="0" w:color="auto"/>
              <w:bottom w:val="single" w:sz="4" w:space="0" w:color="auto"/>
              <w:right w:val="single" w:sz="4" w:space="0" w:color="auto"/>
            </w:tcBorders>
          </w:tcPr>
          <w:p w:rsidR="0099312F" w:rsidRPr="006F3DFC" w:rsidRDefault="006D5C28" w:rsidP="00865961">
            <w:pPr>
              <w:pStyle w:val="a4"/>
              <w:ind w:left="146"/>
              <w:jc w:val="both"/>
              <w:rPr>
                <w:bCs/>
                <w:sz w:val="22"/>
              </w:rPr>
            </w:pPr>
            <w:r>
              <w:rPr>
                <w:bCs/>
              </w:rPr>
              <w:t>П</w:t>
            </w:r>
            <w:r w:rsidR="0099312F" w:rsidRPr="0099312F">
              <w:rPr>
                <w:bCs/>
              </w:rPr>
              <w:t>ринять</w:t>
            </w:r>
          </w:p>
        </w:tc>
      </w:tr>
      <w:tr w:rsidR="000A7F91" w:rsidRPr="006F3DFC" w:rsidTr="00EC670A">
        <w:tblPrEx>
          <w:tblCellMar>
            <w:top w:w="0" w:type="dxa"/>
            <w:bottom w:w="0" w:type="dxa"/>
          </w:tblCellMar>
        </w:tblPrEx>
        <w:trPr>
          <w:trHeight w:val="668"/>
        </w:trPr>
        <w:tc>
          <w:tcPr>
            <w:tcW w:w="201" w:type="pct"/>
            <w:tcBorders>
              <w:top w:val="single" w:sz="4" w:space="0" w:color="auto"/>
              <w:left w:val="single" w:sz="4" w:space="0" w:color="auto"/>
              <w:bottom w:val="single" w:sz="4" w:space="0" w:color="auto"/>
              <w:right w:val="single" w:sz="4" w:space="0" w:color="auto"/>
            </w:tcBorders>
          </w:tcPr>
          <w:p w:rsidR="000A7F91" w:rsidRPr="0099312F" w:rsidRDefault="00E001E4" w:rsidP="009D2E12">
            <w:pPr>
              <w:jc w:val="center"/>
            </w:pPr>
            <w:r>
              <w:t>1.</w:t>
            </w:r>
            <w:r w:rsidR="000A7F91">
              <w:t>4</w:t>
            </w:r>
          </w:p>
        </w:tc>
        <w:tc>
          <w:tcPr>
            <w:tcW w:w="3342" w:type="pct"/>
            <w:tcBorders>
              <w:top w:val="single" w:sz="4" w:space="0" w:color="auto"/>
              <w:left w:val="single" w:sz="4" w:space="0" w:color="auto"/>
              <w:bottom w:val="single" w:sz="4" w:space="0" w:color="auto"/>
              <w:right w:val="single" w:sz="4" w:space="0" w:color="auto"/>
            </w:tcBorders>
          </w:tcPr>
          <w:p w:rsidR="000A7F91" w:rsidRPr="0099312F" w:rsidRDefault="00032189" w:rsidP="00032189">
            <w:pPr>
              <w:jc w:val="both"/>
            </w:pPr>
            <w:r w:rsidRPr="0028769C">
              <w:t>В пункте 1.6 понятие «колерный паспорт» изложить в следующей редакции: «колерный паспорт - документ, содержащий требования к внешнему облику здания, строения, сооружения: колористическое решение и способ отделки фасадов, архитектурных деталей, дополнительных декоративных и конструктивных элементов»</w:t>
            </w:r>
          </w:p>
        </w:tc>
        <w:tc>
          <w:tcPr>
            <w:tcW w:w="1457" w:type="pct"/>
            <w:tcBorders>
              <w:top w:val="single" w:sz="4" w:space="0" w:color="auto"/>
              <w:left w:val="single" w:sz="4" w:space="0" w:color="auto"/>
              <w:bottom w:val="single" w:sz="4" w:space="0" w:color="auto"/>
              <w:right w:val="single" w:sz="4" w:space="0" w:color="auto"/>
            </w:tcBorders>
          </w:tcPr>
          <w:p w:rsidR="000A7F91" w:rsidRPr="0099312F" w:rsidRDefault="006D5C28" w:rsidP="00865961">
            <w:pPr>
              <w:pStyle w:val="a4"/>
              <w:ind w:left="146"/>
              <w:jc w:val="both"/>
              <w:rPr>
                <w:bCs/>
              </w:rPr>
            </w:pPr>
            <w:r>
              <w:rPr>
                <w:bCs/>
              </w:rPr>
              <w:t>П</w:t>
            </w:r>
            <w:r w:rsidR="00032189" w:rsidRPr="0099312F">
              <w:rPr>
                <w:bCs/>
              </w:rPr>
              <w:t>ринять</w:t>
            </w:r>
          </w:p>
        </w:tc>
      </w:tr>
      <w:tr w:rsidR="000A7F91" w:rsidRPr="006F3DFC" w:rsidTr="00EC670A">
        <w:tblPrEx>
          <w:tblCellMar>
            <w:top w:w="0" w:type="dxa"/>
            <w:bottom w:w="0" w:type="dxa"/>
          </w:tblCellMar>
        </w:tblPrEx>
        <w:trPr>
          <w:trHeight w:val="668"/>
        </w:trPr>
        <w:tc>
          <w:tcPr>
            <w:tcW w:w="201" w:type="pct"/>
            <w:tcBorders>
              <w:top w:val="single" w:sz="4" w:space="0" w:color="auto"/>
              <w:left w:val="single" w:sz="4" w:space="0" w:color="auto"/>
              <w:bottom w:val="single" w:sz="4" w:space="0" w:color="auto"/>
              <w:right w:val="single" w:sz="4" w:space="0" w:color="auto"/>
            </w:tcBorders>
          </w:tcPr>
          <w:p w:rsidR="000A7F91" w:rsidRPr="0099312F" w:rsidRDefault="00E001E4" w:rsidP="009D2E12">
            <w:pPr>
              <w:jc w:val="center"/>
            </w:pPr>
            <w:r>
              <w:t>1.</w:t>
            </w:r>
            <w:r w:rsidR="000A7F91">
              <w:t>5</w:t>
            </w:r>
          </w:p>
        </w:tc>
        <w:tc>
          <w:tcPr>
            <w:tcW w:w="3342" w:type="pct"/>
            <w:tcBorders>
              <w:top w:val="single" w:sz="4" w:space="0" w:color="auto"/>
              <w:left w:val="single" w:sz="4" w:space="0" w:color="auto"/>
              <w:bottom w:val="single" w:sz="4" w:space="0" w:color="auto"/>
              <w:right w:val="single" w:sz="4" w:space="0" w:color="auto"/>
            </w:tcBorders>
          </w:tcPr>
          <w:p w:rsidR="00032189" w:rsidRPr="0028769C" w:rsidRDefault="00032189" w:rsidP="00032189">
            <w:pPr>
              <w:jc w:val="both"/>
            </w:pPr>
            <w:r w:rsidRPr="0028769C">
              <w:t>Пункт 2.8 изложить в новой редакции:</w:t>
            </w:r>
          </w:p>
          <w:p w:rsidR="00032189" w:rsidRPr="0028769C" w:rsidRDefault="00032189" w:rsidP="00032189">
            <w:pPr>
              <w:jc w:val="both"/>
            </w:pPr>
            <w:r>
              <w:tab/>
            </w:r>
            <w:r w:rsidRPr="0028769C">
              <w:t>«2.8. Прилегающие к объектам территории для содержания и уборки определяются в следующих границах:</w:t>
            </w:r>
          </w:p>
          <w:p w:rsidR="00032189" w:rsidRPr="0028769C" w:rsidRDefault="00032189" w:rsidP="00032189">
            <w:pPr>
              <w:jc w:val="both"/>
            </w:pPr>
            <w:r>
              <w:lastRenderedPageBreak/>
              <w:tab/>
            </w:r>
            <w:r w:rsidRPr="0028769C">
              <w:t>1)</w:t>
            </w:r>
            <w:r>
              <w:t xml:space="preserve"> </w:t>
            </w:r>
            <w:r w:rsidRPr="0028769C">
              <w:t xml:space="preserve">для обособленно расположенных нежилых зданий, строений и сооружений, включая объекты торговли, бытового обслуживания и сферы услуг (киоски, павильоны, ларьки, металлические гаражи и другие нестационарные объекты) </w:t>
            </w:r>
            <w:r>
              <w:t>–</w:t>
            </w:r>
            <w:r w:rsidRPr="0028769C">
              <w:t xml:space="preserve"> по всему периметру отведенной территории: с обращенной к проезжей части улицы </w:t>
            </w:r>
            <w:r>
              <w:t>–</w:t>
            </w:r>
            <w:r w:rsidRPr="0028769C">
              <w:t xml:space="preserve"> шириной до бордюрного камня дороги, с других сторон </w:t>
            </w:r>
            <w:r>
              <w:t>–</w:t>
            </w:r>
            <w:r w:rsidR="00B46066">
              <w:t xml:space="preserve"> шириной 2</w:t>
            </w:r>
            <w:r w:rsidRPr="0028769C">
              <w:t>0 метров, включая въезды и выезды к отведенным территориям (при наличии) по всей протяженности;</w:t>
            </w:r>
          </w:p>
          <w:p w:rsidR="00032189" w:rsidRPr="0028769C" w:rsidRDefault="00032189" w:rsidP="00032189">
            <w:pPr>
              <w:jc w:val="both"/>
            </w:pPr>
            <w:r>
              <w:tab/>
            </w:r>
            <w:r w:rsidRPr="0028769C">
              <w:t>2)</w:t>
            </w:r>
            <w:r>
              <w:t xml:space="preserve"> </w:t>
            </w:r>
            <w:r w:rsidRPr="0028769C">
              <w:t xml:space="preserve">для учреждений образования, культуры, здравоохранения, социальной защиты населения, иных объектов социальной сферы </w:t>
            </w:r>
            <w:r>
              <w:t>–</w:t>
            </w:r>
            <w:r w:rsidRPr="0028769C">
              <w:t xml:space="preserve"> по всему периметру отведенной территории: с обращенной к проезжей части улицы - шириной до бордюрного камня дороги, с других сторон </w:t>
            </w:r>
            <w:r>
              <w:t>–</w:t>
            </w:r>
            <w:r w:rsidRPr="0028769C">
              <w:t xml:space="preserve"> шириной </w:t>
            </w:r>
            <w:r w:rsidR="00B46066">
              <w:t>2</w:t>
            </w:r>
            <w:r w:rsidRPr="0028769C">
              <w:t>0 метров;</w:t>
            </w:r>
          </w:p>
          <w:p w:rsidR="00032189" w:rsidRPr="0028769C" w:rsidRDefault="00032189" w:rsidP="00032189">
            <w:pPr>
              <w:jc w:val="both"/>
            </w:pPr>
            <w:r>
              <w:tab/>
            </w:r>
            <w:r w:rsidRPr="0028769C">
              <w:t>3)</w:t>
            </w:r>
            <w:r>
              <w:t xml:space="preserve"> </w:t>
            </w:r>
            <w:r w:rsidRPr="0028769C">
              <w:t xml:space="preserve">для индивидуальных жилых домов </w:t>
            </w:r>
            <w:r>
              <w:t>–</w:t>
            </w:r>
            <w:r w:rsidRPr="0028769C">
              <w:t xml:space="preserve"> в длину - на всю территорию застройки, в ширину </w:t>
            </w:r>
            <w:r>
              <w:t>–</w:t>
            </w:r>
            <w:r w:rsidR="00B46066">
              <w:t xml:space="preserve"> до проезжей части улиц</w:t>
            </w:r>
            <w:r w:rsidRPr="0028769C">
              <w:t>;</w:t>
            </w:r>
          </w:p>
          <w:p w:rsidR="00032189" w:rsidRPr="0028769C" w:rsidRDefault="00032189" w:rsidP="00032189">
            <w:pPr>
              <w:jc w:val="both"/>
            </w:pPr>
            <w:r>
              <w:tab/>
            </w:r>
            <w:r w:rsidRPr="0028769C">
              <w:t>4)</w:t>
            </w:r>
            <w:r>
              <w:t xml:space="preserve"> </w:t>
            </w:r>
            <w:r w:rsidRPr="0028769C">
              <w:t xml:space="preserve">для многоквартирных домов </w:t>
            </w:r>
            <w:r>
              <w:t>–</w:t>
            </w:r>
            <w:r w:rsidRPr="0028769C">
              <w:t xml:space="preserve"> индивидуально для каждого дома с учетом границ отведенной территории, но не менее 50 метров;</w:t>
            </w:r>
          </w:p>
          <w:p w:rsidR="00032189" w:rsidRPr="0028769C" w:rsidRDefault="00032189" w:rsidP="00032189">
            <w:pPr>
              <w:jc w:val="both"/>
            </w:pPr>
            <w:r>
              <w:tab/>
            </w:r>
            <w:r w:rsidRPr="0028769C">
              <w:t>5)</w:t>
            </w:r>
            <w:r>
              <w:t xml:space="preserve"> </w:t>
            </w:r>
            <w:r w:rsidRPr="0028769C">
              <w:t xml:space="preserve">для нежилых помещений в жилых домах </w:t>
            </w:r>
            <w:r>
              <w:t>–</w:t>
            </w:r>
            <w:r w:rsidRPr="0028769C">
              <w:t xml:space="preserve"> в створе выходящего на улицу фасада нежилого помещения на ширину прилегающей территории жилого дома, в котором данное помещение расположено;</w:t>
            </w:r>
          </w:p>
          <w:p w:rsidR="00032189" w:rsidRPr="0028769C" w:rsidRDefault="00032189" w:rsidP="00032189">
            <w:pPr>
              <w:jc w:val="both"/>
            </w:pPr>
            <w:r>
              <w:tab/>
            </w:r>
            <w:r w:rsidRPr="0028769C">
              <w:t>6)</w:t>
            </w:r>
            <w:r>
              <w:t xml:space="preserve"> </w:t>
            </w:r>
            <w:r w:rsidRPr="0028769C">
              <w:t xml:space="preserve">для строительных площадок </w:t>
            </w:r>
            <w:r>
              <w:t>–</w:t>
            </w:r>
            <w:r w:rsidRPr="0028769C">
              <w:t xml:space="preserve"> по всему периметру отведенной территории шириной 50 метров, включая въезды и выезды к отведенным территориям (при наличии) по всей протяженности;</w:t>
            </w:r>
          </w:p>
          <w:p w:rsidR="00032189" w:rsidRPr="0028769C" w:rsidRDefault="00032189" w:rsidP="00032189">
            <w:pPr>
              <w:jc w:val="both"/>
            </w:pPr>
            <w:r>
              <w:tab/>
            </w:r>
            <w:r w:rsidRPr="0028769C">
              <w:t>7)</w:t>
            </w:r>
            <w:r>
              <w:t xml:space="preserve"> </w:t>
            </w:r>
            <w:r w:rsidRPr="0028769C">
              <w:t xml:space="preserve">для контейнерных площадок и иных нестационарных объектов благоустройства </w:t>
            </w:r>
            <w:r>
              <w:t>–</w:t>
            </w:r>
            <w:r w:rsidRPr="0028769C">
              <w:t xml:space="preserve"> по всему периметру шириной 10 метров;</w:t>
            </w:r>
          </w:p>
          <w:p w:rsidR="00032189" w:rsidRPr="0028769C" w:rsidRDefault="00032189" w:rsidP="00032189">
            <w:pPr>
              <w:jc w:val="both"/>
            </w:pPr>
            <w:r>
              <w:tab/>
            </w:r>
            <w:r w:rsidRPr="0028769C">
              <w:t>8)</w:t>
            </w:r>
            <w:r>
              <w:t xml:space="preserve"> </w:t>
            </w:r>
            <w:r w:rsidRPr="0028769C">
              <w:t xml:space="preserve">для автомобильных дорог </w:t>
            </w:r>
            <w:r>
              <w:t>–</w:t>
            </w:r>
            <w:r w:rsidRPr="0028769C">
              <w:t xml:space="preserve"> до 5 м от кромки асфальта;</w:t>
            </w:r>
          </w:p>
          <w:p w:rsidR="00032189" w:rsidRPr="0028769C" w:rsidRDefault="00032189" w:rsidP="00032189">
            <w:pPr>
              <w:jc w:val="both"/>
            </w:pPr>
            <w:r>
              <w:tab/>
            </w:r>
            <w:r w:rsidRPr="0028769C">
              <w:t>9)</w:t>
            </w:r>
            <w:r>
              <w:t xml:space="preserve"> </w:t>
            </w:r>
            <w:r w:rsidRPr="0028769C">
              <w:t xml:space="preserve">для гаражных кооперативов, автостоянок, парковок </w:t>
            </w:r>
            <w:r>
              <w:t>–</w:t>
            </w:r>
            <w:r w:rsidRPr="0028769C">
              <w:t xml:space="preserve"> 50 метров от периметра отведенной территории.</w:t>
            </w:r>
          </w:p>
          <w:p w:rsidR="000A7F91" w:rsidRPr="0099312F" w:rsidRDefault="00032189" w:rsidP="00032189">
            <w:pPr>
              <w:jc w:val="both"/>
            </w:pPr>
            <w:r>
              <w:tab/>
            </w:r>
            <w:r w:rsidRPr="0028769C">
              <w:t>В случае наложения прилегающих территорий двух объектов размер прилегающей территории каждого объекта в пределах зоны наложения определяется исходя из принципа равноудаленности</w:t>
            </w:r>
            <w:r>
              <w:t xml:space="preserve"> </w:t>
            </w:r>
            <w:r w:rsidRPr="0028769C">
              <w:t>границ отведенных территорий.»</w:t>
            </w:r>
          </w:p>
        </w:tc>
        <w:tc>
          <w:tcPr>
            <w:tcW w:w="1457" w:type="pct"/>
            <w:tcBorders>
              <w:top w:val="single" w:sz="4" w:space="0" w:color="auto"/>
              <w:left w:val="single" w:sz="4" w:space="0" w:color="auto"/>
              <w:bottom w:val="single" w:sz="4" w:space="0" w:color="auto"/>
              <w:right w:val="single" w:sz="4" w:space="0" w:color="auto"/>
            </w:tcBorders>
          </w:tcPr>
          <w:p w:rsidR="000A7F91" w:rsidRPr="0099312F" w:rsidRDefault="006D5C28" w:rsidP="00865961">
            <w:pPr>
              <w:pStyle w:val="a4"/>
              <w:ind w:left="146"/>
              <w:jc w:val="both"/>
              <w:rPr>
                <w:bCs/>
              </w:rPr>
            </w:pPr>
            <w:r>
              <w:rPr>
                <w:bCs/>
              </w:rPr>
              <w:lastRenderedPageBreak/>
              <w:t>П</w:t>
            </w:r>
            <w:r w:rsidR="00032189" w:rsidRPr="0099312F">
              <w:rPr>
                <w:bCs/>
              </w:rPr>
              <w:t>ринять</w:t>
            </w:r>
          </w:p>
        </w:tc>
      </w:tr>
      <w:tr w:rsidR="000A7F91" w:rsidRPr="006F3DFC" w:rsidTr="00EC670A">
        <w:tblPrEx>
          <w:tblCellMar>
            <w:top w:w="0" w:type="dxa"/>
            <w:bottom w:w="0" w:type="dxa"/>
          </w:tblCellMar>
        </w:tblPrEx>
        <w:trPr>
          <w:trHeight w:val="668"/>
        </w:trPr>
        <w:tc>
          <w:tcPr>
            <w:tcW w:w="201" w:type="pct"/>
            <w:tcBorders>
              <w:top w:val="single" w:sz="4" w:space="0" w:color="auto"/>
              <w:left w:val="single" w:sz="4" w:space="0" w:color="auto"/>
              <w:bottom w:val="single" w:sz="4" w:space="0" w:color="auto"/>
              <w:right w:val="single" w:sz="4" w:space="0" w:color="auto"/>
            </w:tcBorders>
          </w:tcPr>
          <w:p w:rsidR="000A7F91" w:rsidRPr="0099312F" w:rsidRDefault="00E001E4" w:rsidP="009D2E12">
            <w:pPr>
              <w:jc w:val="center"/>
            </w:pPr>
            <w:r>
              <w:lastRenderedPageBreak/>
              <w:t>1.</w:t>
            </w:r>
            <w:r w:rsidR="000A7F91">
              <w:t>6</w:t>
            </w:r>
          </w:p>
        </w:tc>
        <w:tc>
          <w:tcPr>
            <w:tcW w:w="3342" w:type="pct"/>
            <w:tcBorders>
              <w:top w:val="single" w:sz="4" w:space="0" w:color="auto"/>
              <w:left w:val="single" w:sz="4" w:space="0" w:color="auto"/>
              <w:bottom w:val="single" w:sz="4" w:space="0" w:color="auto"/>
              <w:right w:val="single" w:sz="4" w:space="0" w:color="auto"/>
            </w:tcBorders>
          </w:tcPr>
          <w:p w:rsidR="00032189" w:rsidRPr="0028769C" w:rsidRDefault="00032189" w:rsidP="00032189">
            <w:r w:rsidRPr="0028769C">
              <w:t>Дополнить пункт 3.7 подпунктами следующего содержания:</w:t>
            </w:r>
          </w:p>
          <w:p w:rsidR="00032189" w:rsidRPr="0028769C" w:rsidRDefault="00032189" w:rsidP="00032189">
            <w:pPr>
              <w:jc w:val="both"/>
            </w:pPr>
            <w:r>
              <w:tab/>
            </w:r>
            <w:r w:rsidRPr="0028769C">
              <w:t>«3.7.1.</w:t>
            </w:r>
            <w:r>
              <w:t xml:space="preserve"> </w:t>
            </w:r>
            <w:r w:rsidRPr="0028769C">
              <w:t>В зимний период организации всех форм собственности, индивидуальные предприниматели обеспечивают уборку и вывоз снега с отведенной и прилегающей территорий.</w:t>
            </w:r>
          </w:p>
          <w:p w:rsidR="00032189" w:rsidRPr="0028769C" w:rsidRDefault="00032189" w:rsidP="00032189">
            <w:pPr>
              <w:jc w:val="both"/>
            </w:pPr>
            <w:r>
              <w:tab/>
            </w:r>
            <w:r w:rsidRPr="0028769C">
              <w:t>3.7.2.</w:t>
            </w:r>
            <w:r>
              <w:t xml:space="preserve"> </w:t>
            </w:r>
            <w:r w:rsidRPr="0028769C">
              <w:t>Вывоз незагрязненного снега с территории городского поселения осуществляется на специально отведенные места для складирования снега. Места для складирования незагрязненного снега определяются постановлением администрации городского поселения.</w:t>
            </w:r>
          </w:p>
          <w:p w:rsidR="00032189" w:rsidRPr="0028769C" w:rsidRDefault="00032189" w:rsidP="00032189">
            <w:pPr>
              <w:jc w:val="both"/>
            </w:pPr>
            <w:r>
              <w:tab/>
            </w:r>
            <w:r w:rsidRPr="0028769C">
              <w:t xml:space="preserve">Загрязненный снег и снежно-ледяные образования вывозятся на полигон для </w:t>
            </w:r>
            <w:r w:rsidRPr="0028769C">
              <w:lastRenderedPageBreak/>
              <w:t>размещения бытовых отходов для переработки и обезвреживания;</w:t>
            </w:r>
          </w:p>
          <w:p w:rsidR="00032189" w:rsidRPr="0028769C" w:rsidRDefault="00032189" w:rsidP="00032189">
            <w:pPr>
              <w:jc w:val="both"/>
            </w:pPr>
            <w:r>
              <w:tab/>
            </w:r>
            <w:r w:rsidRPr="0028769C">
              <w:t>3.7.3.</w:t>
            </w:r>
            <w:r>
              <w:t xml:space="preserve"> </w:t>
            </w:r>
            <w:r w:rsidRPr="0028769C">
              <w:t xml:space="preserve">Вывоз снега с магистральных дорог городского </w:t>
            </w:r>
            <w:r>
              <w:t>поселения</w:t>
            </w:r>
            <w:r w:rsidRPr="0028769C">
              <w:t>, а также с территории объектов торговли, общественного питания, бытового обслуживания, социально-культурного обслуживания осуществляется в течение 3 суток с момента окончания снегопада.</w:t>
            </w:r>
          </w:p>
          <w:p w:rsidR="00032189" w:rsidRPr="0028769C" w:rsidRDefault="00032189" w:rsidP="00032189">
            <w:pPr>
              <w:jc w:val="both"/>
            </w:pPr>
            <w:r>
              <w:tab/>
            </w:r>
            <w:r w:rsidRPr="0028769C">
              <w:t>3.7.4.</w:t>
            </w:r>
            <w:r>
              <w:t xml:space="preserve"> </w:t>
            </w:r>
            <w:r w:rsidRPr="0028769C">
              <w:t>Обработка проезжей части дорог противогололедными материалами начинается сразу с началом снегопада. В случае получения предупреждения об угрозе возникновения массового гололеда обработка наиболее опасных участков дорог производится заблаговременно.</w:t>
            </w:r>
          </w:p>
          <w:p w:rsidR="00032189" w:rsidRPr="0028769C" w:rsidRDefault="00032189" w:rsidP="00032189">
            <w:pPr>
              <w:jc w:val="both"/>
            </w:pPr>
            <w:r>
              <w:tab/>
            </w:r>
            <w:r w:rsidRPr="0028769C">
              <w:t>С началом снегопада в первую очередь обрабатываются противогололедными материалами наиболее опасные для движения транспорта участки улиц: крутые спуски, подъемы, перекрестки, места остановок городского пассажирского общественного транспорта, пешеходные переходы, тротуары. По окончании обработки наиболее опасных мест (по мере значимости предполагаемой опасности), производится сплошная обработка проезжей части дорог.</w:t>
            </w:r>
          </w:p>
          <w:p w:rsidR="00032189" w:rsidRPr="0028769C" w:rsidRDefault="00032189" w:rsidP="00032189">
            <w:pPr>
              <w:jc w:val="both"/>
            </w:pPr>
            <w:r>
              <w:tab/>
            </w:r>
            <w:r w:rsidRPr="0028769C">
              <w:t>3.7.5.</w:t>
            </w:r>
            <w:r>
              <w:t xml:space="preserve"> </w:t>
            </w:r>
            <w:r w:rsidRPr="0028769C">
              <w:t>Нормативный срок механизированной уборки дорог и улиц осуществляется в соответствии с государственным стандартом РФ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принятым Постановлением Госстандарта Российской Федерации от 11.10.1993 № 221.</w:t>
            </w:r>
          </w:p>
          <w:p w:rsidR="00032189" w:rsidRPr="0028769C" w:rsidRDefault="00032189" w:rsidP="00032189">
            <w:pPr>
              <w:jc w:val="both"/>
            </w:pPr>
            <w:r>
              <w:tab/>
            </w:r>
            <w:r w:rsidRPr="0028769C">
              <w:t>Срок уборки от снега внутриквартальных проездов не должен превышать двух суток с момента окончания снегопада, а придомовых проездов - трех суток с момента окончания снегопада.</w:t>
            </w:r>
          </w:p>
          <w:p w:rsidR="00032189" w:rsidRPr="0028769C" w:rsidRDefault="00032189" w:rsidP="00032189">
            <w:pPr>
              <w:jc w:val="both"/>
            </w:pPr>
            <w:r>
              <w:tab/>
            </w:r>
            <w:r w:rsidRPr="0028769C">
              <w:t>3.7.6.</w:t>
            </w:r>
            <w:r>
              <w:t xml:space="preserve"> </w:t>
            </w:r>
            <w:r w:rsidRPr="0028769C">
              <w:t>Работы по уборке снега, льда, ледяного наката с лестниц, крылец, площадок перед входами в здания, сооружения, занимаемые хозяйствующими субъектами, а также уборка снега с пешеходных тротуаров, расположенных на прилегающей территории, и посыпка их противогололедным материалом в количестве, исключающем скользкость, либо полное удаление ледяных образований должны быть закончены до восьми часов утра, но не позднее чем в течение трех часов после окончания снегопада.</w:t>
            </w:r>
          </w:p>
          <w:p w:rsidR="00032189" w:rsidRPr="0028769C" w:rsidRDefault="00032189" w:rsidP="00032189">
            <w:pPr>
              <w:jc w:val="both"/>
            </w:pPr>
            <w:r>
              <w:tab/>
            </w:r>
            <w:r w:rsidRPr="0028769C">
              <w:t>3.7.7.</w:t>
            </w:r>
            <w:r>
              <w:t xml:space="preserve"> </w:t>
            </w:r>
            <w:r w:rsidRPr="0028769C">
              <w:t xml:space="preserve">Очистка крыш, карнизов, водосточных труб, крылец, путепроводов, мостов от снега и ледяных наростов должна производиться хозяйствующими субъектами, владельцами зданий, строений и сооружений в светлое время суток с обязательным осуществлением комплекса охранных мероприятий, обеспечивающих движение пешеходов и транспорта (ограждение тротуаров, назначение дежурных, оснащение страховочным оборудованием лиц, работающих на высоте), с немедленным вывозом снега и наледей с тротуаров и проездов. Для предотвращения сверхнормативных нагрузок на крыши, карнизы, козырьки зданий, строений и сооружений, а также самопроизвольного схода </w:t>
            </w:r>
            <w:r w:rsidRPr="0028769C">
              <w:lastRenderedPageBreak/>
              <w:t>снежных масс, очистка крыш от снега и ледяных наростов осуществляется после каждого обильного снегопада. Очистка кровель зданий, строений, сооружений на сторонах, выходящих на пешеходные зоны, от образования наледи, должна производиться немедленно с предварительной установкой ограждений опасных участков и только в светлое время суток.</w:t>
            </w:r>
          </w:p>
          <w:p w:rsidR="00032189" w:rsidRPr="0028769C" w:rsidRDefault="00032189" w:rsidP="00032189">
            <w:pPr>
              <w:jc w:val="both"/>
            </w:pPr>
            <w:r>
              <w:tab/>
            </w:r>
            <w:r w:rsidRPr="0028769C">
              <w:t>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дорожных знаков и любых других объектов благоустройства.</w:t>
            </w:r>
          </w:p>
          <w:p w:rsidR="00032189" w:rsidRPr="0028769C" w:rsidRDefault="00032189" w:rsidP="00032189">
            <w:pPr>
              <w:jc w:val="both"/>
            </w:pPr>
            <w:r>
              <w:tab/>
            </w:r>
            <w:r w:rsidRPr="0028769C">
              <w:t>3.7.8.</w:t>
            </w:r>
            <w:r>
              <w:t xml:space="preserve"> </w:t>
            </w:r>
            <w:r w:rsidRPr="0028769C">
              <w:t>Все тротуары, придомовые территории, лотковые части автомобильных дорог, проезды и другие участки с асфальтовым и иным покрытием должны очищаться от снега и обледенелого наката. При возникновении наледи (гололеда) производится обработка территорий противогололедным материалом.</w:t>
            </w:r>
          </w:p>
          <w:p w:rsidR="000A7F91" w:rsidRPr="0099312F" w:rsidRDefault="00032189" w:rsidP="00032189">
            <w:pPr>
              <w:jc w:val="both"/>
            </w:pPr>
            <w:r>
              <w:tab/>
            </w:r>
            <w:r w:rsidRPr="0028769C">
              <w:t>При проведении работ по скалыванию льда и удалению снежно-ледяных образований запрещается применение ручного механизированного и немеханизированного инструмента, нарушающего целостность поверхности покрытия тротуаров (поребриков, бордюров).»</w:t>
            </w:r>
          </w:p>
        </w:tc>
        <w:tc>
          <w:tcPr>
            <w:tcW w:w="1457" w:type="pct"/>
            <w:tcBorders>
              <w:top w:val="single" w:sz="4" w:space="0" w:color="auto"/>
              <w:left w:val="single" w:sz="4" w:space="0" w:color="auto"/>
              <w:bottom w:val="single" w:sz="4" w:space="0" w:color="auto"/>
              <w:right w:val="single" w:sz="4" w:space="0" w:color="auto"/>
            </w:tcBorders>
          </w:tcPr>
          <w:p w:rsidR="000A7F91" w:rsidRPr="0099312F" w:rsidRDefault="006D5C28" w:rsidP="00865961">
            <w:pPr>
              <w:pStyle w:val="a4"/>
              <w:ind w:left="146"/>
              <w:jc w:val="both"/>
              <w:rPr>
                <w:bCs/>
              </w:rPr>
            </w:pPr>
            <w:r>
              <w:rPr>
                <w:bCs/>
              </w:rPr>
              <w:lastRenderedPageBreak/>
              <w:t>П</w:t>
            </w:r>
            <w:r w:rsidR="00032189" w:rsidRPr="0099312F">
              <w:rPr>
                <w:bCs/>
              </w:rPr>
              <w:t>ринять</w:t>
            </w:r>
          </w:p>
        </w:tc>
      </w:tr>
      <w:tr w:rsidR="000A7F91" w:rsidRPr="006F3DFC" w:rsidTr="00EC670A">
        <w:tblPrEx>
          <w:tblCellMar>
            <w:top w:w="0" w:type="dxa"/>
            <w:bottom w:w="0" w:type="dxa"/>
          </w:tblCellMar>
        </w:tblPrEx>
        <w:trPr>
          <w:trHeight w:val="668"/>
        </w:trPr>
        <w:tc>
          <w:tcPr>
            <w:tcW w:w="201" w:type="pct"/>
            <w:tcBorders>
              <w:top w:val="single" w:sz="4" w:space="0" w:color="auto"/>
              <w:left w:val="single" w:sz="4" w:space="0" w:color="auto"/>
              <w:bottom w:val="single" w:sz="4" w:space="0" w:color="auto"/>
              <w:right w:val="single" w:sz="4" w:space="0" w:color="auto"/>
            </w:tcBorders>
          </w:tcPr>
          <w:p w:rsidR="000A7F91" w:rsidRPr="0099312F" w:rsidRDefault="00E001E4" w:rsidP="009D2E12">
            <w:pPr>
              <w:jc w:val="center"/>
            </w:pPr>
            <w:r>
              <w:lastRenderedPageBreak/>
              <w:t>1.</w:t>
            </w:r>
            <w:r w:rsidR="00F77405">
              <w:t>7</w:t>
            </w:r>
          </w:p>
        </w:tc>
        <w:tc>
          <w:tcPr>
            <w:tcW w:w="3342" w:type="pct"/>
            <w:tcBorders>
              <w:top w:val="single" w:sz="4" w:space="0" w:color="auto"/>
              <w:left w:val="single" w:sz="4" w:space="0" w:color="auto"/>
              <w:bottom w:val="single" w:sz="4" w:space="0" w:color="auto"/>
              <w:right w:val="single" w:sz="4" w:space="0" w:color="auto"/>
            </w:tcBorders>
          </w:tcPr>
          <w:p w:rsidR="00032189" w:rsidRPr="0028769C" w:rsidRDefault="00032189" w:rsidP="00032189">
            <w:pPr>
              <w:jc w:val="both"/>
            </w:pPr>
            <w:r w:rsidRPr="0028769C">
              <w:t>Пункт 4.6 изложить в следующей редакции:</w:t>
            </w:r>
          </w:p>
          <w:p w:rsidR="00032189" w:rsidRPr="0028769C" w:rsidRDefault="00032189" w:rsidP="00032189">
            <w:pPr>
              <w:jc w:val="both"/>
            </w:pPr>
            <w:r>
              <w:tab/>
            </w:r>
            <w:r w:rsidRPr="0028769C">
              <w:t>«4.6. Фасады зданий</w:t>
            </w:r>
          </w:p>
          <w:p w:rsidR="00032189" w:rsidRPr="0028769C" w:rsidRDefault="00032189" w:rsidP="00032189">
            <w:pPr>
              <w:jc w:val="both"/>
            </w:pPr>
            <w:r>
              <w:tab/>
            </w:r>
            <w:r w:rsidRPr="0028769C">
              <w:t>4.6.1.</w:t>
            </w:r>
            <w:r>
              <w:t xml:space="preserve"> </w:t>
            </w:r>
            <w:r w:rsidRPr="0028769C">
              <w:t xml:space="preserve">Ответственность за внешний вид и состояние фасадов зданий, строений, сооружений (в том числе временных) несут собственники (правообладатели) объектов; в отношении многоквартирных домов </w:t>
            </w:r>
            <w:r>
              <w:t>–</w:t>
            </w:r>
            <w:r w:rsidRPr="0028769C">
              <w:t xml:space="preserve"> организации, которым собственники помещений многоквартирного дома делегировали полномочия по управлению общим имуществом (далее </w:t>
            </w:r>
            <w:r>
              <w:t>–</w:t>
            </w:r>
            <w:r w:rsidRPr="0028769C">
              <w:t xml:space="preserve"> организации по обслуживанию жилищного фонда) и (или) организации, осуществляющие работы по содержанию и обслуживанию зданий, строений, сооружений.</w:t>
            </w:r>
          </w:p>
          <w:p w:rsidR="00032189" w:rsidRPr="0028769C" w:rsidRDefault="00032189" w:rsidP="00032189">
            <w:pPr>
              <w:jc w:val="both"/>
            </w:pPr>
            <w:r>
              <w:tab/>
            </w:r>
            <w:r w:rsidRPr="0028769C">
              <w:t>4.6.2.</w:t>
            </w:r>
            <w:r>
              <w:t xml:space="preserve"> </w:t>
            </w:r>
            <w:r w:rsidRPr="0028769C">
              <w:t>Внешний облик здания, строения, сооружения (в том числе временного) отображается в колерном паспорте.</w:t>
            </w:r>
          </w:p>
          <w:p w:rsidR="00032189" w:rsidRPr="0028769C" w:rsidRDefault="00032189" w:rsidP="00032189">
            <w:pPr>
              <w:jc w:val="both"/>
            </w:pPr>
            <w:r>
              <w:tab/>
            </w:r>
            <w:r w:rsidRPr="0028769C">
              <w:t>Форма колерного паспорта и порядок его согласования и заполнения устанавливаются постановлением администрации городского поселения.</w:t>
            </w:r>
          </w:p>
          <w:p w:rsidR="00032189" w:rsidRPr="0028769C" w:rsidRDefault="00032189" w:rsidP="00032189">
            <w:pPr>
              <w:jc w:val="both"/>
            </w:pPr>
            <w:r>
              <w:tab/>
            </w:r>
            <w:r w:rsidRPr="0028769C">
              <w:t>Оформление колерных паспортов зданий, строений, сооружений (в том числе временных) возлагается на их собственников (правообладателей).</w:t>
            </w:r>
          </w:p>
          <w:p w:rsidR="00032189" w:rsidRPr="0028769C" w:rsidRDefault="00032189" w:rsidP="00032189">
            <w:pPr>
              <w:jc w:val="both"/>
            </w:pPr>
            <w:r>
              <w:tab/>
            </w:r>
            <w:r w:rsidRPr="0028769C">
              <w:t>4.6.3.</w:t>
            </w:r>
            <w:r>
              <w:t xml:space="preserve"> </w:t>
            </w:r>
            <w:r w:rsidRPr="0028769C">
              <w:t>Окраска, побелка, отделка, капитальный и текущий ремонт фасадов зданий, строений, сооружений (в том числе временных) производится в зависимости от их технического состояния в соответствии с колерным паспортом.</w:t>
            </w:r>
          </w:p>
          <w:p w:rsidR="00032189" w:rsidRPr="0028769C" w:rsidRDefault="00032189" w:rsidP="00032189">
            <w:pPr>
              <w:jc w:val="both"/>
            </w:pPr>
            <w:r>
              <w:tab/>
            </w:r>
            <w:r w:rsidRPr="0028769C">
              <w:t xml:space="preserve">Не допускается окрашивание (отделка) отдельных элементов (балконов, лоджий, оконных переплетов) со стороны фасада цветом, отличающимся от цвета, установленного для данного объекта в колерном паспорте. Не допускается реконструкция отдельных элементов (балконов, лоджий) без согласования с уполномоченным органом </w:t>
            </w:r>
            <w:r w:rsidRPr="0028769C">
              <w:lastRenderedPageBreak/>
              <w:t>администрации городского поселения в сфере градостроительства, а также с изменением их размера и формы, указанных в колерном паспорте.</w:t>
            </w:r>
          </w:p>
          <w:p w:rsidR="00032189" w:rsidRPr="0028769C" w:rsidRDefault="00032189" w:rsidP="00032189">
            <w:pPr>
              <w:jc w:val="both"/>
            </w:pPr>
            <w:r>
              <w:tab/>
            </w:r>
            <w:r w:rsidRPr="0028769C">
              <w:t>4.6.4.</w:t>
            </w:r>
            <w:r>
              <w:t xml:space="preserve"> </w:t>
            </w:r>
            <w:r w:rsidRPr="0028769C">
              <w:t>Собственники (правообладатели) зданий, строений, сооружений (в том числе временных), организации по обслуживанию жилищного фонда и (или) организации, осуществляющие работы по содержанию и обслуживанию зданий, строений, сооружений, обеспечивают чистоту, надлежащее состояние, отсутствие дефектов, конструктивную целостность фасадов и их отдельных элементов (балконов, лоджий, водосточных труб и прочих), а также поддерживают в чистоте и исправном состоянии расположенные на фасадах вывески, мемориальные плиты, указатели.</w:t>
            </w:r>
          </w:p>
          <w:p w:rsidR="00032189" w:rsidRPr="0028769C" w:rsidRDefault="00032189" w:rsidP="00032189">
            <w:pPr>
              <w:jc w:val="both"/>
            </w:pPr>
            <w:r>
              <w:tab/>
            </w:r>
            <w:r w:rsidRPr="0028769C">
              <w:t>4.6.5.</w:t>
            </w:r>
            <w:r>
              <w:t xml:space="preserve"> </w:t>
            </w:r>
            <w:r w:rsidRPr="0028769C">
              <w:t>Любые изменения фасадов зданий, строений, сооружений (за исключением индивидуальных жилых домов с количеством этажей не более трех), связанные с ликвидацией, дополнением или изменением отдельных деталей фасадов, производятся в соответствии с проектной документацией и по согласованию с уполномоченным органом администрации городского поселения в сфере градостроительства.</w:t>
            </w:r>
          </w:p>
          <w:p w:rsidR="00032189" w:rsidRPr="0028769C" w:rsidRDefault="00032189" w:rsidP="00032189">
            <w:pPr>
              <w:jc w:val="both"/>
            </w:pPr>
            <w:r>
              <w:tab/>
            </w:r>
            <w:r w:rsidRPr="0028769C">
              <w:t>4.6.6.</w:t>
            </w:r>
            <w:r>
              <w:t xml:space="preserve"> </w:t>
            </w:r>
            <w:r w:rsidRPr="0028769C">
              <w:t>Указатели расположения пожарных гидрантов, полигонометрические знаки, указатели расположения геодезических знаков и пунктов размещаются на цоколях зданий, строений, сооружений. Допустимо размещение указателей расположения подземного газопровода, других указателей расположения объектов городского хозяйства, различных сигнальных устройств на фасадах зданий, строений, сооружений при условии сохранения целостности отделки фасадов.</w:t>
            </w:r>
          </w:p>
          <w:p w:rsidR="00032189" w:rsidRPr="0028769C" w:rsidRDefault="00032189" w:rsidP="00032189">
            <w:pPr>
              <w:jc w:val="both"/>
            </w:pPr>
            <w:r>
              <w:tab/>
            </w:r>
            <w:r w:rsidRPr="0028769C">
              <w:t>Ответственность за сохранность и исправность знаков несут установившие их организации.</w:t>
            </w:r>
          </w:p>
          <w:p w:rsidR="00032189" w:rsidRPr="0028769C" w:rsidRDefault="00032189" w:rsidP="00032189">
            <w:pPr>
              <w:jc w:val="both"/>
            </w:pPr>
            <w:r>
              <w:tab/>
            </w:r>
            <w:r w:rsidRPr="0028769C">
              <w:t>4.6.7.</w:t>
            </w:r>
            <w:r>
              <w:t xml:space="preserve"> </w:t>
            </w:r>
            <w:r w:rsidRPr="0028769C">
              <w:t>На фасадах зданий, строений, сооружений размещаются указатели с наименованиями улиц и номерами домов, на фасадах жилых домов у входа в подъезд размещаются таблички с указанием номеров подъездов и квартир, расположенных в данном подъезде.</w:t>
            </w:r>
          </w:p>
          <w:p w:rsidR="00032189" w:rsidRPr="0028769C" w:rsidRDefault="00032189" w:rsidP="00032189">
            <w:pPr>
              <w:jc w:val="both"/>
            </w:pPr>
            <w:r>
              <w:tab/>
            </w:r>
            <w:r w:rsidRPr="0028769C">
              <w:t>Указатели с наименованиями улиц и номерами домов должны изготавливаться из долговечных материалов, располагаться на видном месте, хорошо различаться в темное время суток, освещаться внешним источником света, иметь внутреннюю подсветку и (или) светоотражающую поверхность и содержаться в чистоте и исправном состоянии.</w:t>
            </w:r>
            <w:r>
              <w:t xml:space="preserve"> </w:t>
            </w:r>
            <w:r w:rsidRPr="0028769C">
              <w:t>Требования к изготовлению указателей с наименованиями улиц и номерами домов, порядок их размещения определяются постановлением администрации городского поселения.</w:t>
            </w:r>
          </w:p>
          <w:p w:rsidR="00032189" w:rsidRPr="0028769C" w:rsidRDefault="00032189" w:rsidP="00032189">
            <w:pPr>
              <w:jc w:val="both"/>
            </w:pPr>
            <w:r>
              <w:tab/>
            </w:r>
            <w:r w:rsidRPr="0028769C">
              <w:t>4.6.8.</w:t>
            </w:r>
            <w:r>
              <w:t xml:space="preserve"> </w:t>
            </w:r>
            <w:r w:rsidRPr="0028769C">
              <w:t>При ремонте фасадов зданий, строений, сооружений сохранность указателей с наименованиями улиц и номерами домов, указателей номера подъезда многоквартирного дома и номеров квартир возлагается на организацию, выполняющую ремонтные работы, которая обязана восстановить указатели и иные знаки к моменту окончания работ.</w:t>
            </w:r>
          </w:p>
          <w:p w:rsidR="00032189" w:rsidRPr="0028769C" w:rsidRDefault="00032189" w:rsidP="00032189">
            <w:pPr>
              <w:jc w:val="both"/>
            </w:pPr>
            <w:r>
              <w:lastRenderedPageBreak/>
              <w:tab/>
            </w:r>
            <w:r w:rsidRPr="0028769C">
              <w:t>4.6.9.</w:t>
            </w:r>
            <w:r>
              <w:t xml:space="preserve"> </w:t>
            </w:r>
            <w:r w:rsidRPr="0028769C">
              <w:t>Установка мемориальных плит и иных памятных знаков на фасадах зданий, строений, сооружений осуществляется в порядке, установленном муниципальными правовыми актами.</w:t>
            </w:r>
          </w:p>
          <w:p w:rsidR="00032189" w:rsidRPr="0028769C" w:rsidRDefault="00032189" w:rsidP="00032189">
            <w:pPr>
              <w:jc w:val="both"/>
            </w:pPr>
            <w:r>
              <w:tab/>
            </w:r>
            <w:r w:rsidRPr="0028769C">
              <w:t>4.6.10.</w:t>
            </w:r>
            <w:r>
              <w:t xml:space="preserve"> </w:t>
            </w:r>
            <w:r w:rsidRPr="0028769C">
              <w:t>Размещение вывесок, указателей, флагштоков, кондиционеров, радио-, телевизионных, спутниковых антенн, кабельных линий и других устройств на многоквартирных домах осуществляется при условии соблюдения требований Жилищного кодекса Российской Федерации, Правил и норм технической эксплуатации жилищного фонда, утвержденных Постановлением Госстроя России от 27.09.2003 № 170.</w:t>
            </w:r>
            <w:r>
              <w:t xml:space="preserve"> </w:t>
            </w:r>
            <w:r w:rsidRPr="0028769C">
              <w:t>Размещение рекламных конструкций на территории городского поселения осуществляется в соответствии с требованиями Федерального закона «О рекламе».</w:t>
            </w:r>
          </w:p>
          <w:p w:rsidR="00032189" w:rsidRPr="0028769C" w:rsidRDefault="00032189" w:rsidP="00032189">
            <w:pPr>
              <w:jc w:val="both"/>
            </w:pPr>
            <w:r>
              <w:tab/>
            </w:r>
            <w:r w:rsidRPr="0028769C">
              <w:t>В целях сохранения архитектурного облика застройки городского поселения размещение рекламных конструкций и устройств, указанных в абзаце первом настоящего пункта, на здании, многоквартирном доме, строении, сооружении производится в соответствии со схемой размещения указанных в абзаце первом настоящего пункта устройств, согласованной с уполномоченным органом администрации городского поселения в сфере градостроительства. Схема размещения устройств разрабатывается собственником (владельцем) здания, строения, сооружения. Последующие размещаемые устройства закрепляются на здании, строении, сооружении согласно схеме с соблюдением указанных в ней размеров, формы и места.</w:t>
            </w:r>
          </w:p>
          <w:p w:rsidR="00032189" w:rsidRPr="0028769C" w:rsidRDefault="00032189" w:rsidP="00032189">
            <w:pPr>
              <w:jc w:val="both"/>
            </w:pPr>
            <w:r>
              <w:tab/>
            </w:r>
            <w:r w:rsidRPr="0028769C">
              <w:t>Лица, осуществляющие размещение на многоквартирном жилом доме рекламных конструкций и устройств, указанных в абзаце первом настоящего пункта, обязаны до начала проведения монтажных работ получить письменное разрешение на размещение данных устройств в организации по обслуживанию жилищного фонда.</w:t>
            </w:r>
          </w:p>
          <w:p w:rsidR="00032189" w:rsidRPr="0028769C" w:rsidRDefault="00032189" w:rsidP="00032189">
            <w:pPr>
              <w:jc w:val="both"/>
            </w:pPr>
            <w:r>
              <w:tab/>
            </w:r>
            <w:r w:rsidRPr="0028769C">
              <w:t>Запрещается размещать на многоквартирном жилом доме устройства, указанные в абзаце первом настоящего пункта, а также производить конструктивные изменения в элементах крыш без письменного разрешения, выдаваемого организациями по обслуживанию жилищного фонда.</w:t>
            </w:r>
          </w:p>
          <w:p w:rsidR="00032189" w:rsidRPr="0028769C" w:rsidRDefault="00032189" w:rsidP="00032189">
            <w:pPr>
              <w:jc w:val="both"/>
            </w:pPr>
            <w:r>
              <w:tab/>
            </w:r>
            <w:r w:rsidRPr="0028769C">
              <w:t>4.6.11.</w:t>
            </w:r>
            <w:r>
              <w:t xml:space="preserve"> </w:t>
            </w:r>
            <w:r w:rsidRPr="0028769C">
              <w:t>На фасадах зданий, строений, сооружений запрещается размещение посторонних устройств и предметов. На фасадах многоквартирных домов по красным линиям городских дорог не допускается размещение приспособлений и устройств для сушки белья.</w:t>
            </w:r>
          </w:p>
          <w:p w:rsidR="00032189" w:rsidRPr="0028769C" w:rsidRDefault="00032189" w:rsidP="00032189">
            <w:pPr>
              <w:jc w:val="both"/>
            </w:pPr>
            <w:r>
              <w:tab/>
            </w:r>
            <w:r w:rsidRPr="0028769C">
              <w:t>4.6.12.</w:t>
            </w:r>
            <w:r>
              <w:t xml:space="preserve"> </w:t>
            </w:r>
            <w:r w:rsidRPr="0028769C">
              <w:t>Запрещается размещать на здании, строении, сооружении рекламные конструкции, а также устройства, указанные в абзаце первом пункта 4.6.10, нарушающие целостность облицовки фасада и элементов крыши, не обеспечивающие устойчивость крепления, в целях сохранения конструктивной целостности здания, строения, сооружения.</w:t>
            </w:r>
          </w:p>
          <w:p w:rsidR="00032189" w:rsidRPr="0028769C" w:rsidRDefault="00032189" w:rsidP="00032189">
            <w:pPr>
              <w:jc w:val="both"/>
            </w:pPr>
            <w:r>
              <w:tab/>
            </w:r>
            <w:r w:rsidRPr="0028769C">
              <w:t xml:space="preserve">Запрещается размещать на архитектурных деталях (колоннах, карнизах), на внешней стороне ограждения балкона, лоджии здания, строения, сооружения рекламные </w:t>
            </w:r>
            <w:r w:rsidRPr="0028769C">
              <w:lastRenderedPageBreak/>
              <w:t>конструкции, а также устройства, указанные в абзаце первом пункта 4.6.10, в целях сохранения архитектурного облика застройки городского поселения.</w:t>
            </w:r>
          </w:p>
          <w:p w:rsidR="00032189" w:rsidRPr="0028769C" w:rsidRDefault="00032189" w:rsidP="00032189">
            <w:pPr>
              <w:jc w:val="both"/>
            </w:pPr>
            <w:r>
              <w:tab/>
            </w:r>
            <w:r w:rsidRPr="0028769C">
              <w:t>4.6.13.</w:t>
            </w:r>
            <w:r>
              <w:t xml:space="preserve"> </w:t>
            </w:r>
            <w:r w:rsidRPr="0028769C">
              <w:t>Вывески юридических лиц и индивидуальных предпринимателей размещаются на фасаде здания, строения, сооружения рядом с входом в организацию не выше первого этажа. Площадь вывески не должна превышать 0,5 квадратных метров.</w:t>
            </w:r>
          </w:p>
          <w:p w:rsidR="000A7F91" w:rsidRPr="0099312F" w:rsidRDefault="00032189" w:rsidP="00032189">
            <w:pPr>
              <w:jc w:val="both"/>
            </w:pPr>
            <w:r>
              <w:tab/>
            </w:r>
            <w:r w:rsidRPr="0028769C">
              <w:t>4.6.14.</w:t>
            </w:r>
            <w:r>
              <w:t xml:space="preserve"> </w:t>
            </w:r>
            <w:r w:rsidRPr="0028769C">
              <w:t>В случае установления факта несанкционированного размещения указанных в абзаце первом пункта 4.6.10 устройств на многоквартирных домах, зданиях, строениях сооружениях (в том числе временных), уполномоченный орган администрации городского поселения в сфере муниципального контроля направляет владельцу такого устройства, либо лицу, использующему такое устройство, либо собственнику недвижимого имущества, либо организации по обслуживанию жилищного фонда предписание о демонтаже размещенного устройства с указанием сроков демонтажа, а также возлагает на указанное в предписании лицо обязанность по восстановлению места крепления в первоначальное состояние.»</w:t>
            </w:r>
          </w:p>
        </w:tc>
        <w:tc>
          <w:tcPr>
            <w:tcW w:w="1457" w:type="pct"/>
            <w:tcBorders>
              <w:top w:val="single" w:sz="4" w:space="0" w:color="auto"/>
              <w:left w:val="single" w:sz="4" w:space="0" w:color="auto"/>
              <w:bottom w:val="single" w:sz="4" w:space="0" w:color="auto"/>
              <w:right w:val="single" w:sz="4" w:space="0" w:color="auto"/>
            </w:tcBorders>
          </w:tcPr>
          <w:p w:rsidR="000A7F91" w:rsidRPr="0099312F" w:rsidRDefault="006D5C28" w:rsidP="00865961">
            <w:pPr>
              <w:pStyle w:val="a4"/>
              <w:ind w:left="146"/>
              <w:jc w:val="both"/>
              <w:rPr>
                <w:bCs/>
              </w:rPr>
            </w:pPr>
            <w:r>
              <w:rPr>
                <w:bCs/>
              </w:rPr>
              <w:lastRenderedPageBreak/>
              <w:t>П</w:t>
            </w:r>
            <w:r w:rsidR="00032189" w:rsidRPr="0099312F">
              <w:rPr>
                <w:bCs/>
              </w:rPr>
              <w:t>ринять</w:t>
            </w:r>
          </w:p>
        </w:tc>
      </w:tr>
      <w:tr w:rsidR="00F77405" w:rsidRPr="006F3DFC" w:rsidTr="00EC670A">
        <w:tblPrEx>
          <w:tblCellMar>
            <w:top w:w="0" w:type="dxa"/>
            <w:bottom w:w="0" w:type="dxa"/>
          </w:tblCellMar>
        </w:tblPrEx>
        <w:trPr>
          <w:trHeight w:val="668"/>
        </w:trPr>
        <w:tc>
          <w:tcPr>
            <w:tcW w:w="201" w:type="pct"/>
            <w:tcBorders>
              <w:top w:val="single" w:sz="4" w:space="0" w:color="auto"/>
              <w:left w:val="single" w:sz="4" w:space="0" w:color="auto"/>
              <w:bottom w:val="single" w:sz="4" w:space="0" w:color="auto"/>
              <w:right w:val="single" w:sz="4" w:space="0" w:color="auto"/>
            </w:tcBorders>
          </w:tcPr>
          <w:p w:rsidR="00F77405" w:rsidRDefault="00E001E4" w:rsidP="009D2E12">
            <w:pPr>
              <w:jc w:val="center"/>
            </w:pPr>
            <w:r>
              <w:lastRenderedPageBreak/>
              <w:t>1.</w:t>
            </w:r>
            <w:r w:rsidR="00F77405">
              <w:t>8</w:t>
            </w:r>
          </w:p>
        </w:tc>
        <w:tc>
          <w:tcPr>
            <w:tcW w:w="3342" w:type="pct"/>
            <w:tcBorders>
              <w:top w:val="single" w:sz="4" w:space="0" w:color="auto"/>
              <w:left w:val="single" w:sz="4" w:space="0" w:color="auto"/>
              <w:bottom w:val="single" w:sz="4" w:space="0" w:color="auto"/>
              <w:right w:val="single" w:sz="4" w:space="0" w:color="auto"/>
            </w:tcBorders>
          </w:tcPr>
          <w:p w:rsidR="00032189" w:rsidRPr="0028769C" w:rsidRDefault="00032189" w:rsidP="00032189">
            <w:pPr>
              <w:jc w:val="both"/>
            </w:pPr>
            <w:r w:rsidRPr="0028769C">
              <w:t>Пункт 7.6 дополнить абзацем следующего содержания:</w:t>
            </w:r>
          </w:p>
          <w:p w:rsidR="00F77405" w:rsidRPr="0099312F" w:rsidRDefault="00032189" w:rsidP="00032189">
            <w:pPr>
              <w:jc w:val="both"/>
            </w:pPr>
            <w:r w:rsidRPr="0028769C">
              <w:t>«</w:t>
            </w:r>
            <w:r>
              <w:t>-</w:t>
            </w:r>
            <w:r w:rsidRPr="0028769C">
              <w:t xml:space="preserve"> осуществлять на территории земельных участков, выделенных под строительство и эксплуатацию индивидуальных жилых домов в зоне жилой застройки, деятельность, не связанную с ведением личного подсобного хозяйства.»</w:t>
            </w:r>
          </w:p>
        </w:tc>
        <w:tc>
          <w:tcPr>
            <w:tcW w:w="1457" w:type="pct"/>
            <w:tcBorders>
              <w:top w:val="single" w:sz="4" w:space="0" w:color="auto"/>
              <w:left w:val="single" w:sz="4" w:space="0" w:color="auto"/>
              <w:bottom w:val="single" w:sz="4" w:space="0" w:color="auto"/>
              <w:right w:val="single" w:sz="4" w:space="0" w:color="auto"/>
            </w:tcBorders>
          </w:tcPr>
          <w:p w:rsidR="00F77405" w:rsidRPr="0099312F" w:rsidRDefault="006D5C28" w:rsidP="00865961">
            <w:pPr>
              <w:pStyle w:val="a4"/>
              <w:ind w:left="146"/>
              <w:jc w:val="both"/>
              <w:rPr>
                <w:bCs/>
              </w:rPr>
            </w:pPr>
            <w:r>
              <w:rPr>
                <w:bCs/>
              </w:rPr>
              <w:t>П</w:t>
            </w:r>
            <w:r w:rsidR="00032189" w:rsidRPr="0099312F">
              <w:rPr>
                <w:bCs/>
              </w:rPr>
              <w:t>ринять</w:t>
            </w:r>
          </w:p>
        </w:tc>
      </w:tr>
      <w:tr w:rsidR="00F77405" w:rsidRPr="006F3DFC" w:rsidTr="00EC670A">
        <w:tblPrEx>
          <w:tblCellMar>
            <w:top w:w="0" w:type="dxa"/>
            <w:bottom w:w="0" w:type="dxa"/>
          </w:tblCellMar>
        </w:tblPrEx>
        <w:trPr>
          <w:trHeight w:val="668"/>
        </w:trPr>
        <w:tc>
          <w:tcPr>
            <w:tcW w:w="201" w:type="pct"/>
            <w:tcBorders>
              <w:top w:val="single" w:sz="4" w:space="0" w:color="auto"/>
              <w:left w:val="single" w:sz="4" w:space="0" w:color="auto"/>
              <w:bottom w:val="single" w:sz="4" w:space="0" w:color="auto"/>
              <w:right w:val="single" w:sz="4" w:space="0" w:color="auto"/>
            </w:tcBorders>
          </w:tcPr>
          <w:p w:rsidR="00F77405" w:rsidRDefault="00E001E4" w:rsidP="009D2E12">
            <w:pPr>
              <w:jc w:val="center"/>
            </w:pPr>
            <w:r>
              <w:t>1.</w:t>
            </w:r>
            <w:r w:rsidR="00F77405">
              <w:t>9</w:t>
            </w:r>
          </w:p>
        </w:tc>
        <w:tc>
          <w:tcPr>
            <w:tcW w:w="3342" w:type="pct"/>
            <w:tcBorders>
              <w:top w:val="single" w:sz="4" w:space="0" w:color="auto"/>
              <w:left w:val="single" w:sz="4" w:space="0" w:color="auto"/>
              <w:bottom w:val="single" w:sz="4" w:space="0" w:color="auto"/>
              <w:right w:val="single" w:sz="4" w:space="0" w:color="auto"/>
            </w:tcBorders>
          </w:tcPr>
          <w:p w:rsidR="00032189" w:rsidRPr="0028769C" w:rsidRDefault="00032189" w:rsidP="00032189">
            <w:pPr>
              <w:jc w:val="both"/>
            </w:pPr>
            <w:r w:rsidRPr="0028769C">
              <w:t>Пункт 17.6 дополнить подпунктами следующего содержания:</w:t>
            </w:r>
          </w:p>
          <w:p w:rsidR="00032189" w:rsidRPr="0028769C" w:rsidRDefault="00032189" w:rsidP="00032189">
            <w:pPr>
              <w:jc w:val="both"/>
            </w:pPr>
            <w:r>
              <w:tab/>
            </w:r>
            <w:r w:rsidRPr="0028769C">
              <w:t>«17.6.8. Установка постоянных ограждений отдельных территорий и домовладений производится в соответствии с требованиями земельного законодательства, а также с соблюдением правил пожарной безопасности. Запрещается устанавливать ограждения в радиусе 100 м, препятствующие проезду к пожарным гидрантам.</w:t>
            </w:r>
          </w:p>
          <w:p w:rsidR="00032189" w:rsidRPr="0028769C" w:rsidRDefault="00032189" w:rsidP="00032189">
            <w:pPr>
              <w:jc w:val="both"/>
            </w:pPr>
            <w:r>
              <w:tab/>
            </w:r>
            <w:r w:rsidRPr="0028769C">
              <w:t>17.6.9.</w:t>
            </w:r>
            <w:r w:rsidRPr="0028769C">
              <w:tab/>
              <w:t>Строительные площадки при осуществлении строительства, реконструкции и проведении капитального ремонта должны ограждаться на период строительства сплошным (глухим) ограждением высотой не менее 2,0 метров, выполненным в едином конструктивно-дизайнерском решении. Ограждения, непосредственно примыкающие к тротуарам, пешеходным дорожкам должны обустраиваться защитным козырьком, обеспечивающим безопасность пешеходов.</w:t>
            </w:r>
          </w:p>
          <w:p w:rsidR="00032189" w:rsidRPr="0028769C" w:rsidRDefault="00032189" w:rsidP="00032189">
            <w:pPr>
              <w:jc w:val="both"/>
            </w:pPr>
            <w:r>
              <w:tab/>
            </w:r>
            <w:r w:rsidRPr="0028769C">
              <w:t>Ограждения строительных площадок не должны иметь проемов, кроме ворот и калиток, контролируемых в рабочее время и запираемых после его окончания.</w:t>
            </w:r>
          </w:p>
          <w:p w:rsidR="00032189" w:rsidRPr="0028769C" w:rsidRDefault="00032189" w:rsidP="00032189">
            <w:r>
              <w:tab/>
            </w:r>
            <w:r w:rsidRPr="0028769C">
              <w:t>17.6.10.</w:t>
            </w:r>
            <w:r>
              <w:t xml:space="preserve"> </w:t>
            </w:r>
            <w:r w:rsidRPr="0028769C">
              <w:t>Временные ограждения строительных площадок (деревянные) должны быть окрашены красками, устойчивыми к неблагоприятным погодным условиям, при повторном использовании ограждения должны быть отремонтированы и окрашены заново.</w:t>
            </w:r>
          </w:p>
          <w:p w:rsidR="00032189" w:rsidRPr="0028769C" w:rsidRDefault="00032189" w:rsidP="00032189">
            <w:pPr>
              <w:jc w:val="both"/>
            </w:pPr>
            <w:r>
              <w:tab/>
            </w:r>
            <w:r w:rsidRPr="0028769C">
              <w:t>Строительные леса должны быть оборудованы маскировочной сеткой.</w:t>
            </w:r>
          </w:p>
          <w:p w:rsidR="00032189" w:rsidRPr="0028769C" w:rsidRDefault="00032189" w:rsidP="00032189">
            <w:pPr>
              <w:jc w:val="both"/>
            </w:pPr>
            <w:r>
              <w:tab/>
            </w:r>
            <w:r w:rsidRPr="0028769C">
              <w:t>С целью информирования граждан на строительных ограждениях размещаются информационные щиты.</w:t>
            </w:r>
          </w:p>
          <w:p w:rsidR="00032189" w:rsidRPr="0028769C" w:rsidRDefault="00032189" w:rsidP="00032189">
            <w:pPr>
              <w:jc w:val="both"/>
            </w:pPr>
            <w:r>
              <w:lastRenderedPageBreak/>
              <w:tab/>
            </w:r>
            <w:r w:rsidRPr="0028769C">
              <w:t>Информационные щиты должны быть установлены со стороны основной улицы.</w:t>
            </w:r>
          </w:p>
          <w:p w:rsidR="00032189" w:rsidRPr="0028769C" w:rsidRDefault="00032189" w:rsidP="00032189">
            <w:pPr>
              <w:jc w:val="both"/>
            </w:pPr>
            <w:r>
              <w:tab/>
            </w:r>
            <w:r w:rsidRPr="0028769C">
              <w:t>17.6.11.</w:t>
            </w:r>
            <w:r>
              <w:t xml:space="preserve"> </w:t>
            </w:r>
            <w:r w:rsidRPr="0028769C">
              <w:t>Опасные для движения участки улиц оборудуются ограждениями.</w:t>
            </w:r>
          </w:p>
          <w:p w:rsidR="00F77405" w:rsidRPr="0099312F" w:rsidRDefault="00032189" w:rsidP="00032189">
            <w:pPr>
              <w:jc w:val="both"/>
            </w:pPr>
            <w:r>
              <w:tab/>
            </w:r>
            <w:r w:rsidRPr="0028769C">
              <w:t>17.6.12.</w:t>
            </w:r>
            <w:r>
              <w:t xml:space="preserve"> </w:t>
            </w:r>
            <w:r w:rsidRPr="0028769C">
              <w:t>При производстве земляных работ котлованы, ямы, траншеи и канавы должны быть обеспечены сплошным ограждением высотой не менее 1,2 метра,</w:t>
            </w:r>
            <w:r>
              <w:t xml:space="preserve"> </w:t>
            </w:r>
            <w:r w:rsidRPr="0028769C">
              <w:t>исключающим случайное падение в них людей и животных.»</w:t>
            </w:r>
          </w:p>
        </w:tc>
        <w:tc>
          <w:tcPr>
            <w:tcW w:w="1457" w:type="pct"/>
            <w:tcBorders>
              <w:top w:val="single" w:sz="4" w:space="0" w:color="auto"/>
              <w:left w:val="single" w:sz="4" w:space="0" w:color="auto"/>
              <w:bottom w:val="single" w:sz="4" w:space="0" w:color="auto"/>
              <w:right w:val="single" w:sz="4" w:space="0" w:color="auto"/>
            </w:tcBorders>
          </w:tcPr>
          <w:p w:rsidR="00F77405" w:rsidRPr="0099312F" w:rsidRDefault="006D5C28" w:rsidP="00865961">
            <w:pPr>
              <w:pStyle w:val="a4"/>
              <w:ind w:left="146"/>
              <w:jc w:val="both"/>
              <w:rPr>
                <w:bCs/>
              </w:rPr>
            </w:pPr>
            <w:r>
              <w:rPr>
                <w:bCs/>
              </w:rPr>
              <w:lastRenderedPageBreak/>
              <w:t>Пр</w:t>
            </w:r>
            <w:r w:rsidR="00032189" w:rsidRPr="0099312F">
              <w:rPr>
                <w:bCs/>
              </w:rPr>
              <w:t>инять</w:t>
            </w:r>
          </w:p>
        </w:tc>
      </w:tr>
      <w:tr w:rsidR="00E001E4" w:rsidRPr="006F3DFC" w:rsidTr="00EC670A">
        <w:tblPrEx>
          <w:tblCellMar>
            <w:top w:w="0" w:type="dxa"/>
            <w:bottom w:w="0" w:type="dxa"/>
          </w:tblCellMar>
        </w:tblPrEx>
        <w:trPr>
          <w:trHeight w:val="668"/>
        </w:trPr>
        <w:tc>
          <w:tcPr>
            <w:tcW w:w="201" w:type="pct"/>
            <w:tcBorders>
              <w:top w:val="single" w:sz="4" w:space="0" w:color="auto"/>
              <w:left w:val="single" w:sz="4" w:space="0" w:color="auto"/>
              <w:bottom w:val="single" w:sz="4" w:space="0" w:color="auto"/>
              <w:right w:val="single" w:sz="4" w:space="0" w:color="auto"/>
            </w:tcBorders>
          </w:tcPr>
          <w:p w:rsidR="00E001E4" w:rsidRDefault="00E001E4" w:rsidP="009D2E12">
            <w:pPr>
              <w:jc w:val="center"/>
            </w:pPr>
            <w:r>
              <w:lastRenderedPageBreak/>
              <w:t>2</w:t>
            </w:r>
          </w:p>
        </w:tc>
        <w:tc>
          <w:tcPr>
            <w:tcW w:w="3342" w:type="pct"/>
            <w:tcBorders>
              <w:top w:val="single" w:sz="4" w:space="0" w:color="auto"/>
              <w:left w:val="single" w:sz="4" w:space="0" w:color="auto"/>
              <w:bottom w:val="single" w:sz="4" w:space="0" w:color="auto"/>
              <w:right w:val="single" w:sz="4" w:space="0" w:color="auto"/>
            </w:tcBorders>
          </w:tcPr>
          <w:p w:rsidR="00E001E4" w:rsidRPr="0028769C" w:rsidRDefault="006D5C28" w:rsidP="006D5C28">
            <w:pPr>
              <w:jc w:val="both"/>
            </w:pPr>
            <w:r>
              <w:t xml:space="preserve">Рекомендовать </w:t>
            </w:r>
            <w:r w:rsidR="00E001E4">
              <w:t xml:space="preserve">Собранию депутатов Елизовского городского поселения </w:t>
            </w:r>
            <w:r>
              <w:t xml:space="preserve">дать поручение </w:t>
            </w:r>
            <w:r w:rsidR="00E001E4">
              <w:t>администрации Елизовского городского поселения в срок до 01.01.2018 года разработать схему прилегающих территорий  капитальных строений на территории Елизовского городского поселения.</w:t>
            </w:r>
          </w:p>
        </w:tc>
        <w:tc>
          <w:tcPr>
            <w:tcW w:w="1457" w:type="pct"/>
            <w:tcBorders>
              <w:top w:val="single" w:sz="4" w:space="0" w:color="auto"/>
              <w:left w:val="single" w:sz="4" w:space="0" w:color="auto"/>
              <w:bottom w:val="single" w:sz="4" w:space="0" w:color="auto"/>
              <w:right w:val="single" w:sz="4" w:space="0" w:color="auto"/>
            </w:tcBorders>
          </w:tcPr>
          <w:p w:rsidR="00E001E4" w:rsidRPr="0099312F" w:rsidRDefault="006D5C28" w:rsidP="00865961">
            <w:pPr>
              <w:pStyle w:val="a4"/>
              <w:ind w:left="146"/>
              <w:jc w:val="both"/>
              <w:rPr>
                <w:bCs/>
              </w:rPr>
            </w:pPr>
            <w:r>
              <w:rPr>
                <w:bCs/>
              </w:rPr>
              <w:t>П</w:t>
            </w:r>
            <w:r w:rsidR="00E001E4">
              <w:rPr>
                <w:bCs/>
              </w:rPr>
              <w:t>ринять</w:t>
            </w:r>
          </w:p>
        </w:tc>
      </w:tr>
    </w:tbl>
    <w:p w:rsidR="00F77405" w:rsidRDefault="00A72694" w:rsidP="0099312F">
      <w:pPr>
        <w:pStyle w:val="a3"/>
        <w:jc w:val="left"/>
        <w:rPr>
          <w:b w:val="0"/>
          <w:sz w:val="24"/>
        </w:rPr>
      </w:pPr>
      <w:r w:rsidRPr="006F3DFC">
        <w:rPr>
          <w:b w:val="0"/>
          <w:sz w:val="24"/>
        </w:rPr>
        <w:tab/>
      </w:r>
    </w:p>
    <w:p w:rsidR="004C5D24" w:rsidRPr="006F3DFC" w:rsidRDefault="00F77405" w:rsidP="0099312F">
      <w:pPr>
        <w:pStyle w:val="a3"/>
        <w:jc w:val="left"/>
        <w:rPr>
          <w:b w:val="0"/>
          <w:sz w:val="24"/>
        </w:rPr>
      </w:pPr>
      <w:r>
        <w:rPr>
          <w:b w:val="0"/>
          <w:sz w:val="24"/>
        </w:rPr>
        <w:t xml:space="preserve">            </w:t>
      </w:r>
      <w:r w:rsidR="004C5D24" w:rsidRPr="006F3DFC">
        <w:rPr>
          <w:b w:val="0"/>
          <w:sz w:val="24"/>
        </w:rPr>
        <w:t xml:space="preserve">2. Рекомендовать Собранию депутатов Елизовского городского поселения принять, а </w:t>
      </w:r>
      <w:r w:rsidR="00C97E0F" w:rsidRPr="006F3DFC">
        <w:rPr>
          <w:b w:val="0"/>
          <w:sz w:val="24"/>
        </w:rPr>
        <w:t>Г</w:t>
      </w:r>
      <w:r w:rsidR="004C5D24" w:rsidRPr="006F3DFC">
        <w:rPr>
          <w:b w:val="0"/>
          <w:sz w:val="24"/>
        </w:rPr>
        <w:t>лав</w:t>
      </w:r>
      <w:r w:rsidR="00C97E0F" w:rsidRPr="006F3DFC">
        <w:rPr>
          <w:b w:val="0"/>
          <w:sz w:val="24"/>
        </w:rPr>
        <w:t>е</w:t>
      </w:r>
      <w:r w:rsidR="004C5D24" w:rsidRPr="006F3DFC">
        <w:rPr>
          <w:b w:val="0"/>
          <w:sz w:val="24"/>
        </w:rPr>
        <w:t xml:space="preserve"> Елизовского городского поселения</w:t>
      </w:r>
      <w:r w:rsidR="0083439A" w:rsidRPr="006F3DFC">
        <w:rPr>
          <w:b w:val="0"/>
          <w:sz w:val="24"/>
        </w:rPr>
        <w:t xml:space="preserve"> – </w:t>
      </w:r>
      <w:r w:rsidR="004C5D24" w:rsidRPr="006F3DFC">
        <w:rPr>
          <w:b w:val="0"/>
          <w:sz w:val="24"/>
        </w:rPr>
        <w:t xml:space="preserve">подписать и обнародовать муниципальный </w:t>
      </w:r>
      <w:r w:rsidR="00C97E0F" w:rsidRPr="006F3DFC">
        <w:rPr>
          <w:b w:val="0"/>
          <w:sz w:val="24"/>
        </w:rPr>
        <w:t xml:space="preserve">нормативный </w:t>
      </w:r>
      <w:r w:rsidR="004C5D24" w:rsidRPr="006F3DFC">
        <w:rPr>
          <w:b w:val="0"/>
          <w:sz w:val="24"/>
        </w:rPr>
        <w:t xml:space="preserve">правовой акт </w:t>
      </w:r>
      <w:r w:rsidR="00C97E0F" w:rsidRPr="006F3DFC">
        <w:rPr>
          <w:b w:val="0"/>
          <w:sz w:val="24"/>
        </w:rPr>
        <w:t>«</w:t>
      </w:r>
      <w:r w:rsidR="00C97E0F" w:rsidRPr="009769E0">
        <w:rPr>
          <w:b w:val="0"/>
          <w:sz w:val="24"/>
        </w:rPr>
        <w:t>О</w:t>
      </w:r>
      <w:r w:rsidR="009769E0" w:rsidRPr="009769E0">
        <w:rPr>
          <w:b w:val="0"/>
          <w:sz w:val="24"/>
        </w:rPr>
        <w:t xml:space="preserve"> внесении изменений в Правила благоустройства и содержания территории Елизовского городского поселения</w:t>
      </w:r>
      <w:r w:rsidR="00C97E0F" w:rsidRPr="009769E0">
        <w:rPr>
          <w:b w:val="0"/>
          <w:sz w:val="24"/>
        </w:rPr>
        <w:t>».</w:t>
      </w:r>
    </w:p>
    <w:p w:rsidR="009D2E12" w:rsidRPr="006F3DFC" w:rsidRDefault="0012655A" w:rsidP="006F3DFC">
      <w:pPr>
        <w:pStyle w:val="a3"/>
        <w:jc w:val="both"/>
        <w:rPr>
          <w:b w:val="0"/>
          <w:sz w:val="24"/>
        </w:rPr>
      </w:pPr>
      <w:r w:rsidRPr="006F3DFC">
        <w:rPr>
          <w:b w:val="0"/>
          <w:sz w:val="24"/>
        </w:rPr>
        <w:tab/>
      </w:r>
      <w:r w:rsidR="009D2E12" w:rsidRPr="006F3DFC">
        <w:rPr>
          <w:b w:val="0"/>
          <w:sz w:val="24"/>
        </w:rPr>
        <w:t>3. Направить настоящ</w:t>
      </w:r>
      <w:r w:rsidR="0083439A" w:rsidRPr="006F3DFC">
        <w:rPr>
          <w:b w:val="0"/>
          <w:sz w:val="24"/>
        </w:rPr>
        <w:t>ее</w:t>
      </w:r>
      <w:r w:rsidR="009D2E12" w:rsidRPr="006F3DFC">
        <w:rPr>
          <w:b w:val="0"/>
          <w:sz w:val="24"/>
        </w:rPr>
        <w:t xml:space="preserve"> </w:t>
      </w:r>
      <w:r w:rsidR="0083439A" w:rsidRPr="006F3DFC">
        <w:rPr>
          <w:b w:val="0"/>
          <w:sz w:val="24"/>
        </w:rPr>
        <w:t>Решение собрания участников</w:t>
      </w:r>
      <w:r w:rsidR="009D2E12" w:rsidRPr="006F3DFC">
        <w:rPr>
          <w:b w:val="0"/>
          <w:sz w:val="24"/>
        </w:rPr>
        <w:t xml:space="preserve"> </w:t>
      </w:r>
      <w:r w:rsidR="0083439A" w:rsidRPr="006F3DFC">
        <w:rPr>
          <w:b w:val="0"/>
          <w:sz w:val="24"/>
        </w:rPr>
        <w:t xml:space="preserve">публичных слушаний </w:t>
      </w:r>
      <w:r w:rsidR="009D2E12" w:rsidRPr="006F3DFC">
        <w:rPr>
          <w:b w:val="0"/>
          <w:sz w:val="24"/>
        </w:rPr>
        <w:t>в Собрание депутатов Елизовского городского поселения для учета в нормотворческой деятельности.</w:t>
      </w:r>
    </w:p>
    <w:p w:rsidR="009D2E12" w:rsidRDefault="0012655A" w:rsidP="0012655A">
      <w:pPr>
        <w:pStyle w:val="a3"/>
        <w:jc w:val="left"/>
        <w:rPr>
          <w:b w:val="0"/>
          <w:sz w:val="24"/>
        </w:rPr>
      </w:pPr>
      <w:r w:rsidRPr="006F3DFC">
        <w:rPr>
          <w:b w:val="0"/>
          <w:sz w:val="24"/>
        </w:rPr>
        <w:tab/>
      </w:r>
      <w:r w:rsidR="009D2E12" w:rsidRPr="006F3DFC">
        <w:rPr>
          <w:b w:val="0"/>
          <w:sz w:val="24"/>
        </w:rPr>
        <w:t xml:space="preserve">4. </w:t>
      </w:r>
      <w:r w:rsidR="004C5D24" w:rsidRPr="006F3DFC">
        <w:rPr>
          <w:b w:val="0"/>
          <w:sz w:val="24"/>
        </w:rPr>
        <w:t xml:space="preserve">Опубликовать </w:t>
      </w:r>
      <w:r w:rsidR="0083439A" w:rsidRPr="006F3DFC">
        <w:rPr>
          <w:b w:val="0"/>
          <w:sz w:val="24"/>
        </w:rPr>
        <w:t>(обнародовать) настоящее Решение собрания участников публичных слушаний.</w:t>
      </w:r>
    </w:p>
    <w:p w:rsidR="00F77405" w:rsidRDefault="00F77405" w:rsidP="0012655A">
      <w:pPr>
        <w:pStyle w:val="a3"/>
        <w:jc w:val="left"/>
        <w:rPr>
          <w:b w:val="0"/>
          <w:sz w:val="24"/>
        </w:rPr>
      </w:pPr>
    </w:p>
    <w:p w:rsidR="000D33CA" w:rsidRDefault="000D33CA" w:rsidP="0012655A">
      <w:pPr>
        <w:pStyle w:val="a3"/>
        <w:jc w:val="left"/>
        <w:rPr>
          <w:b w:val="0"/>
          <w:sz w:val="24"/>
        </w:rPr>
      </w:pPr>
    </w:p>
    <w:p w:rsidR="0012655A" w:rsidRDefault="006F3DFC" w:rsidP="006F3DFC">
      <w:pPr>
        <w:jc w:val="both"/>
      </w:pPr>
      <w:r>
        <w:tab/>
      </w:r>
      <w:r>
        <w:tab/>
      </w:r>
      <w:r>
        <w:tab/>
      </w:r>
      <w:r>
        <w:tab/>
      </w:r>
      <w:r>
        <w:tab/>
      </w:r>
      <w:r>
        <w:tab/>
      </w:r>
      <w:r>
        <w:tab/>
      </w:r>
      <w:r w:rsidR="009D2E12" w:rsidRPr="006F3DFC">
        <w:t>Председатель оргкомитета</w:t>
      </w:r>
      <w:r w:rsidR="0012655A" w:rsidRPr="006F3DFC">
        <w:tab/>
      </w:r>
      <w:r>
        <w:tab/>
      </w:r>
      <w:r>
        <w:tab/>
      </w:r>
      <w:r>
        <w:tab/>
      </w:r>
      <w:r>
        <w:tab/>
      </w:r>
      <w:r w:rsidR="009769E0">
        <w:t>Д.О. Мамченков</w:t>
      </w:r>
      <w:r>
        <w:tab/>
      </w:r>
    </w:p>
    <w:p w:rsidR="000A7F91" w:rsidRPr="006F3DFC" w:rsidRDefault="000A7F91" w:rsidP="006F3DFC">
      <w:pPr>
        <w:jc w:val="both"/>
      </w:pPr>
    </w:p>
    <w:p w:rsidR="00832B0B" w:rsidRPr="006F3DFC" w:rsidRDefault="006F3DFC" w:rsidP="006F3DFC">
      <w:pPr>
        <w:jc w:val="both"/>
      </w:pPr>
      <w:r>
        <w:tab/>
      </w:r>
      <w:r>
        <w:tab/>
      </w:r>
      <w:r>
        <w:tab/>
      </w:r>
      <w:r>
        <w:tab/>
      </w:r>
      <w:r>
        <w:tab/>
      </w:r>
      <w:r>
        <w:tab/>
      </w:r>
      <w:r>
        <w:tab/>
      </w:r>
      <w:r w:rsidR="009D2E12" w:rsidRPr="006F3DFC">
        <w:t>Секретарь оргкомитета</w:t>
      </w:r>
      <w:r w:rsidR="0012655A" w:rsidRPr="006F3DFC">
        <w:tab/>
      </w:r>
      <w:r>
        <w:tab/>
      </w:r>
      <w:r>
        <w:tab/>
      </w:r>
      <w:r>
        <w:tab/>
      </w:r>
      <w:r>
        <w:tab/>
      </w:r>
      <w:r w:rsidR="009769E0">
        <w:t>Г.А. Саенко</w:t>
      </w:r>
    </w:p>
    <w:sectPr w:rsidR="00832B0B" w:rsidRPr="006F3DFC" w:rsidSect="00EC670A">
      <w:footerReference w:type="even" r:id="rId7"/>
      <w:footerReference w:type="default" r:id="rId8"/>
      <w:pgSz w:w="16838" w:h="11906" w:orient="landscape"/>
      <w:pgMar w:top="568" w:right="820" w:bottom="709" w:left="1701" w:header="709" w:footer="5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F61" w:rsidRDefault="00475F61">
      <w:r>
        <w:separator/>
      </w:r>
    </w:p>
  </w:endnote>
  <w:endnote w:type="continuationSeparator" w:id="1">
    <w:p w:rsidR="00475F61" w:rsidRDefault="00475F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662" w:rsidRDefault="00F21662" w:rsidP="009D2E12">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21662" w:rsidRDefault="00F21662" w:rsidP="009D2E1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662" w:rsidRDefault="00F21662" w:rsidP="009D2E12">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37737">
      <w:rPr>
        <w:rStyle w:val="a6"/>
        <w:noProof/>
      </w:rPr>
      <w:t>2</w:t>
    </w:r>
    <w:r>
      <w:rPr>
        <w:rStyle w:val="a6"/>
      </w:rPr>
      <w:fldChar w:fldCharType="end"/>
    </w:r>
  </w:p>
  <w:p w:rsidR="00F21662" w:rsidRDefault="007B59BA" w:rsidP="007B59BA">
    <w:pPr>
      <w:pStyle w:val="a5"/>
      <w:ind w:right="360"/>
      <w:jc w:val="right"/>
    </w:pPr>
    <w:r>
      <w:t>лист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F61" w:rsidRDefault="00475F61">
      <w:r>
        <w:separator/>
      </w:r>
    </w:p>
  </w:footnote>
  <w:footnote w:type="continuationSeparator" w:id="1">
    <w:p w:rsidR="00475F61" w:rsidRDefault="00475F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50CE4"/>
    <w:multiLevelType w:val="hybridMultilevel"/>
    <w:tmpl w:val="BF409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62333C"/>
    <w:multiLevelType w:val="hybridMultilevel"/>
    <w:tmpl w:val="3D9611E2"/>
    <w:lvl w:ilvl="0" w:tplc="A508A98E">
      <w:start w:val="1"/>
      <w:numFmt w:val="decimal"/>
      <w:lvlText w:val="%1."/>
      <w:lvlJc w:val="left"/>
      <w:pPr>
        <w:tabs>
          <w:tab w:val="num" w:pos="804"/>
        </w:tabs>
        <w:ind w:left="804" w:hanging="804"/>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footnotePr>
    <w:footnote w:id="0"/>
    <w:footnote w:id="1"/>
  </w:footnotePr>
  <w:endnotePr>
    <w:endnote w:id="0"/>
    <w:endnote w:id="1"/>
  </w:endnotePr>
  <w:compat/>
  <w:rsids>
    <w:rsidRoot w:val="009D2E12"/>
    <w:rsid w:val="00001547"/>
    <w:rsid w:val="000051FF"/>
    <w:rsid w:val="00007636"/>
    <w:rsid w:val="00030F98"/>
    <w:rsid w:val="00032189"/>
    <w:rsid w:val="0003278D"/>
    <w:rsid w:val="0003558A"/>
    <w:rsid w:val="00037737"/>
    <w:rsid w:val="00076750"/>
    <w:rsid w:val="00082C09"/>
    <w:rsid w:val="00084A4F"/>
    <w:rsid w:val="00084B4C"/>
    <w:rsid w:val="000A7F91"/>
    <w:rsid w:val="000B5DB0"/>
    <w:rsid w:val="000C253E"/>
    <w:rsid w:val="000D33CA"/>
    <w:rsid w:val="000D3998"/>
    <w:rsid w:val="000D568E"/>
    <w:rsid w:val="000D5ADB"/>
    <w:rsid w:val="000E417E"/>
    <w:rsid w:val="00110D96"/>
    <w:rsid w:val="00114A05"/>
    <w:rsid w:val="0012655A"/>
    <w:rsid w:val="0013494E"/>
    <w:rsid w:val="00155525"/>
    <w:rsid w:val="00157030"/>
    <w:rsid w:val="00164B5B"/>
    <w:rsid w:val="001A0669"/>
    <w:rsid w:val="001A322E"/>
    <w:rsid w:val="001C0F1A"/>
    <w:rsid w:val="001C2573"/>
    <w:rsid w:val="001D5FB1"/>
    <w:rsid w:val="001F27CF"/>
    <w:rsid w:val="0020134B"/>
    <w:rsid w:val="00210E55"/>
    <w:rsid w:val="00216983"/>
    <w:rsid w:val="00223D5A"/>
    <w:rsid w:val="00224D96"/>
    <w:rsid w:val="002457DB"/>
    <w:rsid w:val="002459AA"/>
    <w:rsid w:val="00251474"/>
    <w:rsid w:val="00252622"/>
    <w:rsid w:val="00254905"/>
    <w:rsid w:val="002561AB"/>
    <w:rsid w:val="00257EDF"/>
    <w:rsid w:val="0026028E"/>
    <w:rsid w:val="0026222A"/>
    <w:rsid w:val="002738A4"/>
    <w:rsid w:val="00276A6E"/>
    <w:rsid w:val="002935F3"/>
    <w:rsid w:val="002A709F"/>
    <w:rsid w:val="002B1E53"/>
    <w:rsid w:val="002B3477"/>
    <w:rsid w:val="002B4C57"/>
    <w:rsid w:val="002B5EF4"/>
    <w:rsid w:val="002C5089"/>
    <w:rsid w:val="002D1FDD"/>
    <w:rsid w:val="002D7EB0"/>
    <w:rsid w:val="002E3F25"/>
    <w:rsid w:val="002E49CE"/>
    <w:rsid w:val="002E622B"/>
    <w:rsid w:val="002F11C3"/>
    <w:rsid w:val="002F6EED"/>
    <w:rsid w:val="003105F1"/>
    <w:rsid w:val="00313873"/>
    <w:rsid w:val="00314221"/>
    <w:rsid w:val="00320BA0"/>
    <w:rsid w:val="00320DEB"/>
    <w:rsid w:val="00347777"/>
    <w:rsid w:val="003517DF"/>
    <w:rsid w:val="00367799"/>
    <w:rsid w:val="00370382"/>
    <w:rsid w:val="00385BF2"/>
    <w:rsid w:val="003A3681"/>
    <w:rsid w:val="003B5B04"/>
    <w:rsid w:val="003E6CF1"/>
    <w:rsid w:val="003F1940"/>
    <w:rsid w:val="003F5731"/>
    <w:rsid w:val="00417C46"/>
    <w:rsid w:val="00435E48"/>
    <w:rsid w:val="004377EE"/>
    <w:rsid w:val="00440340"/>
    <w:rsid w:val="0044039C"/>
    <w:rsid w:val="00441DBC"/>
    <w:rsid w:val="004426E7"/>
    <w:rsid w:val="00451CAF"/>
    <w:rsid w:val="0046100B"/>
    <w:rsid w:val="00461D61"/>
    <w:rsid w:val="0046697A"/>
    <w:rsid w:val="00471D19"/>
    <w:rsid w:val="00473702"/>
    <w:rsid w:val="00475F61"/>
    <w:rsid w:val="004A72CE"/>
    <w:rsid w:val="004C5D24"/>
    <w:rsid w:val="004E1B71"/>
    <w:rsid w:val="004E336B"/>
    <w:rsid w:val="004E3973"/>
    <w:rsid w:val="004E43DD"/>
    <w:rsid w:val="004E5A18"/>
    <w:rsid w:val="004F1A4C"/>
    <w:rsid w:val="004F3FAE"/>
    <w:rsid w:val="004F53B3"/>
    <w:rsid w:val="004F6ADD"/>
    <w:rsid w:val="004F6D59"/>
    <w:rsid w:val="00505AEE"/>
    <w:rsid w:val="005134D1"/>
    <w:rsid w:val="0051656F"/>
    <w:rsid w:val="0052489A"/>
    <w:rsid w:val="00527917"/>
    <w:rsid w:val="00527AD4"/>
    <w:rsid w:val="00546E84"/>
    <w:rsid w:val="00556E3A"/>
    <w:rsid w:val="00572BC8"/>
    <w:rsid w:val="00573A2D"/>
    <w:rsid w:val="005A0A13"/>
    <w:rsid w:val="005A2CFA"/>
    <w:rsid w:val="005B7AFF"/>
    <w:rsid w:val="005C0ED3"/>
    <w:rsid w:val="005E1E30"/>
    <w:rsid w:val="005E2993"/>
    <w:rsid w:val="00623A0D"/>
    <w:rsid w:val="0062656F"/>
    <w:rsid w:val="00635722"/>
    <w:rsid w:val="0066173B"/>
    <w:rsid w:val="00663E4F"/>
    <w:rsid w:val="00670F91"/>
    <w:rsid w:val="00684FD0"/>
    <w:rsid w:val="006C0EBB"/>
    <w:rsid w:val="006D5C28"/>
    <w:rsid w:val="006E238A"/>
    <w:rsid w:val="006E442D"/>
    <w:rsid w:val="006F3DFC"/>
    <w:rsid w:val="006F6E41"/>
    <w:rsid w:val="007110DA"/>
    <w:rsid w:val="0071176F"/>
    <w:rsid w:val="00713CF1"/>
    <w:rsid w:val="00715195"/>
    <w:rsid w:val="00717859"/>
    <w:rsid w:val="0072062B"/>
    <w:rsid w:val="00725230"/>
    <w:rsid w:val="00783F7E"/>
    <w:rsid w:val="0079064A"/>
    <w:rsid w:val="007A5005"/>
    <w:rsid w:val="007B033F"/>
    <w:rsid w:val="007B1B68"/>
    <w:rsid w:val="007B59BA"/>
    <w:rsid w:val="007E52AC"/>
    <w:rsid w:val="007F2199"/>
    <w:rsid w:val="0080737F"/>
    <w:rsid w:val="00815740"/>
    <w:rsid w:val="00816050"/>
    <w:rsid w:val="008310FB"/>
    <w:rsid w:val="008317FD"/>
    <w:rsid w:val="00832B0B"/>
    <w:rsid w:val="00833FC1"/>
    <w:rsid w:val="0083439A"/>
    <w:rsid w:val="00834565"/>
    <w:rsid w:val="00836EA0"/>
    <w:rsid w:val="00837B5A"/>
    <w:rsid w:val="00837F9A"/>
    <w:rsid w:val="008512C2"/>
    <w:rsid w:val="00852CFF"/>
    <w:rsid w:val="00865961"/>
    <w:rsid w:val="00867ED4"/>
    <w:rsid w:val="00873F92"/>
    <w:rsid w:val="008823BB"/>
    <w:rsid w:val="008C1C20"/>
    <w:rsid w:val="008D1B8C"/>
    <w:rsid w:val="008D541D"/>
    <w:rsid w:val="008E0A8E"/>
    <w:rsid w:val="008E7C94"/>
    <w:rsid w:val="008F324B"/>
    <w:rsid w:val="009025F6"/>
    <w:rsid w:val="009043B2"/>
    <w:rsid w:val="00914E11"/>
    <w:rsid w:val="00933725"/>
    <w:rsid w:val="0094281E"/>
    <w:rsid w:val="009448F4"/>
    <w:rsid w:val="009652DB"/>
    <w:rsid w:val="00970300"/>
    <w:rsid w:val="00972AD0"/>
    <w:rsid w:val="009769E0"/>
    <w:rsid w:val="00977A4F"/>
    <w:rsid w:val="00990B24"/>
    <w:rsid w:val="00991181"/>
    <w:rsid w:val="00991CCC"/>
    <w:rsid w:val="0099312F"/>
    <w:rsid w:val="009A460F"/>
    <w:rsid w:val="009A731F"/>
    <w:rsid w:val="009B716B"/>
    <w:rsid w:val="009C0A7B"/>
    <w:rsid w:val="009C18EC"/>
    <w:rsid w:val="009C561A"/>
    <w:rsid w:val="009D2E12"/>
    <w:rsid w:val="009D7901"/>
    <w:rsid w:val="009F1451"/>
    <w:rsid w:val="00A005F2"/>
    <w:rsid w:val="00A0679A"/>
    <w:rsid w:val="00A12D9F"/>
    <w:rsid w:val="00A14029"/>
    <w:rsid w:val="00A27FFD"/>
    <w:rsid w:val="00A352D6"/>
    <w:rsid w:val="00A41B36"/>
    <w:rsid w:val="00A72694"/>
    <w:rsid w:val="00A816A3"/>
    <w:rsid w:val="00A85FAD"/>
    <w:rsid w:val="00A86F7B"/>
    <w:rsid w:val="00A87E8A"/>
    <w:rsid w:val="00A93BA3"/>
    <w:rsid w:val="00AC7E57"/>
    <w:rsid w:val="00AD6368"/>
    <w:rsid w:val="00AE1033"/>
    <w:rsid w:val="00B027E1"/>
    <w:rsid w:val="00B15C91"/>
    <w:rsid w:val="00B301DD"/>
    <w:rsid w:val="00B378A9"/>
    <w:rsid w:val="00B46066"/>
    <w:rsid w:val="00B544A1"/>
    <w:rsid w:val="00B555E2"/>
    <w:rsid w:val="00B6465D"/>
    <w:rsid w:val="00B73536"/>
    <w:rsid w:val="00B76C0F"/>
    <w:rsid w:val="00B76EB9"/>
    <w:rsid w:val="00B82BAB"/>
    <w:rsid w:val="00B87BD6"/>
    <w:rsid w:val="00B907FA"/>
    <w:rsid w:val="00B92183"/>
    <w:rsid w:val="00B939AC"/>
    <w:rsid w:val="00B95CF6"/>
    <w:rsid w:val="00B964E0"/>
    <w:rsid w:val="00BA6674"/>
    <w:rsid w:val="00BA6B03"/>
    <w:rsid w:val="00BA7F5C"/>
    <w:rsid w:val="00BB3A68"/>
    <w:rsid w:val="00BC0C05"/>
    <w:rsid w:val="00BC52A9"/>
    <w:rsid w:val="00BD0D25"/>
    <w:rsid w:val="00BD5D93"/>
    <w:rsid w:val="00BE7DF5"/>
    <w:rsid w:val="00BF7598"/>
    <w:rsid w:val="00C02AFA"/>
    <w:rsid w:val="00C05103"/>
    <w:rsid w:val="00C059FE"/>
    <w:rsid w:val="00C1443A"/>
    <w:rsid w:val="00C14D16"/>
    <w:rsid w:val="00C15265"/>
    <w:rsid w:val="00C2743E"/>
    <w:rsid w:val="00C4388B"/>
    <w:rsid w:val="00C45F54"/>
    <w:rsid w:val="00C55049"/>
    <w:rsid w:val="00C62FED"/>
    <w:rsid w:val="00C74801"/>
    <w:rsid w:val="00C81334"/>
    <w:rsid w:val="00C9027F"/>
    <w:rsid w:val="00C96DA8"/>
    <w:rsid w:val="00C97A3C"/>
    <w:rsid w:val="00C97E0F"/>
    <w:rsid w:val="00CA0B13"/>
    <w:rsid w:val="00CB34EF"/>
    <w:rsid w:val="00CC0210"/>
    <w:rsid w:val="00CC4349"/>
    <w:rsid w:val="00CE2C9A"/>
    <w:rsid w:val="00CE3CD3"/>
    <w:rsid w:val="00D34A00"/>
    <w:rsid w:val="00D4151F"/>
    <w:rsid w:val="00D445D2"/>
    <w:rsid w:val="00D507C0"/>
    <w:rsid w:val="00D50C0C"/>
    <w:rsid w:val="00D51741"/>
    <w:rsid w:val="00D56513"/>
    <w:rsid w:val="00D62AC3"/>
    <w:rsid w:val="00D63C87"/>
    <w:rsid w:val="00D70872"/>
    <w:rsid w:val="00D76FF4"/>
    <w:rsid w:val="00D811D7"/>
    <w:rsid w:val="00D92B72"/>
    <w:rsid w:val="00D972F9"/>
    <w:rsid w:val="00DB41BD"/>
    <w:rsid w:val="00DC05BC"/>
    <w:rsid w:val="00DE68AA"/>
    <w:rsid w:val="00DF4823"/>
    <w:rsid w:val="00E001E4"/>
    <w:rsid w:val="00E104C1"/>
    <w:rsid w:val="00E210EC"/>
    <w:rsid w:val="00E42117"/>
    <w:rsid w:val="00E46BBC"/>
    <w:rsid w:val="00E47FA2"/>
    <w:rsid w:val="00E558D5"/>
    <w:rsid w:val="00E613BB"/>
    <w:rsid w:val="00E65DB7"/>
    <w:rsid w:val="00E67E31"/>
    <w:rsid w:val="00E81345"/>
    <w:rsid w:val="00E813D1"/>
    <w:rsid w:val="00E90C38"/>
    <w:rsid w:val="00EA3D14"/>
    <w:rsid w:val="00EB0285"/>
    <w:rsid w:val="00EB2C8C"/>
    <w:rsid w:val="00EB4D62"/>
    <w:rsid w:val="00EC03B2"/>
    <w:rsid w:val="00EC0430"/>
    <w:rsid w:val="00EC670A"/>
    <w:rsid w:val="00ED0259"/>
    <w:rsid w:val="00ED1206"/>
    <w:rsid w:val="00EE1E1E"/>
    <w:rsid w:val="00F21662"/>
    <w:rsid w:val="00F244D6"/>
    <w:rsid w:val="00F27775"/>
    <w:rsid w:val="00F40757"/>
    <w:rsid w:val="00F51591"/>
    <w:rsid w:val="00F52F57"/>
    <w:rsid w:val="00F70474"/>
    <w:rsid w:val="00F71A07"/>
    <w:rsid w:val="00F77405"/>
    <w:rsid w:val="00F857B4"/>
    <w:rsid w:val="00F94341"/>
    <w:rsid w:val="00F9565F"/>
    <w:rsid w:val="00FD0665"/>
    <w:rsid w:val="00FD0A93"/>
    <w:rsid w:val="00FD496A"/>
    <w:rsid w:val="00FE49FB"/>
    <w:rsid w:val="00FF38CF"/>
    <w:rsid w:val="00FF5A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2E12"/>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9D2E12"/>
    <w:pPr>
      <w:jc w:val="center"/>
    </w:pPr>
    <w:rPr>
      <w:b/>
      <w:bCs/>
      <w:sz w:val="28"/>
    </w:rPr>
  </w:style>
  <w:style w:type="paragraph" w:styleId="a4">
    <w:name w:val="Body Text Indent"/>
    <w:basedOn w:val="a"/>
    <w:rsid w:val="009D2E12"/>
    <w:pPr>
      <w:spacing w:after="120"/>
      <w:ind w:left="283"/>
    </w:pPr>
  </w:style>
  <w:style w:type="paragraph" w:styleId="a5">
    <w:name w:val="footer"/>
    <w:basedOn w:val="a"/>
    <w:rsid w:val="009D2E12"/>
    <w:pPr>
      <w:tabs>
        <w:tab w:val="center" w:pos="4677"/>
        <w:tab w:val="right" w:pos="9355"/>
      </w:tabs>
    </w:pPr>
  </w:style>
  <w:style w:type="character" w:styleId="a6">
    <w:name w:val="page number"/>
    <w:basedOn w:val="a0"/>
    <w:rsid w:val="009D2E12"/>
  </w:style>
  <w:style w:type="paragraph" w:styleId="a7">
    <w:name w:val="header"/>
    <w:basedOn w:val="a"/>
    <w:link w:val="a8"/>
    <w:rsid w:val="00D63C87"/>
    <w:pPr>
      <w:tabs>
        <w:tab w:val="center" w:pos="4677"/>
        <w:tab w:val="right" w:pos="9355"/>
      </w:tabs>
    </w:pPr>
  </w:style>
  <w:style w:type="character" w:customStyle="1" w:styleId="a8">
    <w:name w:val="Верхний колонтитул Знак"/>
    <w:basedOn w:val="a0"/>
    <w:link w:val="a7"/>
    <w:rsid w:val="00D63C87"/>
    <w:rPr>
      <w:sz w:val="24"/>
      <w:szCs w:val="24"/>
    </w:rPr>
  </w:style>
  <w:style w:type="paragraph" w:customStyle="1" w:styleId="a9">
    <w:name w:val=" Знак"/>
    <w:basedOn w:val="a"/>
    <w:rsid w:val="00EC670A"/>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2857</Words>
  <Characters>16286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И Т О Г О В Ы Й  П Р О Т О К О Л</vt:lpstr>
    </vt:vector>
  </TitlesOfParts>
  <Company>Администрация г. Елизово</Company>
  <LinksUpToDate>false</LinksUpToDate>
  <CharactersWithSpaces>19105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 Т О Г О В Ы Й  П Р О Т О К О Л</dc:title>
  <dc:creator>Андрей</dc:creator>
  <cp:lastModifiedBy>work</cp:lastModifiedBy>
  <cp:revision>2</cp:revision>
  <cp:lastPrinted>2014-10-22T05:15:00Z</cp:lastPrinted>
  <dcterms:created xsi:type="dcterms:W3CDTF">2014-10-27T23:30:00Z</dcterms:created>
  <dcterms:modified xsi:type="dcterms:W3CDTF">2014-10-27T23:30:00Z</dcterms:modified>
</cp:coreProperties>
</file>