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E4" w:rsidRDefault="00FB7CE4" w:rsidP="00FB7CE4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338F67EF" wp14:editId="1F930183">
            <wp:extent cx="1085850" cy="1200150"/>
            <wp:effectExtent l="0" t="0" r="0" b="0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E4" w:rsidRDefault="00FB7CE4" w:rsidP="00FB7CE4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i/>
          <w:sz w:val="46"/>
        </w:rPr>
        <w:t>ОТЧЕТ</w:t>
      </w:r>
    </w:p>
    <w:p w:rsidR="00FB7CE4" w:rsidRDefault="00FB7CE4" w:rsidP="00FB7CE4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>
        <w:rPr>
          <w:i/>
          <w:sz w:val="46"/>
        </w:rPr>
        <w:t xml:space="preserve">О ходе реализации и оценке эффективности муниципальной программы «Развитие культуры </w:t>
      </w:r>
      <w:proofErr w:type="spellStart"/>
      <w:r>
        <w:rPr>
          <w:i/>
          <w:sz w:val="46"/>
        </w:rPr>
        <w:t>Ханкайского</w:t>
      </w:r>
      <w:proofErr w:type="spellEnd"/>
      <w:r>
        <w:rPr>
          <w:i/>
          <w:sz w:val="46"/>
        </w:rPr>
        <w:t xml:space="preserve"> муниципального района» на 2014-2021 годы</w:t>
      </w:r>
    </w:p>
    <w:p w:rsidR="00FB7CE4" w:rsidRDefault="00FB7CE4" w:rsidP="00FB7CE4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</w:p>
    <w:p w:rsidR="00FB7CE4" w:rsidRDefault="00FB7CE4" w:rsidP="00FB7CE4">
      <w:pPr>
        <w:spacing w:line="312" w:lineRule="auto"/>
        <w:ind w:left="357"/>
        <w:jc w:val="right"/>
        <w:rPr>
          <w:b/>
          <w:sz w:val="44"/>
        </w:rPr>
      </w:pPr>
      <w:r>
        <w:rPr>
          <w:b/>
          <w:sz w:val="44"/>
        </w:rPr>
        <w:t>2018 год</w:t>
      </w:r>
    </w:p>
    <w:p w:rsidR="00FB7CE4" w:rsidRDefault="00FB7CE4" w:rsidP="00FB7CE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«Развитие культуры </w:t>
      </w:r>
      <w:proofErr w:type="spellStart"/>
      <w:r>
        <w:rPr>
          <w:b/>
          <w:sz w:val="28"/>
          <w:szCs w:val="28"/>
        </w:rPr>
        <w:t>Ханкайского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FB7CE4" w:rsidRDefault="00FB7CE4" w:rsidP="00FB7CE4">
      <w:pPr>
        <w:ind w:firstLine="709"/>
        <w:jc w:val="both"/>
        <w:rPr>
          <w:rFonts w:ascii="Times New Roman" w:hAnsi="Times New Roman" w:cs="Times New Roman"/>
        </w:rPr>
      </w:pPr>
    </w:p>
    <w:p w:rsidR="00FB7CE4" w:rsidRDefault="00FB7CE4" w:rsidP="00FB7C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</w:t>
      </w:r>
      <w:proofErr w:type="spellStart"/>
      <w:r>
        <w:rPr>
          <w:rFonts w:ascii="Times New Roman" w:hAnsi="Times New Roman" w:cs="Times New Roman"/>
        </w:rPr>
        <w:t>Ханкайском</w:t>
      </w:r>
      <w:proofErr w:type="spellEnd"/>
      <w:r>
        <w:rPr>
          <w:rFonts w:ascii="Times New Roman" w:hAnsi="Times New Roman" w:cs="Times New Roman"/>
        </w:rPr>
        <w:t xml:space="preserve"> районе работает 3 муниципальных  учреждений культуры. В муниципальных учреждениях – функционирует 12-  клубных учреждений, 14 - библиотек, 1 детская школа искусств и 1 библиотечно-музейный центр.</w:t>
      </w:r>
    </w:p>
    <w:p w:rsidR="00FB7CE4" w:rsidRDefault="00FB7CE4" w:rsidP="00FB7C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в районе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проводятся:</w:t>
      </w:r>
    </w:p>
    <w:p w:rsidR="00FB7CE4" w:rsidRDefault="00FB7CE4" w:rsidP="00FB7CE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месячник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военно-патриотического воспитания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В рамках месячника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прошли книжные выставки, уроки мужества, конкурсные и игровые программы, тематические вечера для молодежи и людей старшего поколения, фестиваль военно-патриотической песни «Мы чтим сынов отечества в мундирах», в котором </w:t>
      </w:r>
      <w:proofErr w:type="gramStart"/>
      <w:r>
        <w:rPr>
          <w:rFonts w:ascii="Times New Roman" w:hAnsi="Times New Roman" w:cs="Times New Roman"/>
        </w:rPr>
        <w:t>приняли участие 150 человек и присутствовало</w:t>
      </w:r>
      <w:proofErr w:type="gramEnd"/>
      <w:r>
        <w:rPr>
          <w:rFonts w:ascii="Times New Roman" w:hAnsi="Times New Roman" w:cs="Times New Roman"/>
        </w:rPr>
        <w:t xml:space="preserve"> в зале 400 человек.</w:t>
      </w:r>
      <w:r>
        <w:rPr>
          <w:rFonts w:ascii="Times New Roman" w:hAnsi="Times New Roman" w:cs="Times New Roman"/>
          <w:b/>
        </w:rPr>
        <w:t xml:space="preserve">  </w:t>
      </w:r>
    </w:p>
    <w:p w:rsidR="00FB7CE4" w:rsidRDefault="00FB7CE4" w:rsidP="00FB7C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-районный народный праздник «Широкая Масленица» (около 2 тыс. чел.);</w:t>
      </w:r>
    </w:p>
    <w:p w:rsidR="00FB7CE4" w:rsidRDefault="00FB7CE4" w:rsidP="00FB7C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-конкурс детского творчества «Веселые нотки», в котором приняли участие не только дети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района, но и гости из г. Владивостока. Всего на мероприятии присутствовало более 400 человек;</w:t>
      </w:r>
    </w:p>
    <w:p w:rsidR="00FB7CE4" w:rsidRDefault="00FB7CE4" w:rsidP="00FB7CE4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-мероприятия, посвященные Дню Победы,  Дню защиты детей,  Дню образования </w:t>
      </w: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и в эти же дни уже 18 год подряд проходит краевой фестиваль сельской культуры «</w:t>
      </w:r>
      <w:proofErr w:type="spellStart"/>
      <w:r>
        <w:rPr>
          <w:rFonts w:ascii="Times New Roman" w:hAnsi="Times New Roman" w:cs="Times New Roman"/>
        </w:rPr>
        <w:t>Ханкайские</w:t>
      </w:r>
      <w:proofErr w:type="spellEnd"/>
      <w:r>
        <w:rPr>
          <w:rFonts w:ascii="Times New Roman" w:hAnsi="Times New Roman" w:cs="Times New Roman"/>
        </w:rPr>
        <w:t xml:space="preserve"> зори».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FB7CE4" w:rsidRDefault="00FB7CE4" w:rsidP="00FB7CE4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 сентября ежегодно проходят праздничные мероприятия, посвященные окончанию Великой Отечественной войны.</w:t>
      </w:r>
    </w:p>
    <w:p w:rsidR="00FB7CE4" w:rsidRDefault="00FB7CE4" w:rsidP="00FB7CE4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В рамках международного кинофестиваля стран АТР «Меридианы Тихого» наш район с творческой встречей посетил актер театра и кино Игорь Письменный.</w:t>
      </w:r>
    </w:p>
    <w:p w:rsidR="00FB7CE4" w:rsidRDefault="00FB7CE4" w:rsidP="00FB7CE4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 1 по 4 октября во всех учреждениях культуры прошли праздничные мероприятия, посвященные Дню пожилого человека.</w:t>
      </w:r>
    </w:p>
    <w:p w:rsidR="00FB7CE4" w:rsidRDefault="00FB7CE4" w:rsidP="00FB7CE4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ноябре в Центральном доме культуры состоялось праздничное мероприятие, посвященное Дню матери.</w:t>
      </w:r>
    </w:p>
    <w:p w:rsidR="00FB7CE4" w:rsidRDefault="00FB7CE4" w:rsidP="00FB7CE4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декабре во всех учреждениях культуры состоялись детские новогодние утренники, праздничные новогодние огоньки, детские игровые программы и выездные новогодние поздравления Деда Мороза и Снегурочки. В Центральном доме культуры состоялся новогодний музыкальный спектакль «Волшебное зеркало».</w:t>
      </w:r>
    </w:p>
    <w:p w:rsidR="00FB7CE4" w:rsidRDefault="00FB7CE4" w:rsidP="00FB7CE4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 весь период во всех библиотеках района были подготовлены выставки, лекции, беседы, книжные выставки, посвященные знаменательным датам.</w:t>
      </w:r>
    </w:p>
    <w:p w:rsidR="00FB7CE4" w:rsidRDefault="00FB7CE4" w:rsidP="00FB7CE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За весь период творческие коллективы и отдельные исполнители нашего района принимали активное участие в районных, краевых и зональных конкурсах и фестивалях.</w:t>
      </w:r>
    </w:p>
    <w:p w:rsidR="00FB7CE4" w:rsidRDefault="00FB7CE4" w:rsidP="00FB7CE4">
      <w:pPr>
        <w:jc w:val="both"/>
        <w:rPr>
          <w:rFonts w:ascii="Times New Roman" w:hAnsi="Times New Roman" w:cs="Times New Roman"/>
          <w:lang w:eastAsia="en-US"/>
        </w:rPr>
      </w:pPr>
    </w:p>
    <w:p w:rsidR="00FB7CE4" w:rsidRDefault="00FB7CE4" w:rsidP="00FB7CE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Финансирование муниципальной программы «Развитие культуры </w:t>
      </w:r>
      <w:proofErr w:type="spellStart"/>
      <w:r>
        <w:rPr>
          <w:b/>
          <w:sz w:val="28"/>
          <w:szCs w:val="28"/>
        </w:rPr>
        <w:t>Ханкайского</w:t>
      </w:r>
      <w:proofErr w:type="spellEnd"/>
      <w:r>
        <w:rPr>
          <w:b/>
          <w:sz w:val="28"/>
          <w:szCs w:val="28"/>
        </w:rPr>
        <w:t xml:space="preserve"> муниципального района» на 2014-2021 годы</w:t>
      </w:r>
    </w:p>
    <w:p w:rsidR="00FB7CE4" w:rsidRDefault="00FB7CE4" w:rsidP="00FB7C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2018 году</w:t>
      </w:r>
    </w:p>
    <w:p w:rsidR="00FB7CE4" w:rsidRDefault="00FB7CE4" w:rsidP="00FB7CE4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2" w:space="0" w:color="9BBB59"/>
          <w:left w:val="single" w:sz="2" w:space="0" w:color="9BBB59"/>
          <w:right w:val="single" w:sz="2" w:space="0" w:color="9BBB59"/>
          <w:insideV w:val="dashSmallGap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559"/>
        <w:gridCol w:w="1702"/>
        <w:gridCol w:w="1416"/>
      </w:tblGrid>
      <w:tr w:rsidR="00FB7CE4" w:rsidTr="00FB7CE4">
        <w:trPr>
          <w:trHeight w:val="621"/>
          <w:tblHeader/>
        </w:trPr>
        <w:tc>
          <w:tcPr>
            <w:tcW w:w="3687" w:type="dxa"/>
            <w:vMerge w:val="restart"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dashSmallGap" w:sz="4" w:space="0" w:color="9BBB59"/>
            </w:tcBorders>
            <w:noWrap/>
            <w:vAlign w:val="center"/>
            <w:hideMark/>
          </w:tcPr>
          <w:p w:rsidR="00FB7CE4" w:rsidRDefault="00FB7CE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направлений</w:t>
            </w:r>
          </w:p>
        </w:tc>
        <w:tc>
          <w:tcPr>
            <w:tcW w:w="3260" w:type="dxa"/>
            <w:gridSpan w:val="2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vAlign w:val="center"/>
            <w:hideMark/>
          </w:tcPr>
          <w:p w:rsidR="00FB7CE4" w:rsidRDefault="00FB7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 год</w:t>
            </w:r>
          </w:p>
        </w:tc>
        <w:tc>
          <w:tcPr>
            <w:tcW w:w="3118" w:type="dxa"/>
            <w:gridSpan w:val="2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single" w:sz="2" w:space="0" w:color="9BBB59"/>
            </w:tcBorders>
            <w:noWrap/>
            <w:vAlign w:val="center"/>
            <w:hideMark/>
          </w:tcPr>
          <w:p w:rsidR="00FB7CE4" w:rsidRDefault="00FB7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2018 год</w:t>
            </w:r>
          </w:p>
        </w:tc>
      </w:tr>
      <w:tr w:rsidR="00FB7CE4" w:rsidTr="00FB7CE4">
        <w:trPr>
          <w:trHeight w:val="657"/>
          <w:tblHeader/>
        </w:trPr>
        <w:tc>
          <w:tcPr>
            <w:tcW w:w="3687" w:type="dxa"/>
            <w:vMerge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dashSmallGap" w:sz="4" w:space="0" w:color="9BBB59"/>
            </w:tcBorders>
            <w:vAlign w:val="center"/>
            <w:hideMark/>
          </w:tcPr>
          <w:p w:rsidR="00FB7CE4" w:rsidRDefault="00FB7CE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vAlign w:val="center"/>
            <w:hideMark/>
          </w:tcPr>
          <w:p w:rsidR="00FB7CE4" w:rsidRDefault="00FB7CE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тыс. рублей</w:t>
            </w:r>
          </w:p>
        </w:tc>
        <w:tc>
          <w:tcPr>
            <w:tcW w:w="1559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vAlign w:val="center"/>
          </w:tcPr>
          <w:p w:rsidR="00FB7CE4" w:rsidRDefault="00FB7CE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программ</w:t>
            </w:r>
          </w:p>
          <w:p w:rsidR="00FB7CE4" w:rsidRDefault="00FB7CE4">
            <w:pPr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dashSmallGap" w:sz="4" w:space="0" w:color="9BBB59"/>
            </w:tcBorders>
            <w:noWrap/>
            <w:vAlign w:val="center"/>
            <w:hideMark/>
          </w:tcPr>
          <w:p w:rsidR="00FB7CE4" w:rsidRDefault="00FB7CE4">
            <w:pPr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тыс. рублей</w:t>
            </w:r>
          </w:p>
        </w:tc>
        <w:tc>
          <w:tcPr>
            <w:tcW w:w="1416" w:type="dxa"/>
            <w:tcBorders>
              <w:top w:val="single" w:sz="2" w:space="0" w:color="9BBB59"/>
              <w:left w:val="dashSmallGap" w:sz="4" w:space="0" w:color="9BBB59"/>
              <w:bottom w:val="single" w:sz="2" w:space="0" w:color="9BBB59"/>
              <w:right w:val="single" w:sz="2" w:space="0" w:color="9BBB59"/>
            </w:tcBorders>
            <w:vAlign w:val="center"/>
            <w:hideMark/>
          </w:tcPr>
          <w:p w:rsidR="00FB7CE4" w:rsidRDefault="00FB7CE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программ</w:t>
            </w:r>
          </w:p>
        </w:tc>
      </w:tr>
      <w:tr w:rsidR="00FB7CE4" w:rsidTr="00FB7CE4">
        <w:trPr>
          <w:trHeight w:val="589"/>
        </w:trPr>
        <w:tc>
          <w:tcPr>
            <w:tcW w:w="3687" w:type="dxa"/>
            <w:tcBorders>
              <w:top w:val="single" w:sz="2" w:space="0" w:color="9BBB59"/>
              <w:left w:val="single" w:sz="2" w:space="0" w:color="9BBB59"/>
              <w:bottom w:val="nil"/>
              <w:right w:val="dashSmallGap" w:sz="4" w:space="0" w:color="9BBB59"/>
            </w:tcBorders>
            <w:shd w:val="clear" w:color="auto" w:fill="DBE5F1"/>
            <w:noWrap/>
            <w:vAlign w:val="bottom"/>
            <w:hideMark/>
          </w:tcPr>
          <w:p w:rsidR="00FB7CE4" w:rsidRDefault="00FB7CE4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Всего на реализацию программы</w:t>
            </w:r>
          </w:p>
        </w:tc>
        <w:tc>
          <w:tcPr>
            <w:tcW w:w="1701" w:type="dxa"/>
            <w:tcBorders>
              <w:top w:val="single" w:sz="2" w:space="0" w:color="9BBB59"/>
              <w:left w:val="dashSmallGap" w:sz="4" w:space="0" w:color="9BBB59"/>
              <w:bottom w:val="nil"/>
              <w:right w:val="dashSmallGap" w:sz="4" w:space="0" w:color="9BBB59"/>
            </w:tcBorders>
            <w:shd w:val="clear" w:color="auto" w:fill="DBE5F1"/>
            <w:vAlign w:val="center"/>
            <w:hideMark/>
          </w:tcPr>
          <w:p w:rsidR="00FB7CE4" w:rsidRDefault="00FB7CE4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18716,78</w:t>
            </w:r>
          </w:p>
        </w:tc>
        <w:tc>
          <w:tcPr>
            <w:tcW w:w="1559" w:type="dxa"/>
            <w:tcBorders>
              <w:top w:val="single" w:sz="2" w:space="0" w:color="9BBB59"/>
              <w:left w:val="dashSmallGap" w:sz="4" w:space="0" w:color="9BBB59"/>
              <w:bottom w:val="nil"/>
              <w:right w:val="dashSmallGap" w:sz="4" w:space="0" w:color="9BBB59"/>
            </w:tcBorders>
            <w:shd w:val="clear" w:color="auto" w:fill="DBE5F1"/>
            <w:vAlign w:val="center"/>
            <w:hideMark/>
          </w:tcPr>
          <w:p w:rsidR="00FB7CE4" w:rsidRDefault="00FB7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2" w:space="0" w:color="9BBB59"/>
              <w:left w:val="dashSmallGap" w:sz="4" w:space="0" w:color="9BBB59"/>
              <w:bottom w:val="nil"/>
              <w:right w:val="dashSmallGap" w:sz="4" w:space="0" w:color="9BBB59"/>
            </w:tcBorders>
            <w:shd w:val="clear" w:color="auto" w:fill="DBE5F1"/>
            <w:noWrap/>
            <w:vAlign w:val="center"/>
            <w:hideMark/>
          </w:tcPr>
          <w:p w:rsidR="00FB7CE4" w:rsidRDefault="00FB7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21450,22</w:t>
            </w:r>
          </w:p>
        </w:tc>
        <w:tc>
          <w:tcPr>
            <w:tcW w:w="1416" w:type="dxa"/>
            <w:tcBorders>
              <w:top w:val="single" w:sz="2" w:space="0" w:color="9BBB59"/>
              <w:left w:val="dashSmallGap" w:sz="4" w:space="0" w:color="9BBB59"/>
              <w:bottom w:val="nil"/>
              <w:right w:val="single" w:sz="2" w:space="0" w:color="9BBB59"/>
            </w:tcBorders>
            <w:shd w:val="clear" w:color="auto" w:fill="DBE5F1"/>
            <w:vAlign w:val="center"/>
            <w:hideMark/>
          </w:tcPr>
          <w:p w:rsidR="00FB7CE4" w:rsidRDefault="00FB7C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1</w:t>
            </w:r>
          </w:p>
        </w:tc>
      </w:tr>
    </w:tbl>
    <w:p w:rsidR="00FB7CE4" w:rsidRDefault="00FB7CE4" w:rsidP="00FB7CE4">
      <w:pPr>
        <w:spacing w:line="216" w:lineRule="auto"/>
        <w:ind w:right="235" w:firstLine="399"/>
        <w:jc w:val="both"/>
        <w:rPr>
          <w:rFonts w:ascii="Times New Roman" w:hAnsi="Times New Roman" w:cs="Times New Roman"/>
        </w:rPr>
      </w:pPr>
    </w:p>
    <w:p w:rsidR="00FB7CE4" w:rsidRDefault="00FB7CE4" w:rsidP="00FB7CE4">
      <w:pPr>
        <w:tabs>
          <w:tab w:val="left" w:pos="3261"/>
        </w:tabs>
        <w:ind w:right="232" w:firstLine="851"/>
        <w:jc w:val="both"/>
      </w:pPr>
      <w:r>
        <w:rPr>
          <w:rFonts w:ascii="Times New Roman" w:hAnsi="Times New Roman" w:cs="Times New Roman"/>
        </w:rPr>
        <w:t>Информация о расходовании бюджетных и внебюджетных средств на реализацию  муниципальной  программы  за 2018 год  представлена в приложении № 1.</w:t>
      </w:r>
    </w:p>
    <w:p w:rsidR="00FB7CE4" w:rsidRDefault="00FB7CE4" w:rsidP="00FB7C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3. Оценка эффективности реализации </w:t>
      </w:r>
      <w:r>
        <w:rPr>
          <w:rFonts w:ascii="Times New Roman" w:hAnsi="Times New Roman" w:cs="Times New Roman"/>
          <w:b/>
        </w:rPr>
        <w:br/>
        <w:t>муниципальной программы за 2017 год</w:t>
      </w:r>
    </w:p>
    <w:p w:rsidR="00FB7CE4" w:rsidRDefault="00FB7CE4" w:rsidP="00FB7CE4">
      <w:pPr>
        <w:jc w:val="center"/>
        <w:rPr>
          <w:rFonts w:ascii="Times New Roman" w:hAnsi="Times New Roman" w:cs="Times New Roman"/>
          <w:b/>
        </w:rPr>
      </w:pPr>
    </w:p>
    <w:p w:rsidR="00FB7CE4" w:rsidRDefault="00FB7CE4" w:rsidP="00FB7CE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</w:t>
      </w:r>
      <w:r>
        <w:rPr>
          <w:sz w:val="28"/>
          <w:szCs w:val="28"/>
        </w:rPr>
        <w:lastRenderedPageBreak/>
        <w:t>индикаторов) при условии соблюдения обоснованного объема расходов (коэффициента фактического финансирования).</w:t>
      </w:r>
    </w:p>
    <w:p w:rsidR="00FB7CE4" w:rsidRDefault="00FB7CE4" w:rsidP="00FB7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показателей (индикаторов) муниципальной программы  представлены в приложении № 2.</w:t>
      </w:r>
    </w:p>
    <w:p w:rsidR="00FB7CE4" w:rsidRDefault="00FB7CE4" w:rsidP="00FB7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FB7CE4" w:rsidRDefault="00FB7CE4" w:rsidP="00FB7CE4">
      <w:pPr>
        <w:rPr>
          <w:rFonts w:ascii="Times New Roman" w:hAnsi="Times New Roman" w:cs="Times New Roman"/>
          <w:b/>
        </w:rPr>
      </w:pPr>
    </w:p>
    <w:p w:rsidR="00FB7CE4" w:rsidRDefault="00FB7CE4" w:rsidP="00FB7C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  <w:gridCol w:w="2588"/>
      </w:tblGrid>
      <w:tr w:rsidR="00FB7CE4" w:rsidTr="00FB7CE4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CE4" w:rsidRDefault="00FB7CE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муниципального района-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FB7CE4" w:rsidRDefault="00FB7CE4">
            <w:pPr>
              <w:spacing w:line="276" w:lineRule="auto"/>
              <w:ind w:left="6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7CE4" w:rsidTr="00FB7CE4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CE4" w:rsidRDefault="00FB7CE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Главы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FB7CE4" w:rsidRDefault="00FB7CE4">
            <w:pPr>
              <w:spacing w:line="276" w:lineRule="auto"/>
              <w:ind w:left="6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7CE4" w:rsidTr="00FB7CE4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CE4" w:rsidRDefault="00FB7CE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CE4" w:rsidRDefault="00FB7CE4">
            <w:pPr>
              <w:spacing w:line="276" w:lineRule="auto"/>
              <w:ind w:left="65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В.В.Мищенко</w:t>
            </w:r>
            <w:proofErr w:type="spellEnd"/>
          </w:p>
        </w:tc>
      </w:tr>
    </w:tbl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9971"/>
      </w:tblGrid>
      <w:tr w:rsidR="00E751FB" w:rsidTr="00E751FB">
        <w:trPr>
          <w:trHeight w:val="570"/>
        </w:trPr>
        <w:tc>
          <w:tcPr>
            <w:tcW w:w="9971" w:type="dxa"/>
            <w:vMerge w:val="restart"/>
            <w:vAlign w:val="bottom"/>
          </w:tcPr>
          <w:p w:rsidR="00E751FB" w:rsidRDefault="00E751FB">
            <w:pPr>
              <w:spacing w:line="276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</w:p>
          <w:p w:rsidR="00E751FB" w:rsidRDefault="00E751FB">
            <w:pPr>
              <w:spacing w:line="276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Приложение №1</w:t>
            </w:r>
          </w:p>
          <w:p w:rsidR="00E751FB" w:rsidRDefault="00E7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lang w:eastAsia="en-US"/>
              </w:rPr>
              <w:t xml:space="preserve">      ИНФОРМАЦИЯ </w:t>
            </w:r>
          </w:p>
          <w:p w:rsidR="00E751FB" w:rsidRDefault="00E751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lang w:eastAsia="en-US"/>
              </w:rPr>
              <w:t xml:space="preserve"> о расходовании бюджетных и внебюджетных средств на реализацию муниципальной программы  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2471"/>
              <w:gridCol w:w="3049"/>
              <w:gridCol w:w="1795"/>
              <w:gridCol w:w="1676"/>
            </w:tblGrid>
            <w:tr w:rsidR="00E751FB">
              <w:trPr>
                <w:trHeight w:val="71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Наименование муниципальной программы, подпрограммы, отдельного мероприятия</w:t>
                  </w:r>
                </w:p>
              </w:tc>
              <w:tc>
                <w:tcPr>
                  <w:tcW w:w="3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Источники ресурсного обеспечения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Оценка расходов (в соответствии с программой), (тыс. руб.)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Фактическиие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 xml:space="preserve"> расходы, (</w:t>
                  </w:r>
                  <w:proofErr w:type="spellStart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.)</w:t>
                  </w:r>
                </w:p>
              </w:tc>
            </w:tr>
            <w:tr w:rsidR="00E751FB">
              <w:trPr>
                <w:trHeight w:val="929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751FB">
              <w:trPr>
                <w:trHeight w:val="327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1.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 xml:space="preserve">Муниципальная программа «Развитие культуры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 xml:space="preserve"> муниципального района» на 2014-2021 годы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21450,22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21450,22</w:t>
                  </w:r>
                </w:p>
              </w:tc>
            </w:tr>
            <w:tr w:rsidR="00E751FB">
              <w:trPr>
                <w:trHeight w:val="82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82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краевой бюджет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субсидии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,с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убвенции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5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21450,22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21450,22</w:t>
                  </w:r>
                </w:p>
              </w:tc>
            </w:tr>
            <w:tr w:rsidR="00E751FB">
              <w:trPr>
                <w:trHeight w:val="2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48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Культурно-массовые районные мероприятия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,с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убвенции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1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387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1.2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Мероприятия районного совета ветеранов</w:t>
                  </w: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         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          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276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Субсидия районному совету ветеранов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84,0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84,0</w:t>
                  </w:r>
                </w:p>
              </w:tc>
            </w:tr>
            <w:tr w:rsidR="00E751FB"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федеральный бюджет (субсидии, субвенции, иные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межбюджетнве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84,0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84,0</w:t>
                  </w:r>
                </w:p>
              </w:tc>
            </w:tr>
            <w:tr w:rsidR="00E751FB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165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Мероприятия районного общества инвалидов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1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субсидии, субвенции, иные межбюджетные </w:t>
                  </w: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11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300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Субсидия районному обществу инвалидов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30,0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30,0</w:t>
                  </w:r>
                </w:p>
              </w:tc>
            </w:tr>
            <w:tr w:rsidR="00E751FB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30,0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30,0</w:t>
                  </w:r>
                </w:p>
              </w:tc>
            </w:tr>
            <w:tr w:rsidR="00E751FB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519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Финансовое обеспечение выполнения муниципального задания по оказанию муниципальных услуг по эстетическому воспитанию учащихся школы искусств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13022,04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13022,04</w:t>
                  </w:r>
                </w:p>
              </w:tc>
            </w:tr>
            <w:tr w:rsidR="00E751FB">
              <w:trPr>
                <w:trHeight w:val="10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82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13022,04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13022,04</w:t>
                  </w:r>
                </w:p>
              </w:tc>
            </w:tr>
            <w:tr w:rsidR="00E751FB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840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Финансовое обеспечение </w:t>
                  </w: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выполнения муниципального задания по оказанию муниципальных услуг  по библиотечно-музейному обслуживанию населения</w:t>
                  </w: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lastRenderedPageBreak/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6943,18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6943,18</w:t>
                  </w:r>
                </w:p>
              </w:tc>
            </w:tr>
            <w:tr w:rsidR="00E751FB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т(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60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</w:t>
                  </w:r>
                  <w:proofErr w:type="gram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12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6943,18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6943,18</w:t>
                  </w:r>
                </w:p>
              </w:tc>
            </w:tr>
            <w:tr w:rsidR="00E751FB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08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Субсидия библиотечно-музейному центру на иные цели, не связанные с выполнением муниципального задания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        817,0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         817,0</w:t>
                  </w:r>
                </w:p>
              </w:tc>
            </w:tr>
            <w:tr w:rsidR="00E751FB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6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817,0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817,0</w:t>
                  </w:r>
                </w:p>
              </w:tc>
            </w:tr>
            <w:tr w:rsidR="00E751FB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95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Межбюджетные трансферты на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расходов по повышению оплаты труда работникам культуры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554,0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554,0</w:t>
                  </w:r>
                </w:p>
              </w:tc>
            </w:tr>
            <w:tr w:rsidR="00E751FB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554,0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554,0</w:t>
                  </w:r>
                </w:p>
              </w:tc>
            </w:tr>
            <w:tr w:rsidR="00E751FB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315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1.10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Мероприятия для детей и молодежи</w:t>
                  </w: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31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1.11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межбюджетные трансферты из федерального бюджета на комплектование книжных фондов библиотек района</w:t>
                  </w: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всего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федеральный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краевой бюджет (субсидии, субвенции, иные межбюджетные трансферты)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Ханкайского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 xml:space="preserve"> муниципального района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  <w:tr w:rsidR="00E751FB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51FB" w:rsidRDefault="00E751FB">
                  <w:pP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</w:p>
              </w:tc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51FB" w:rsidRDefault="00E751F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0"/>
                      <w:lang w:eastAsia="en-US"/>
                    </w:rPr>
                    <w:t>0</w:t>
                  </w:r>
                </w:p>
              </w:tc>
            </w:tr>
          </w:tbl>
          <w:p w:rsidR="00E751FB" w:rsidRDefault="00E751FB">
            <w:pPr>
              <w:spacing w:line="276" w:lineRule="auto"/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E751FB" w:rsidTr="00E751FB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751FB" w:rsidRDefault="00E751FB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E751FB" w:rsidTr="00E751FB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E751FB" w:rsidRDefault="00E751FB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E751FB" w:rsidTr="00E751FB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E751FB" w:rsidRDefault="00E751FB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E751FB" w:rsidTr="00E751FB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E751FB" w:rsidRDefault="00E751FB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E751FB" w:rsidTr="00E751FB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E751FB" w:rsidRDefault="00E751FB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E751FB" w:rsidTr="00E751FB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E751FB" w:rsidRDefault="00E751FB">
            <w:pPr>
              <w:rPr>
                <w:rFonts w:asciiTheme="minorHAnsi" w:eastAsiaTheme="minorHAnsi" w:hAnsiTheme="minorHAnsi" w:cs="Times New Roman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E751FB" w:rsidRDefault="00E751FB" w:rsidP="00E751FB">
      <w:pPr>
        <w:spacing w:after="200" w:line="276" w:lineRule="auto"/>
        <w:rPr>
          <w:rFonts w:ascii="Times New Roman" w:hAnsi="Times New Roman" w:cs="Times New Roman"/>
        </w:rPr>
      </w:pPr>
    </w:p>
    <w:p w:rsidR="00E751FB" w:rsidRDefault="00E751FB" w:rsidP="00E751FB">
      <w:pPr>
        <w:spacing w:after="200" w:line="276" w:lineRule="auto"/>
        <w:rPr>
          <w:rFonts w:ascii="Times New Roman" w:hAnsi="Times New Roman" w:cs="Times New Roman"/>
        </w:rPr>
      </w:pPr>
    </w:p>
    <w:p w:rsidR="00E751FB" w:rsidRDefault="00E751FB" w:rsidP="00E751FB">
      <w:pPr>
        <w:spacing w:after="200" w:line="276" w:lineRule="auto"/>
        <w:rPr>
          <w:rFonts w:ascii="Times New Roman" w:hAnsi="Times New Roman" w:cs="Times New Roman"/>
        </w:rPr>
      </w:pPr>
    </w:p>
    <w:p w:rsidR="00395A45" w:rsidRDefault="00395A45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  <w:sectPr w:rsidR="00395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A90" w:rsidRDefault="00C24A90" w:rsidP="00C24A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2 </w:t>
      </w:r>
    </w:p>
    <w:p w:rsidR="00C24A90" w:rsidRDefault="00C24A90" w:rsidP="00C24A9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СВЕДЕНИЯ</w:t>
      </w:r>
    </w:p>
    <w:p w:rsidR="00C24A90" w:rsidRDefault="00C24A90" w:rsidP="00C24A9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достижении значений показателей  (индикаторов) муниципальной программы  </w:t>
      </w:r>
    </w:p>
    <w:p w:rsidR="00C24A90" w:rsidRDefault="00C24A90" w:rsidP="00C24A90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  за 2018 год </w:t>
      </w:r>
    </w:p>
    <w:tbl>
      <w:tblPr>
        <w:tblW w:w="15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444"/>
        <w:gridCol w:w="709"/>
        <w:gridCol w:w="992"/>
        <w:gridCol w:w="993"/>
        <w:gridCol w:w="992"/>
        <w:gridCol w:w="850"/>
        <w:gridCol w:w="1560"/>
      </w:tblGrid>
      <w:tr w:rsidR="00C24A90" w:rsidTr="00C24A90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показателей</w:t>
            </w:r>
          </w:p>
        </w:tc>
      </w:tr>
      <w:tr w:rsidR="00C24A90" w:rsidTr="00C24A90">
        <w:trPr>
          <w:trHeight w:val="24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A90" w:rsidTr="00C24A90">
        <w:trPr>
          <w:trHeight w:val="24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bookmarkStart w:id="0" w:name="_GoBack"/>
        <w:bookmarkEnd w:id="0"/>
      </w:tr>
      <w:tr w:rsidR="00C24A90" w:rsidTr="00C24A90">
        <w:trPr>
          <w:trHeight w:val="255"/>
          <w:tblHeader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муниципального района» на 2014-2021 годы»</w:t>
            </w: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фактической обеспеченности 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A90" w:rsidTr="00C24A90">
        <w:trPr>
          <w:trHeight w:val="255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0" w:rsidRDefault="00C24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4A90" w:rsidRDefault="00C24A90" w:rsidP="00C24A90"/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p w:rsidR="00395A45" w:rsidRDefault="00395A45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  <w:sectPr w:rsidR="00395A45" w:rsidSect="00395A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7CE4" w:rsidRDefault="00FB7CE4" w:rsidP="00FB7CE4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sectPr w:rsidR="00FB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4F43"/>
    <w:multiLevelType w:val="hybridMultilevel"/>
    <w:tmpl w:val="059EE7F6"/>
    <w:lvl w:ilvl="0" w:tplc="454ABA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C"/>
    <w:rsid w:val="00295DFC"/>
    <w:rsid w:val="00395A45"/>
    <w:rsid w:val="005023BC"/>
    <w:rsid w:val="007A54F6"/>
    <w:rsid w:val="008A515B"/>
    <w:rsid w:val="00C24A90"/>
    <w:rsid w:val="00D30D81"/>
    <w:rsid w:val="00E751FB"/>
    <w:rsid w:val="00E960D5"/>
    <w:rsid w:val="00F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C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B7CE4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7CE4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7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E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C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B7CE4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7CE4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7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E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7A61-BC2C-4397-9FA5-AFE2A2D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1381</Words>
  <Characters>7875</Characters>
  <Application>Microsoft Office Word</Application>
  <DocSecurity>0</DocSecurity>
  <Lines>65</Lines>
  <Paragraphs>18</Paragraphs>
  <ScaleCrop>false</ScaleCrop>
  <Company>DG Win&amp;Soft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Провоторова-Латышевская</dc:creator>
  <cp:keywords/>
  <dc:description/>
  <cp:lastModifiedBy>Наталья Сергеевна Провоторова-Латышевская</cp:lastModifiedBy>
  <cp:revision>13</cp:revision>
  <dcterms:created xsi:type="dcterms:W3CDTF">2019-04-10T00:10:00Z</dcterms:created>
  <dcterms:modified xsi:type="dcterms:W3CDTF">2019-04-10T01:39:00Z</dcterms:modified>
</cp:coreProperties>
</file>