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74" w:rsidRDefault="00E10874" w:rsidP="005E24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</w:p>
    <w:p w:rsidR="005E241F" w:rsidRPr="00113F5F" w:rsidRDefault="005E241F" w:rsidP="005E24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5E241F" w:rsidRPr="0098715A" w:rsidRDefault="005E241F" w:rsidP="005E24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FE6B1A" w:rsidRPr="00FE6B1A" w:rsidRDefault="00FE6B1A" w:rsidP="00FE6B1A">
      <w:pPr>
        <w:jc w:val="center"/>
        <w:rPr>
          <w:b/>
          <w:bCs/>
          <w:sz w:val="28"/>
          <w:szCs w:val="28"/>
          <w:u w:val="single"/>
        </w:rPr>
      </w:pPr>
      <w:r w:rsidRPr="00FE6B1A">
        <w:rPr>
          <w:b/>
          <w:sz w:val="28"/>
          <w:szCs w:val="28"/>
          <w:u w:val="single"/>
        </w:rPr>
        <w:t xml:space="preserve">«Оздоровление муниципальных финансов Среднеканского городского округа» </w:t>
      </w:r>
    </w:p>
    <w:p w:rsidR="005E241F" w:rsidRPr="00916BC2" w:rsidRDefault="005E241F" w:rsidP="005E24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2019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6A0D17" w:rsidRDefault="006A0D17"/>
    <w:p w:rsidR="00FE6B1A" w:rsidRDefault="00FE6B1A"/>
    <w:p w:rsidR="00FE6B1A" w:rsidRDefault="00FE6B1A"/>
    <w:p w:rsidR="00FE6B1A" w:rsidRDefault="00FE6B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604"/>
        <w:gridCol w:w="3200"/>
        <w:gridCol w:w="1060"/>
        <w:gridCol w:w="960"/>
        <w:gridCol w:w="960"/>
        <w:gridCol w:w="1320"/>
        <w:gridCol w:w="1640"/>
        <w:gridCol w:w="2461"/>
      </w:tblGrid>
      <w:tr w:rsidR="004A30E6" w:rsidRPr="004A30E6" w:rsidTr="004A30E6">
        <w:trPr>
          <w:trHeight w:val="480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№</w:t>
            </w:r>
          </w:p>
        </w:tc>
        <w:tc>
          <w:tcPr>
            <w:tcW w:w="5540" w:type="dxa"/>
            <w:vMerge w:val="restart"/>
            <w:hideMark/>
          </w:tcPr>
          <w:p w:rsidR="004A30E6" w:rsidRPr="004A30E6" w:rsidRDefault="004A30E6" w:rsidP="004A30E6">
            <w:r w:rsidRPr="004A30E6">
              <w:t>Наименование   мероприятия</w:t>
            </w:r>
          </w:p>
        </w:tc>
        <w:tc>
          <w:tcPr>
            <w:tcW w:w="9140" w:type="dxa"/>
            <w:gridSpan w:val="6"/>
            <w:hideMark/>
          </w:tcPr>
          <w:p w:rsidR="004A30E6" w:rsidRPr="004A30E6" w:rsidRDefault="004A30E6" w:rsidP="00090162">
            <w:pPr>
              <w:jc w:val="center"/>
            </w:pPr>
            <w:r w:rsidRPr="004A30E6">
              <w:t>Объемы финансирования, предусмотренный Программой (</w:t>
            </w:r>
            <w:proofErr w:type="spellStart"/>
            <w:r w:rsidRPr="004A30E6">
              <w:t>тыс</w:t>
            </w:r>
            <w:proofErr w:type="gramStart"/>
            <w:r w:rsidRPr="004A30E6">
              <w:t>.р</w:t>
            </w:r>
            <w:proofErr w:type="gramEnd"/>
            <w:r w:rsidRPr="004A30E6">
              <w:t>уб</w:t>
            </w:r>
            <w:proofErr w:type="spellEnd"/>
            <w:r w:rsidRPr="004A30E6">
              <w:t>.)</w:t>
            </w:r>
          </w:p>
        </w:tc>
        <w:tc>
          <w:tcPr>
            <w:tcW w:w="5820" w:type="dxa"/>
            <w:vMerge w:val="restart"/>
            <w:hideMark/>
          </w:tcPr>
          <w:p w:rsidR="004A30E6" w:rsidRPr="004A30E6" w:rsidRDefault="004A30E6" w:rsidP="004A30E6">
            <w:r w:rsidRPr="004A30E6">
              <w:t>Краткая характеристика исполнения программного мероприятия</w:t>
            </w:r>
          </w:p>
        </w:tc>
      </w:tr>
      <w:tr w:rsidR="004A30E6" w:rsidRPr="004A30E6" w:rsidTr="004A30E6">
        <w:trPr>
          <w:trHeight w:val="570"/>
        </w:trPr>
        <w:tc>
          <w:tcPr>
            <w:tcW w:w="760" w:type="dxa"/>
            <w:hideMark/>
          </w:tcPr>
          <w:p w:rsidR="004A30E6" w:rsidRPr="004A30E6" w:rsidRDefault="004A30E6" w:rsidP="004A30E6">
            <w:proofErr w:type="gramStart"/>
            <w:r w:rsidRPr="004A30E6">
              <w:t>п</w:t>
            </w:r>
            <w:proofErr w:type="gramEnd"/>
            <w:r w:rsidRPr="004A30E6">
              <w:t>/п</w:t>
            </w:r>
          </w:p>
        </w:tc>
        <w:tc>
          <w:tcPr>
            <w:tcW w:w="5540" w:type="dxa"/>
            <w:vMerge/>
            <w:hideMark/>
          </w:tcPr>
          <w:p w:rsidR="004A30E6" w:rsidRPr="004A30E6" w:rsidRDefault="004A30E6"/>
        </w:tc>
        <w:tc>
          <w:tcPr>
            <w:tcW w:w="3200" w:type="dxa"/>
            <w:vMerge w:val="restart"/>
            <w:hideMark/>
          </w:tcPr>
          <w:p w:rsidR="004A30E6" w:rsidRPr="004A30E6" w:rsidRDefault="004A30E6" w:rsidP="004A30E6">
            <w:r w:rsidRPr="004A30E6">
              <w:t>План (утвержденный в бюджете)</w:t>
            </w:r>
          </w:p>
        </w:tc>
        <w:tc>
          <w:tcPr>
            <w:tcW w:w="5940" w:type="dxa"/>
            <w:gridSpan w:val="5"/>
            <w:hideMark/>
          </w:tcPr>
          <w:p w:rsidR="004A30E6" w:rsidRPr="004A30E6" w:rsidRDefault="004A30E6" w:rsidP="004A30E6">
            <w:r w:rsidRPr="004A30E6">
              <w:t>Факт исполнения, в том числе по источникам финансирования</w:t>
            </w:r>
          </w:p>
        </w:tc>
        <w:tc>
          <w:tcPr>
            <w:tcW w:w="5820" w:type="dxa"/>
            <w:vMerge/>
            <w:hideMark/>
          </w:tcPr>
          <w:p w:rsidR="004A30E6" w:rsidRPr="004A30E6" w:rsidRDefault="004A30E6"/>
        </w:tc>
      </w:tr>
      <w:tr w:rsidR="004A30E6" w:rsidRPr="004A30E6" w:rsidTr="004A30E6">
        <w:trPr>
          <w:trHeight w:val="615"/>
        </w:trPr>
        <w:tc>
          <w:tcPr>
            <w:tcW w:w="760" w:type="dxa"/>
            <w:hideMark/>
          </w:tcPr>
          <w:p w:rsidR="004A30E6" w:rsidRPr="004A30E6" w:rsidRDefault="004A30E6">
            <w:r w:rsidRPr="004A30E6">
              <w:t> </w:t>
            </w:r>
          </w:p>
        </w:tc>
        <w:tc>
          <w:tcPr>
            <w:tcW w:w="5540" w:type="dxa"/>
            <w:vMerge/>
            <w:hideMark/>
          </w:tcPr>
          <w:p w:rsidR="004A30E6" w:rsidRPr="004A30E6" w:rsidRDefault="004A30E6"/>
        </w:tc>
        <w:tc>
          <w:tcPr>
            <w:tcW w:w="3200" w:type="dxa"/>
            <w:vMerge/>
            <w:hideMark/>
          </w:tcPr>
          <w:p w:rsidR="004A30E6" w:rsidRPr="004A30E6" w:rsidRDefault="004A30E6"/>
        </w:tc>
        <w:tc>
          <w:tcPr>
            <w:tcW w:w="1060" w:type="dxa"/>
            <w:hideMark/>
          </w:tcPr>
          <w:p w:rsidR="004A30E6" w:rsidRPr="004A30E6" w:rsidRDefault="004A30E6" w:rsidP="004A30E6">
            <w:r w:rsidRPr="004A30E6">
              <w:t>всего</w:t>
            </w:r>
          </w:p>
        </w:tc>
        <w:tc>
          <w:tcPr>
            <w:tcW w:w="960" w:type="dxa"/>
            <w:hideMark/>
          </w:tcPr>
          <w:p w:rsidR="004A30E6" w:rsidRPr="004A30E6" w:rsidRDefault="004A30E6" w:rsidP="004A30E6">
            <w:r w:rsidRPr="004A30E6">
              <w:t>ФБ</w:t>
            </w:r>
          </w:p>
        </w:tc>
        <w:tc>
          <w:tcPr>
            <w:tcW w:w="960" w:type="dxa"/>
            <w:hideMark/>
          </w:tcPr>
          <w:p w:rsidR="004A30E6" w:rsidRPr="004A30E6" w:rsidRDefault="004A30E6" w:rsidP="004A30E6">
            <w:r w:rsidRPr="004A30E6">
              <w:t>ОБ</w:t>
            </w:r>
          </w:p>
        </w:tc>
        <w:tc>
          <w:tcPr>
            <w:tcW w:w="1320" w:type="dxa"/>
            <w:hideMark/>
          </w:tcPr>
          <w:p w:rsidR="004A30E6" w:rsidRPr="004A30E6" w:rsidRDefault="004A30E6" w:rsidP="004A30E6">
            <w:r w:rsidRPr="004A30E6">
              <w:t>МБ</w:t>
            </w:r>
          </w:p>
        </w:tc>
        <w:tc>
          <w:tcPr>
            <w:tcW w:w="1640" w:type="dxa"/>
            <w:hideMark/>
          </w:tcPr>
          <w:p w:rsidR="004A30E6" w:rsidRPr="004A30E6" w:rsidRDefault="004A30E6" w:rsidP="004A30E6">
            <w:r w:rsidRPr="004A30E6">
              <w:t>ВБ</w:t>
            </w:r>
          </w:p>
        </w:tc>
        <w:tc>
          <w:tcPr>
            <w:tcW w:w="5820" w:type="dxa"/>
            <w:vMerge/>
            <w:hideMark/>
          </w:tcPr>
          <w:p w:rsidR="004A30E6" w:rsidRPr="004A30E6" w:rsidRDefault="004A30E6"/>
        </w:tc>
      </w:tr>
      <w:tr w:rsidR="004A30E6" w:rsidRPr="004A30E6" w:rsidTr="004A30E6">
        <w:trPr>
          <w:trHeight w:val="315"/>
        </w:trPr>
        <w:tc>
          <w:tcPr>
            <w:tcW w:w="21260" w:type="dxa"/>
            <w:gridSpan w:val="9"/>
            <w:hideMark/>
          </w:tcPr>
          <w:p w:rsidR="004A30E6" w:rsidRPr="004A30E6" w:rsidRDefault="004A30E6" w:rsidP="00090162">
            <w:pPr>
              <w:jc w:val="center"/>
              <w:rPr>
                <w:b/>
                <w:bCs/>
              </w:rPr>
            </w:pPr>
            <w:r w:rsidRPr="004A30E6">
              <w:rPr>
                <w:b/>
                <w:bCs/>
              </w:rPr>
              <w:t>1. Развитие доходного потенциала бюджета</w:t>
            </w:r>
            <w:r w:rsidRPr="004A30E6">
              <w:t xml:space="preserve"> </w:t>
            </w:r>
            <w:r w:rsidRPr="004A30E6">
              <w:rPr>
                <w:b/>
                <w:bCs/>
              </w:rPr>
              <w:t>округа</w:t>
            </w:r>
          </w:p>
        </w:tc>
      </w:tr>
      <w:tr w:rsidR="004A30E6" w:rsidRPr="004A30E6" w:rsidTr="004A30E6">
        <w:trPr>
          <w:trHeight w:val="94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1.1.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Взаимодействие с налоговыми органами, налогоплательщиками в целях повышения собираемости доходов, сокращения задолженности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 xml:space="preserve">Регулярно </w:t>
            </w:r>
            <w:proofErr w:type="gramStart"/>
            <w:r w:rsidRPr="004A30E6">
              <w:t>ведется переписка и переговоры МРИ</w:t>
            </w:r>
            <w:proofErr w:type="gramEnd"/>
            <w:r w:rsidRPr="004A30E6">
              <w:t xml:space="preserve"> ФНС</w:t>
            </w:r>
          </w:p>
        </w:tc>
      </w:tr>
      <w:tr w:rsidR="004A30E6" w:rsidRPr="004A30E6" w:rsidTr="004A30E6">
        <w:trPr>
          <w:trHeight w:val="630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1.2.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Мониторинг выявления и погашения задолженности по налогам, сборам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>-</w:t>
            </w:r>
          </w:p>
        </w:tc>
      </w:tr>
      <w:tr w:rsidR="004A30E6" w:rsidRPr="004A30E6" w:rsidTr="004A30E6">
        <w:trPr>
          <w:trHeight w:val="94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1.3.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Проведение оценки эффективности предоставляемых льгот и установленных ставок по налогам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 xml:space="preserve">Ежеквартально ведется внутренний мониторинг, предоставление ежеквартальных отчетов в министерство финансов и в </w:t>
            </w:r>
            <w:proofErr w:type="spellStart"/>
            <w:r w:rsidRPr="004A30E6">
              <w:t>минэконом</w:t>
            </w:r>
            <w:proofErr w:type="spellEnd"/>
            <w:r w:rsidRPr="004A30E6">
              <w:t xml:space="preserve"> развитие.</w:t>
            </w:r>
          </w:p>
        </w:tc>
      </w:tr>
      <w:tr w:rsidR="004A30E6" w:rsidRPr="004A30E6" w:rsidTr="004A30E6">
        <w:trPr>
          <w:trHeight w:val="157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lastRenderedPageBreak/>
              <w:t>1.4.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Осуществление мероприятий по информированию налогоплательщиков в средствах массовой информации о порядке исчисления и сроках уплаты земельного налога и налога на имущество физических лиц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>Информируем налогоплательщиков и физических лиц через газету Среднеканского городского округа «Новая Колыма. Вести</w:t>
            </w:r>
            <w:proofErr w:type="gramStart"/>
            <w:r w:rsidRPr="004A30E6">
              <w:t xml:space="preserve">»., </w:t>
            </w:r>
            <w:proofErr w:type="gramEnd"/>
            <w:r w:rsidRPr="004A30E6">
              <w:t>взаимодействие с физическими лицами.</w:t>
            </w:r>
          </w:p>
        </w:tc>
      </w:tr>
      <w:tr w:rsidR="004A30E6" w:rsidRPr="004A30E6" w:rsidTr="004A30E6">
        <w:trPr>
          <w:trHeight w:val="315"/>
        </w:trPr>
        <w:tc>
          <w:tcPr>
            <w:tcW w:w="21260" w:type="dxa"/>
            <w:gridSpan w:val="9"/>
            <w:hideMark/>
          </w:tcPr>
          <w:p w:rsidR="004A30E6" w:rsidRPr="004A30E6" w:rsidRDefault="004A30E6" w:rsidP="00090162">
            <w:pPr>
              <w:jc w:val="center"/>
              <w:rPr>
                <w:b/>
                <w:bCs/>
              </w:rPr>
            </w:pPr>
            <w:r w:rsidRPr="004A30E6">
              <w:rPr>
                <w:b/>
                <w:bCs/>
              </w:rPr>
              <w:t>2. Повышение эффективности бюджетных расходов</w:t>
            </w:r>
          </w:p>
        </w:tc>
      </w:tr>
      <w:tr w:rsidR="004A30E6" w:rsidRPr="004A30E6" w:rsidTr="004A30E6">
        <w:trPr>
          <w:trHeight w:val="157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2.1.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Разработка муниципальных правовых актов, распорядительных документов по установлению и соблюдению соотношения средней заработной платы руководителей и работников муниципальных учреждений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>соблюдено</w:t>
            </w:r>
          </w:p>
        </w:tc>
      </w:tr>
      <w:tr w:rsidR="004A30E6" w:rsidRPr="004A30E6" w:rsidTr="004A30E6">
        <w:trPr>
          <w:trHeight w:val="1260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2.2.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Организация мониторинга бюджетной сети. Оценка потребности в бюджетных учреждениях с учетом необходимого уровня обеспеченности муниципальными услугами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-</w:t>
            </w:r>
          </w:p>
        </w:tc>
      </w:tr>
      <w:tr w:rsidR="004A30E6" w:rsidRPr="004A30E6" w:rsidTr="004A30E6">
        <w:trPr>
          <w:trHeight w:val="315"/>
        </w:trPr>
        <w:tc>
          <w:tcPr>
            <w:tcW w:w="76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554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320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106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132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164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  <w:tc>
          <w:tcPr>
            <w:tcW w:w="582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</w:tr>
      <w:tr w:rsidR="004A30E6" w:rsidRPr="004A30E6" w:rsidTr="004A30E6">
        <w:trPr>
          <w:trHeight w:val="315"/>
        </w:trPr>
        <w:tc>
          <w:tcPr>
            <w:tcW w:w="21260" w:type="dxa"/>
            <w:gridSpan w:val="9"/>
            <w:hideMark/>
          </w:tcPr>
          <w:p w:rsidR="004A30E6" w:rsidRPr="004A30E6" w:rsidRDefault="004A30E6" w:rsidP="00090162">
            <w:pPr>
              <w:jc w:val="center"/>
              <w:rPr>
                <w:b/>
                <w:bCs/>
              </w:rPr>
            </w:pPr>
            <w:r w:rsidRPr="004A30E6">
              <w:rPr>
                <w:b/>
                <w:bCs/>
              </w:rPr>
              <w:t>3. Управление муниципальным долгом</w:t>
            </w:r>
          </w:p>
        </w:tc>
      </w:tr>
      <w:tr w:rsidR="004A30E6" w:rsidRPr="004A30E6" w:rsidTr="004A30E6">
        <w:trPr>
          <w:trHeight w:val="157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lastRenderedPageBreak/>
              <w:t>3.1.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Соблюдение предельных параметров по объему муниципального долга, объему расходов на обслуживание муниципального долга, объему дефицита бюджета, установленных Бюджетным кодексом Российской Федерации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>Соблюдено</w:t>
            </w:r>
          </w:p>
        </w:tc>
      </w:tr>
      <w:tr w:rsidR="004A30E6" w:rsidRPr="004A30E6" w:rsidTr="004A30E6">
        <w:trPr>
          <w:trHeight w:val="157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3.2.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Проведение мониторинга долговых обязательств в целях своевременного погашения обязательных платежей и недопущения образования просроченной задолженности по долговым обязательствам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>Проведено</w:t>
            </w:r>
          </w:p>
        </w:tc>
      </w:tr>
      <w:tr w:rsidR="004A30E6" w:rsidRPr="004A30E6" w:rsidTr="004A30E6">
        <w:trPr>
          <w:trHeight w:val="630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3.3.</w:t>
            </w:r>
          </w:p>
        </w:tc>
        <w:tc>
          <w:tcPr>
            <w:tcW w:w="5540" w:type="dxa"/>
            <w:hideMark/>
          </w:tcPr>
          <w:p w:rsidR="004A30E6" w:rsidRPr="004A30E6" w:rsidRDefault="004A30E6" w:rsidP="004A30E6">
            <w:r w:rsidRPr="004A30E6">
              <w:t>Проведение мероприятий по реструктуризации муниципального долга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 xml:space="preserve">Мероприятия по реструктуризации муниципального долга проведены в 2018 году </w:t>
            </w:r>
          </w:p>
        </w:tc>
      </w:tr>
      <w:tr w:rsidR="004A30E6" w:rsidRPr="004A30E6" w:rsidTr="004A30E6">
        <w:trPr>
          <w:trHeight w:val="315"/>
        </w:trPr>
        <w:tc>
          <w:tcPr>
            <w:tcW w:w="21260" w:type="dxa"/>
            <w:gridSpan w:val="9"/>
            <w:hideMark/>
          </w:tcPr>
          <w:p w:rsidR="004A30E6" w:rsidRPr="004A30E6" w:rsidRDefault="004A30E6" w:rsidP="00090162">
            <w:pPr>
              <w:jc w:val="center"/>
              <w:rPr>
                <w:b/>
                <w:bCs/>
              </w:rPr>
            </w:pPr>
            <w:r w:rsidRPr="004A30E6">
              <w:rPr>
                <w:b/>
                <w:bCs/>
              </w:rPr>
              <w:t>4. В сфере муниципальных закупок</w:t>
            </w:r>
          </w:p>
        </w:tc>
      </w:tr>
      <w:tr w:rsidR="004A30E6" w:rsidRPr="004A30E6" w:rsidTr="004A30E6">
        <w:trPr>
          <w:trHeight w:val="283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lastRenderedPageBreak/>
              <w:t>4.1.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повышение эффективности муниципальных закупок за счет проведения конкурсных процедур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и централизации закупочных процедур (отмена искусственного дробления лотов до сумм, не требующих проведение торгов)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-</w:t>
            </w:r>
          </w:p>
        </w:tc>
        <w:tc>
          <w:tcPr>
            <w:tcW w:w="5820" w:type="dxa"/>
            <w:hideMark/>
          </w:tcPr>
          <w:p w:rsidR="004A30E6" w:rsidRPr="004A30E6" w:rsidRDefault="004A30E6" w:rsidP="004A30E6">
            <w:pPr>
              <w:rPr>
                <w:b/>
                <w:bCs/>
              </w:rPr>
            </w:pPr>
            <w:r w:rsidRPr="004A30E6">
              <w:rPr>
                <w:b/>
                <w:bCs/>
              </w:rPr>
              <w:t> </w:t>
            </w:r>
          </w:p>
        </w:tc>
      </w:tr>
      <w:tr w:rsidR="004A30E6" w:rsidRPr="004A30E6" w:rsidTr="004A30E6">
        <w:trPr>
          <w:trHeight w:val="945"/>
        </w:trPr>
        <w:tc>
          <w:tcPr>
            <w:tcW w:w="760" w:type="dxa"/>
            <w:hideMark/>
          </w:tcPr>
          <w:p w:rsidR="004A30E6" w:rsidRPr="004A30E6" w:rsidRDefault="004A30E6" w:rsidP="004A30E6">
            <w:r w:rsidRPr="004A30E6">
              <w:t>4.2.</w:t>
            </w:r>
          </w:p>
        </w:tc>
        <w:tc>
          <w:tcPr>
            <w:tcW w:w="5540" w:type="dxa"/>
            <w:hideMark/>
          </w:tcPr>
          <w:p w:rsidR="004A30E6" w:rsidRPr="004A30E6" w:rsidRDefault="004A30E6">
            <w:r w:rsidRPr="004A30E6">
              <w:t>Обеспечение выполнения функций муниципальными органами, казенными учреждениями</w:t>
            </w:r>
          </w:p>
        </w:tc>
        <w:tc>
          <w:tcPr>
            <w:tcW w:w="3200" w:type="dxa"/>
            <w:noWrap/>
            <w:hideMark/>
          </w:tcPr>
          <w:p w:rsidR="004A30E6" w:rsidRPr="004A30E6" w:rsidRDefault="004A30E6" w:rsidP="004A30E6">
            <w:r w:rsidRPr="004A30E6">
              <w:t>33 494,26</w:t>
            </w:r>
          </w:p>
        </w:tc>
        <w:tc>
          <w:tcPr>
            <w:tcW w:w="1060" w:type="dxa"/>
            <w:noWrap/>
            <w:hideMark/>
          </w:tcPr>
          <w:p w:rsidR="004A30E6" w:rsidRPr="004A30E6" w:rsidRDefault="004A30E6" w:rsidP="004A30E6">
            <w:r w:rsidRPr="004A30E6">
              <w:t>32 861,19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 </w:t>
            </w:r>
          </w:p>
        </w:tc>
        <w:tc>
          <w:tcPr>
            <w:tcW w:w="960" w:type="dxa"/>
            <w:noWrap/>
            <w:hideMark/>
          </w:tcPr>
          <w:p w:rsidR="004A30E6" w:rsidRPr="004A30E6" w:rsidRDefault="004A30E6" w:rsidP="004A30E6">
            <w:r w:rsidRPr="004A30E6">
              <w:t> </w:t>
            </w:r>
          </w:p>
        </w:tc>
        <w:tc>
          <w:tcPr>
            <w:tcW w:w="1320" w:type="dxa"/>
            <w:noWrap/>
            <w:hideMark/>
          </w:tcPr>
          <w:p w:rsidR="004A30E6" w:rsidRPr="004A30E6" w:rsidRDefault="004A30E6" w:rsidP="004A30E6">
            <w:r w:rsidRPr="004A30E6">
              <w:t>32 861,19</w:t>
            </w:r>
          </w:p>
        </w:tc>
        <w:tc>
          <w:tcPr>
            <w:tcW w:w="1640" w:type="dxa"/>
            <w:noWrap/>
            <w:hideMark/>
          </w:tcPr>
          <w:p w:rsidR="004A30E6" w:rsidRPr="004A30E6" w:rsidRDefault="004A30E6" w:rsidP="004A30E6">
            <w:r w:rsidRPr="004A30E6">
              <w:t> </w:t>
            </w:r>
          </w:p>
        </w:tc>
        <w:tc>
          <w:tcPr>
            <w:tcW w:w="5820" w:type="dxa"/>
            <w:hideMark/>
          </w:tcPr>
          <w:p w:rsidR="004A30E6" w:rsidRPr="004A30E6" w:rsidRDefault="004A30E6">
            <w:r w:rsidRPr="004A30E6">
              <w:t>Выплата заработной платы работникам учреждений, обеспечение выполнения функций казенного учреждения.</w:t>
            </w:r>
          </w:p>
        </w:tc>
      </w:tr>
    </w:tbl>
    <w:p w:rsidR="00FE6B1A" w:rsidRDefault="00FE6B1A"/>
    <w:p w:rsidR="00090162" w:rsidRDefault="00090162"/>
    <w:p w:rsidR="00090162" w:rsidRDefault="00090162">
      <w:r>
        <w:t xml:space="preserve">               </w:t>
      </w:r>
      <w:proofErr w:type="spellStart"/>
      <w:r>
        <w:t>Врио</w:t>
      </w:r>
      <w:proofErr w:type="spellEnd"/>
      <w:r>
        <w:t xml:space="preserve"> руководителя управления                                                                                                                 Е.Н. </w:t>
      </w:r>
      <w:proofErr w:type="spellStart"/>
      <w:r>
        <w:t>Минигалимова</w:t>
      </w:r>
      <w:proofErr w:type="spellEnd"/>
    </w:p>
    <w:p w:rsidR="00E10874" w:rsidRDefault="00E10874"/>
    <w:p w:rsidR="00E10874" w:rsidRDefault="00E10874"/>
    <w:p w:rsidR="00E10874" w:rsidRDefault="00E10874"/>
    <w:p w:rsidR="00E10874" w:rsidRDefault="00E10874"/>
    <w:p w:rsidR="00E10874" w:rsidRDefault="00E10874"/>
    <w:p w:rsidR="00E10874" w:rsidRDefault="00E10874" w:rsidP="00E108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E10874" w:rsidRDefault="00E10874" w:rsidP="00E108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3056CB" w:rsidRDefault="00E10874" w:rsidP="00E108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056CB" w:rsidRPr="003056CB">
        <w:rPr>
          <w:rFonts w:ascii="Times New Roman" w:hAnsi="Times New Roman" w:cs="Times New Roman"/>
          <w:b/>
          <w:sz w:val="28"/>
          <w:szCs w:val="28"/>
          <w:u w:val="single"/>
        </w:rPr>
        <w:t>Оздоровление муниципальных финансов Среднеканского городского округа</w:t>
      </w:r>
      <w:r w:rsidRPr="0075440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E10874" w:rsidRPr="00826C00" w:rsidRDefault="00E10874" w:rsidP="00E108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E10874" w:rsidRDefault="00E10874" w:rsidP="00E10874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(период)</w:t>
      </w:r>
    </w:p>
    <w:p w:rsidR="00E10874" w:rsidRPr="005B3169" w:rsidRDefault="00E10874" w:rsidP="00E10874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E10874" w:rsidRPr="00F923DF" w:rsidTr="00E17758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Наименование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целевого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0874" w:rsidRPr="00916BC2" w:rsidRDefault="00E10874" w:rsidP="00E17758">
            <w:pPr>
              <w:widowControl w:val="0"/>
              <w:adjustRightInd w:val="0"/>
              <w:jc w:val="center"/>
            </w:pPr>
            <w:r w:rsidRPr="00916BC2">
              <w:rPr>
                <w:spacing w:val="8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>
              <w:t>3</w:t>
            </w:r>
            <w:r w:rsidRPr="00F923DF">
              <w:t xml:space="preserve"> год действия программы</w:t>
            </w:r>
          </w:p>
        </w:tc>
      </w:tr>
      <w:tr w:rsidR="00E10874" w:rsidRPr="00F923DF" w:rsidTr="00E17758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Плановое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значение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целевого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индикатора,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Фактическое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значение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целевого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индикатора,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proofErr w:type="spellStart"/>
            <w:r w:rsidRPr="00F923DF"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Эффективность реализации,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% (</w:t>
            </w:r>
            <w:proofErr w:type="spellStart"/>
            <w:r w:rsidRPr="00F923DF">
              <w:t>Е</w:t>
            </w:r>
            <w:proofErr w:type="gramStart"/>
            <w:r w:rsidRPr="00F923DF">
              <w:t>n</w:t>
            </w:r>
            <w:proofErr w:type="spellEnd"/>
            <w:proofErr w:type="gramEnd"/>
            <w:r w:rsidRPr="00F923DF">
              <w:t xml:space="preserve"> =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 w:rsidRPr="00F923DF">
              <w:t>(</w:t>
            </w:r>
            <w:proofErr w:type="spellStart"/>
            <w:proofErr w:type="gramStart"/>
            <w:r w:rsidRPr="00F923DF">
              <w:t>Т</w:t>
            </w:r>
            <w:proofErr w:type="gramEnd"/>
            <w:r w:rsidRPr="00F923DF">
              <w:t>fn</w:t>
            </w:r>
            <w:proofErr w:type="spellEnd"/>
            <w:r w:rsidRPr="00F923DF">
              <w:t xml:space="preserve"> / TN</w:t>
            </w:r>
          </w:p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proofErr w:type="gramStart"/>
            <w:r w:rsidRPr="00F923DF">
              <w:t>n) x 100)</w:t>
            </w:r>
            <w:proofErr w:type="gramEnd"/>
          </w:p>
        </w:tc>
      </w:tr>
      <w:tr w:rsidR="00E10874" w:rsidRPr="00F923DF" w:rsidTr="00E17758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 w:rsidRPr="003D37C9">
              <w:rPr>
                <w:spacing w:val="8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8D7CE6" w:rsidRDefault="00E10874" w:rsidP="00E17758">
            <w:pPr>
              <w:rPr>
                <w:spacing w:val="8"/>
              </w:rPr>
            </w:pPr>
            <w:r w:rsidRPr="00676603">
              <w:t xml:space="preserve">Доля </w:t>
            </w:r>
            <w:r w:rsidRPr="007D2FE1">
              <w:t>налоговых и неналоговых доходов в общем объеме доходов 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  <w:r>
              <w:rPr>
                <w:spacing w:val="8"/>
              </w:rPr>
              <w:t>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23,6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  <w:r>
              <w:t>107,2</w:t>
            </w:r>
          </w:p>
        </w:tc>
      </w:tr>
      <w:tr w:rsidR="00E10874" w:rsidRPr="00F923DF" w:rsidTr="00E17758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rPr>
                <w:color w:val="000000"/>
              </w:rPr>
            </w:pPr>
            <w:r w:rsidRPr="00DE18B7">
              <w:t xml:space="preserve">Доля </w:t>
            </w:r>
            <w:proofErr w:type="gramStart"/>
            <w:r w:rsidRPr="00DE18B7">
              <w:t>просроченной</w:t>
            </w:r>
            <w:proofErr w:type="gramEnd"/>
            <w:r w:rsidRPr="00DE18B7">
              <w:t xml:space="preserve"> кредиторской задолженность к общ</w:t>
            </w:r>
            <w:r>
              <w:t>ему объему</w:t>
            </w:r>
            <w:r w:rsidRPr="00DE18B7">
              <w:t xml:space="preserve"> расход</w:t>
            </w:r>
            <w:r>
              <w:t>ов</w:t>
            </w:r>
            <w:r w:rsidRPr="00DE18B7">
              <w:t xml:space="preserve"> 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widowControl w:val="0"/>
              <w:adjustRightInd w:val="0"/>
              <w:jc w:val="center"/>
            </w:pPr>
            <w:r>
              <w:t>10</w:t>
            </w:r>
          </w:p>
        </w:tc>
      </w:tr>
      <w:tr w:rsidR="00E10874" w:rsidRPr="00F923DF" w:rsidTr="00E17758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rPr>
                <w:color w:val="000000"/>
              </w:rPr>
            </w:pPr>
            <w:r w:rsidRPr="00DE18B7">
              <w:t>Численность персонала муниципальных учреждений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390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291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widowControl w:val="0"/>
              <w:adjustRightInd w:val="0"/>
              <w:jc w:val="center"/>
            </w:pPr>
            <w:r>
              <w:t>74</w:t>
            </w:r>
          </w:p>
        </w:tc>
      </w:tr>
      <w:tr w:rsidR="00E10874" w:rsidRPr="00F923DF" w:rsidTr="00E17758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rPr>
                <w:color w:val="000000"/>
              </w:rPr>
            </w:pPr>
            <w:r w:rsidRPr="00DE18B7">
              <w:t>Соотношение количества проверок, по результатам которых выявлены нарушения законодательства в финансово-бюджетной сфере, к общему количеству проверок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65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58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widowControl w:val="0"/>
              <w:adjustRightInd w:val="0"/>
              <w:jc w:val="center"/>
            </w:pPr>
            <w:r>
              <w:t>89</w:t>
            </w:r>
          </w:p>
        </w:tc>
      </w:tr>
      <w:tr w:rsidR="00E10874" w:rsidRPr="00F923DF" w:rsidTr="00E17758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lastRenderedPageBreak/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rPr>
                <w:color w:val="000000"/>
              </w:rPr>
            </w:pPr>
            <w:r w:rsidRPr="00DE18B7">
              <w:t>Отношение дефицита бюджета к доходам без учета объема безвозмездных поступлений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&lt;5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3056CB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&gt;5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widowControl w:val="0"/>
              <w:adjustRightInd w:val="0"/>
              <w:jc w:val="center"/>
            </w:pPr>
          </w:p>
        </w:tc>
      </w:tr>
      <w:tr w:rsidR="00E10874" w:rsidRPr="00F923DF" w:rsidTr="00E17758">
        <w:trPr>
          <w:trHeight w:val="130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rPr>
                <w:color w:val="000000"/>
              </w:rPr>
            </w:pPr>
            <w:r w:rsidRPr="00DE18B7">
              <w:t>Отношение объема муниципального долга к общему годовому объему доходов бюджета без учета безвозмездных поступлений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7,8</w:t>
            </w:r>
          </w:p>
          <w:p w:rsidR="003056CB" w:rsidRPr="003056CB" w:rsidRDefault="003056CB" w:rsidP="003056CB">
            <w:pPr>
              <w:rPr>
                <w:spacing w:val="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3056CB" w:rsidP="00E17758">
            <w:pPr>
              <w:widowControl w:val="0"/>
              <w:adjustRightInd w:val="0"/>
              <w:jc w:val="center"/>
            </w:pPr>
            <w:r>
              <w:t>97,5</w:t>
            </w:r>
          </w:p>
        </w:tc>
      </w:tr>
      <w:tr w:rsidR="00E10874" w:rsidRPr="00F923DF" w:rsidTr="00E17758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7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852BD" w:rsidRDefault="00E10874" w:rsidP="00E17758">
            <w:pPr>
              <w:rPr>
                <w:spacing w:val="8"/>
              </w:rPr>
            </w:pPr>
            <w:r w:rsidRPr="00DE18B7">
              <w:t>Доля расходов на обслуживание муниципального долга в расходах бюджета без учета расходов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D37C9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&lt;15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&lt;15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E10874" w:rsidRPr="00F923DF" w:rsidTr="00E17758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8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852BD" w:rsidRDefault="00E10874" w:rsidP="00E17758">
            <w:pPr>
              <w:rPr>
                <w:spacing w:val="8"/>
              </w:rPr>
            </w:pPr>
            <w:r w:rsidRPr="00DE18B7">
              <w:t xml:space="preserve">Количество штрафных и </w:t>
            </w:r>
            <w:proofErr w:type="spellStart"/>
            <w:r w:rsidRPr="00DE18B7">
              <w:t>санкционных</w:t>
            </w:r>
            <w:proofErr w:type="spellEnd"/>
            <w:r w:rsidRPr="00DE18B7">
              <w:t xml:space="preserve"> выплат по долговым обязательствам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widowControl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10874" w:rsidRPr="00F923DF" w:rsidTr="00E17758">
        <w:trPr>
          <w:trHeight w:val="37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9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852BD" w:rsidRDefault="00E10874" w:rsidP="00E17758">
            <w:pPr>
              <w:rPr>
                <w:spacing w:val="8"/>
              </w:rPr>
            </w:pPr>
            <w:r w:rsidRPr="00215BC8">
              <w:t xml:space="preserve">Доля расходов </w:t>
            </w:r>
            <w:r>
              <w:t>местного</w:t>
            </w:r>
            <w:r w:rsidRPr="00215BC8">
              <w:t xml:space="preserve"> бюджета, формируемых в рамках </w:t>
            </w:r>
            <w:r>
              <w:t>муниципальных</w:t>
            </w:r>
            <w:r w:rsidRPr="00215BC8">
              <w:t xml:space="preserve"> программ, в общем объеме расходов </w:t>
            </w:r>
            <w:r>
              <w:t>местного</w:t>
            </w:r>
            <w:r w:rsidRPr="00215BC8">
              <w:t xml:space="preserve"> бюджета без учета субвенций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jc w:val="center"/>
              <w:rPr>
                <w:spacing w:val="8"/>
              </w:rPr>
            </w:pPr>
            <w:r>
              <w:rPr>
                <w:spacing w:val="8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&gt;50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3056CB" w:rsidRDefault="003056CB" w:rsidP="00E17758">
            <w:pPr>
              <w:jc w:val="center"/>
              <w:rPr>
                <w:spacing w:val="8"/>
                <w:lang w:val="en-US"/>
              </w:rPr>
            </w:pPr>
            <w:r>
              <w:rPr>
                <w:spacing w:val="8"/>
                <w:lang w:val="en-US"/>
              </w:rPr>
              <w:t>&gt;50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Default="00E10874" w:rsidP="00E17758">
            <w:pPr>
              <w:widowControl w:val="0"/>
              <w:adjustRightInd w:val="0"/>
            </w:pPr>
          </w:p>
        </w:tc>
      </w:tr>
      <w:tr w:rsidR="00E10874" w:rsidRPr="00F923DF" w:rsidTr="00E17758">
        <w:trPr>
          <w:trHeight w:val="23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</w:pPr>
            <w:r w:rsidRPr="00F923DF"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E10874" w:rsidP="00E17758">
            <w:pPr>
              <w:widowControl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874" w:rsidRPr="00F923DF" w:rsidRDefault="003056CB" w:rsidP="00E17758">
            <w:pPr>
              <w:widowControl w:val="0"/>
              <w:adjustRightInd w:val="0"/>
              <w:jc w:val="center"/>
            </w:pPr>
            <w:r w:rsidRPr="003056CB">
              <w:t>79.</w:t>
            </w:r>
            <w:r>
              <w:rPr>
                <w:lang w:val="en-US"/>
              </w:rPr>
              <w:t>6</w:t>
            </w:r>
            <w:r w:rsidR="00E10874">
              <w:t xml:space="preserve"> </w:t>
            </w:r>
            <w:r w:rsidR="00E10874" w:rsidRPr="00282126">
              <w:t xml:space="preserve">% </w:t>
            </w:r>
            <w:hyperlink w:anchor="Par176" w:tooltip="Ссылка на текущий документ" w:history="1">
              <w:r w:rsidR="00E10874" w:rsidRPr="00282126">
                <w:t>&lt;*&gt;</w:t>
              </w:r>
            </w:hyperlink>
          </w:p>
        </w:tc>
      </w:tr>
    </w:tbl>
    <w:p w:rsidR="00E10874" w:rsidRDefault="00E10874" w:rsidP="00E1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E10874" w:rsidRPr="003E5C21" w:rsidRDefault="00E10874" w:rsidP="00E108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E10874" w:rsidRPr="003E5C21" w:rsidRDefault="00E10874" w:rsidP="00E1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874" w:rsidRPr="003056CB" w:rsidRDefault="003056CB" w:rsidP="00E1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Е.Н.Минигалимова</w:t>
      </w:r>
      <w:proofErr w:type="spellEnd"/>
    </w:p>
    <w:p w:rsidR="00E10874" w:rsidRPr="00146BB0" w:rsidRDefault="00E10874" w:rsidP="00E10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874" w:rsidRDefault="00E10874" w:rsidP="00E1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E10874" w:rsidRDefault="003056CB" w:rsidP="00305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10874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10874" w:rsidRPr="00146BB0">
        <w:rPr>
          <w:rFonts w:ascii="Times New Roman" w:hAnsi="Times New Roman" w:cs="Times New Roman"/>
          <w:sz w:val="28"/>
          <w:szCs w:val="28"/>
        </w:rPr>
        <w:t>.20</w:t>
      </w:r>
      <w:r w:rsidR="00E10874">
        <w:rPr>
          <w:rFonts w:ascii="Times New Roman" w:hAnsi="Times New Roman" w:cs="Times New Roman"/>
          <w:sz w:val="28"/>
          <w:szCs w:val="28"/>
        </w:rPr>
        <w:t>20</w:t>
      </w:r>
      <w:r w:rsidR="00E10874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0874" w:rsidRDefault="00E10874"/>
    <w:sectPr w:rsidR="00E10874" w:rsidSect="0009016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1A" w:rsidRDefault="00FE6B1A" w:rsidP="005E241F">
      <w:r>
        <w:separator/>
      </w:r>
    </w:p>
  </w:endnote>
  <w:endnote w:type="continuationSeparator" w:id="0">
    <w:p w:rsidR="00FE6B1A" w:rsidRDefault="00FE6B1A" w:rsidP="005E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1A" w:rsidRDefault="00FE6B1A" w:rsidP="005E241F">
      <w:r>
        <w:separator/>
      </w:r>
    </w:p>
  </w:footnote>
  <w:footnote w:type="continuationSeparator" w:id="0">
    <w:p w:rsidR="00FE6B1A" w:rsidRDefault="00FE6B1A" w:rsidP="005E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6B"/>
    <w:rsid w:val="00090162"/>
    <w:rsid w:val="0010136B"/>
    <w:rsid w:val="003056CB"/>
    <w:rsid w:val="004A30E6"/>
    <w:rsid w:val="005E241F"/>
    <w:rsid w:val="006A0D17"/>
    <w:rsid w:val="00E10874"/>
    <w:rsid w:val="00E26A2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2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A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2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A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USER-USLUGI</cp:lastModifiedBy>
  <cp:revision>5</cp:revision>
  <cp:lastPrinted>2020-06-17T22:42:00Z</cp:lastPrinted>
  <dcterms:created xsi:type="dcterms:W3CDTF">2020-06-17T04:45:00Z</dcterms:created>
  <dcterms:modified xsi:type="dcterms:W3CDTF">2020-06-25T04:21:00Z</dcterms:modified>
</cp:coreProperties>
</file>