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4D1007">
        <w:rPr>
          <w:rFonts w:ascii="Times New Roman" w:hAnsi="Times New Roman"/>
          <w:sz w:val="24"/>
          <w:szCs w:val="24"/>
          <w:u w:val="single"/>
        </w:rPr>
        <w:t xml:space="preserve">проект постановления Администрации Среднеканского городского округа </w:t>
      </w:r>
      <w:r w:rsidR="00FC36E3" w:rsidRPr="004D1007">
        <w:rPr>
          <w:rFonts w:ascii="Times New Roman" w:hAnsi="Times New Roman"/>
          <w:sz w:val="24"/>
          <w:szCs w:val="24"/>
          <w:u w:val="single"/>
        </w:rPr>
        <w:t>«</w:t>
      </w:r>
      <w:r w:rsidR="004D1007" w:rsidRPr="004D1007">
        <w:rPr>
          <w:rFonts w:ascii="Times New Roman" w:hAnsi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«Организация ярмарок на территории Среднеканского городского округа»</w:t>
      </w:r>
      <w:r w:rsidR="00FC36E3" w:rsidRPr="004D1007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 w:rsidR="00972BB2">
        <w:rPr>
          <w:rFonts w:ascii="Times New Roman" w:hAnsi="Times New Roman"/>
          <w:color w:val="000000"/>
          <w:sz w:val="24"/>
          <w:szCs w:val="24"/>
        </w:rPr>
        <w:t>.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4D1007" w:rsidRPr="00D216D3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4D1007" w:rsidRPr="00D216D3">
        <w:rPr>
          <w:rFonts w:ascii="Times New Roman" w:hAnsi="Times New Roman"/>
          <w:sz w:val="24"/>
          <w:szCs w:val="24"/>
          <w:u w:val="single"/>
        </w:rPr>
        <w:t xml:space="preserve"> квартал 2018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4D1007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200527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200527" w:rsidRPr="00200527">
        <w:rPr>
          <w:rFonts w:ascii="Times New Roman" w:hAnsi="Times New Roman"/>
          <w:sz w:val="24"/>
          <w:szCs w:val="24"/>
          <w:u w:val="single"/>
        </w:rPr>
        <w:t>Регламент определяет стандарт предоставления муниципальной услуги, исчерпывающий перечень документов, необходимых для предоставления услуги, порядок и сроки предоставления муниципальной услуги «Организация ярмарок на территории Среднеканского городского округа»</w:t>
      </w:r>
      <w:r w:rsidR="00FC36E3" w:rsidRPr="00200527">
        <w:rPr>
          <w:rFonts w:ascii="Times New Roman" w:hAnsi="Times New Roman"/>
          <w:sz w:val="24"/>
          <w:szCs w:val="24"/>
          <w:u w:val="single"/>
        </w:rPr>
        <w:t>.</w:t>
      </w:r>
    </w:p>
    <w:p w:rsidR="00FC36E3" w:rsidRPr="00FC36E3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34A03" w:rsidRDefault="00E03F7E" w:rsidP="001551A4">
      <w:pPr>
        <w:jc w:val="both"/>
        <w:rPr>
          <w:rFonts w:ascii="Times New Roman" w:hAnsi="Times New Roman"/>
          <w:b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200527" w:rsidRPr="00200527">
        <w:rPr>
          <w:rFonts w:ascii="Times New Roman" w:hAnsi="Times New Roman"/>
          <w:sz w:val="24"/>
          <w:szCs w:val="24"/>
          <w:u w:val="single"/>
        </w:rPr>
        <w:t>Создание условий для развития малого и среднего предпринимательства на территории Среднеканского городского округа.</w:t>
      </w:r>
    </w:p>
    <w:p w:rsidR="001551A4" w:rsidRPr="001551A4" w:rsidRDefault="001551A4" w:rsidP="001551A4">
      <w:pPr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820036" w:rsidRPr="00995FBF" w:rsidRDefault="00735D50" w:rsidP="00820036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36E3" w:rsidRPr="00972BB2">
        <w:rPr>
          <w:rFonts w:ascii="Times New Roman" w:hAnsi="Times New Roman"/>
          <w:iCs/>
          <w:color w:val="222222"/>
          <w:sz w:val="24"/>
          <w:szCs w:val="24"/>
        </w:rPr>
        <w:t>Согласно</w:t>
      </w:r>
      <w:proofErr w:type="gramEnd"/>
      <w:r w:rsidR="00FC36E3" w:rsidRPr="00972BB2">
        <w:rPr>
          <w:rFonts w:ascii="Times New Roman" w:hAnsi="Times New Roman"/>
          <w:iCs/>
          <w:color w:val="222222"/>
          <w:sz w:val="24"/>
          <w:szCs w:val="24"/>
        </w:rPr>
        <w:t xml:space="preserve"> действующего законодательства РФ </w:t>
      </w:r>
      <w:r w:rsidR="00200527" w:rsidRPr="00200527">
        <w:rPr>
          <w:rFonts w:ascii="Times New Roman" w:hAnsi="Times New Roman"/>
          <w:iCs/>
          <w:color w:val="222222"/>
          <w:sz w:val="24"/>
          <w:szCs w:val="24"/>
          <w:u w:val="single"/>
        </w:rPr>
        <w:t>Административный р</w:t>
      </w:r>
      <w:r w:rsidR="00200527" w:rsidRPr="00200527">
        <w:rPr>
          <w:rFonts w:ascii="Times New Roman" w:hAnsi="Times New Roman"/>
          <w:sz w:val="24"/>
          <w:szCs w:val="24"/>
          <w:u w:val="single"/>
        </w:rPr>
        <w:t>егламент определяет стандарт предоставления муниципальной услуги, исчерпывающий перечень документов, необходимых для предоставления услуги, порядок и сроки предоставления муниципальной услуги «Организация ярмарок на территории Среднеканского городского округа».</w:t>
      </w:r>
    </w:p>
    <w:p w:rsidR="00FA7ECC" w:rsidRPr="00F74A6B" w:rsidRDefault="00FA7ECC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9D74B7">
        <w:rPr>
          <w:rFonts w:ascii="Times New Roman" w:hAnsi="Times New Roman"/>
          <w:sz w:val="24"/>
          <w:szCs w:val="24"/>
          <w:u w:val="single"/>
        </w:rPr>
        <w:t>«</w:t>
      </w:r>
      <w:r w:rsidR="009D74B7" w:rsidRPr="009D74B7">
        <w:rPr>
          <w:rFonts w:ascii="Times New Roman" w:hAnsi="Times New Roman"/>
          <w:sz w:val="24"/>
          <w:szCs w:val="24"/>
          <w:u w:val="single"/>
        </w:rPr>
        <w:t>24</w:t>
      </w:r>
      <w:r w:rsidRPr="009D74B7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9D74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74B7" w:rsidRPr="009D74B7">
        <w:rPr>
          <w:rFonts w:ascii="Times New Roman" w:hAnsi="Times New Roman"/>
          <w:sz w:val="24"/>
          <w:szCs w:val="24"/>
          <w:u w:val="single"/>
        </w:rPr>
        <w:t>мая</w:t>
      </w:r>
      <w:r w:rsidR="00914666" w:rsidRPr="009D74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74B7">
        <w:rPr>
          <w:rFonts w:ascii="Times New Roman" w:hAnsi="Times New Roman"/>
          <w:sz w:val="24"/>
          <w:szCs w:val="24"/>
          <w:u w:val="single"/>
        </w:rPr>
        <w:t>20</w:t>
      </w:r>
      <w:r w:rsidR="00914666" w:rsidRPr="009D74B7">
        <w:rPr>
          <w:rFonts w:ascii="Times New Roman" w:hAnsi="Times New Roman"/>
          <w:sz w:val="24"/>
          <w:szCs w:val="24"/>
          <w:u w:val="single"/>
        </w:rPr>
        <w:t>1</w:t>
      </w:r>
      <w:r w:rsidR="009D74B7" w:rsidRPr="009D74B7">
        <w:rPr>
          <w:rFonts w:ascii="Times New Roman" w:hAnsi="Times New Roman"/>
          <w:sz w:val="24"/>
          <w:szCs w:val="24"/>
          <w:u w:val="single"/>
        </w:rPr>
        <w:t>8</w:t>
      </w:r>
      <w:r w:rsidRPr="009D74B7">
        <w:rPr>
          <w:rFonts w:ascii="Times New Roman" w:hAnsi="Times New Roman"/>
          <w:sz w:val="24"/>
          <w:szCs w:val="24"/>
          <w:u w:val="single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9D74B7">
        <w:rPr>
          <w:rFonts w:ascii="Times New Roman" w:hAnsi="Times New Roman"/>
          <w:sz w:val="24"/>
          <w:szCs w:val="24"/>
          <w:u w:val="single"/>
        </w:rPr>
        <w:t>«</w:t>
      </w:r>
      <w:r w:rsidR="009D74B7" w:rsidRPr="009D74B7">
        <w:rPr>
          <w:rFonts w:ascii="Times New Roman" w:hAnsi="Times New Roman"/>
          <w:sz w:val="24"/>
          <w:szCs w:val="24"/>
          <w:u w:val="single"/>
        </w:rPr>
        <w:t>08</w:t>
      </w:r>
      <w:r w:rsidRPr="009D74B7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9D74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74B7" w:rsidRPr="009D74B7">
        <w:rPr>
          <w:rFonts w:ascii="Times New Roman" w:hAnsi="Times New Roman"/>
          <w:sz w:val="24"/>
          <w:szCs w:val="24"/>
          <w:u w:val="single"/>
        </w:rPr>
        <w:t>июня</w:t>
      </w:r>
      <w:r w:rsidR="00764C2E" w:rsidRPr="009D74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74B7">
        <w:rPr>
          <w:rFonts w:ascii="Times New Roman" w:hAnsi="Times New Roman"/>
          <w:sz w:val="24"/>
          <w:szCs w:val="24"/>
          <w:u w:val="single"/>
        </w:rPr>
        <w:t>20</w:t>
      </w:r>
      <w:r w:rsidR="00914666" w:rsidRPr="009D74B7">
        <w:rPr>
          <w:rFonts w:ascii="Times New Roman" w:hAnsi="Times New Roman"/>
          <w:sz w:val="24"/>
          <w:szCs w:val="24"/>
          <w:u w:val="single"/>
        </w:rPr>
        <w:t>1</w:t>
      </w:r>
      <w:r w:rsidR="009D74B7" w:rsidRPr="009D74B7">
        <w:rPr>
          <w:rFonts w:ascii="Times New Roman" w:hAnsi="Times New Roman"/>
          <w:sz w:val="24"/>
          <w:szCs w:val="24"/>
          <w:u w:val="single"/>
        </w:rPr>
        <w:t>8</w:t>
      </w:r>
      <w:r w:rsidRPr="009D74B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200527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</w:t>
      </w:r>
      <w:r w:rsidRPr="00200527">
        <w:rPr>
          <w:rFonts w:ascii="Times New Roman" w:hAnsi="Times New Roman"/>
          <w:sz w:val="24"/>
          <w:szCs w:val="24"/>
        </w:rPr>
        <w:t>акта:</w:t>
      </w:r>
    </w:p>
    <w:p w:rsidR="00160F3A" w:rsidRPr="00200527" w:rsidRDefault="00914270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00527" w:rsidRPr="009501DA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http://admmosrednekan.ru/msu/structure/omsu-mo-srednekanskogo-go/administratsiya-srednekanskogo-go/obyavleniya/media/2018/5/24/obyavlen-sbor-predlozhenij-k-buduschemu-proektu-normativnogo-akta-3/</w:t>
        </w:r>
      </w:hyperlink>
      <w:r w:rsidR="00200527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FC36E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 xml:space="preserve">Должность: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FC36E3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972BB2" w:rsidRPr="00200527">
        <w:rPr>
          <w:rFonts w:ascii="Times New Roman" w:hAnsi="Times New Roman"/>
          <w:sz w:val="24"/>
          <w:szCs w:val="24"/>
          <w:u w:val="single"/>
        </w:rPr>
        <w:t>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200527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200527">
        <w:rPr>
          <w:rFonts w:ascii="Times New Roman" w:hAnsi="Times New Roman"/>
          <w:color w:val="000000"/>
          <w:sz w:val="24"/>
          <w:szCs w:val="24"/>
          <w:u w:val="single"/>
        </w:rPr>
        <w:t>проект правого акта не содержит положения, устанавливающие ранее не предусмотренные муниципальными нормативными правовыми актами Среднеканского городского округа обязанности, запреты, ограничения для субъектов предпринимательской и инвестиционной деятельности либо способствующие их установлению, и (или) положения, приводящие к возникновению ранее не предусмотренных муниципальными нормативными правовыми актами Среднеканского городского округа расходов субъектов предпринимательской и инвестиционной деятельности и (или) расходов бюджета Среднеканского городского округа.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Pr="00293EC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200527" w:rsidRPr="00200527">
        <w:rPr>
          <w:rFonts w:ascii="Times New Roman" w:hAnsi="Times New Roman"/>
          <w:sz w:val="24"/>
          <w:szCs w:val="24"/>
          <w:u w:val="single"/>
        </w:rPr>
        <w:t>Регламент определяет стандарт предоставления муниципальной услуги, исчерпывающий перечень документов, необходимых для предоставления услуги, порядок и сроки предоставления муниципальной услуги «Организация ярмарок на территории Среднеканского городского округа»</w:t>
      </w:r>
    </w:p>
    <w:p w:rsidR="00293EC2" w:rsidRPr="00A856C8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участников отношений, испытывающих  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3EC2" w:rsidRPr="00A856C8">
        <w:rPr>
          <w:rFonts w:ascii="Times New Roman" w:hAnsi="Times New Roman"/>
          <w:sz w:val="24"/>
          <w:szCs w:val="24"/>
          <w:u w:val="single"/>
        </w:rPr>
        <w:t xml:space="preserve">При отсутствии </w:t>
      </w:r>
      <w:r w:rsidR="00200527" w:rsidRPr="00A856C8">
        <w:rPr>
          <w:rFonts w:ascii="Times New Roman" w:hAnsi="Times New Roman"/>
          <w:sz w:val="24"/>
          <w:szCs w:val="24"/>
          <w:u w:val="single"/>
        </w:rPr>
        <w:t>регламента</w:t>
      </w:r>
      <w:r w:rsidR="00200527" w:rsidRPr="00200527">
        <w:rPr>
          <w:rFonts w:ascii="Times New Roman" w:hAnsi="Times New Roman"/>
          <w:sz w:val="24"/>
          <w:szCs w:val="24"/>
          <w:u w:val="single"/>
        </w:rPr>
        <w:t xml:space="preserve"> определяет стандарт предоставления муниципальной услуги, исчерпывающий перечень документов, необходимых для предоставления услуги, порядок и сроки предоставления муниципальной услуги «Организация ярмарок на территории Среднеканского городского округа</w:t>
      </w:r>
      <w:r w:rsidR="00200527" w:rsidRPr="00A856C8">
        <w:rPr>
          <w:rFonts w:ascii="Times New Roman" w:hAnsi="Times New Roman"/>
          <w:sz w:val="24"/>
          <w:szCs w:val="24"/>
          <w:u w:val="single"/>
        </w:rPr>
        <w:t>»</w:t>
      </w:r>
      <w:r w:rsidR="00293EC2" w:rsidRPr="00A856C8">
        <w:rPr>
          <w:rFonts w:ascii="Times New Roman" w:hAnsi="Times New Roman"/>
          <w:sz w:val="24"/>
          <w:szCs w:val="24"/>
          <w:u w:val="single"/>
        </w:rPr>
        <w:t xml:space="preserve"> осложнен</w:t>
      </w:r>
      <w:r w:rsidR="00A856C8" w:rsidRPr="00A856C8">
        <w:rPr>
          <w:rFonts w:ascii="Times New Roman" w:hAnsi="Times New Roman"/>
          <w:sz w:val="24"/>
          <w:szCs w:val="24"/>
          <w:u w:val="single"/>
        </w:rPr>
        <w:t>о</w:t>
      </w:r>
      <w:r w:rsidR="00293EC2" w:rsidRPr="00A856C8">
        <w:rPr>
          <w:rFonts w:ascii="Times New Roman" w:hAnsi="Times New Roman"/>
          <w:sz w:val="24"/>
          <w:szCs w:val="24"/>
          <w:u w:val="single"/>
        </w:rPr>
        <w:t xml:space="preserve"> предоставление </w:t>
      </w:r>
      <w:r w:rsidR="00A856C8" w:rsidRPr="00A856C8">
        <w:rPr>
          <w:rFonts w:ascii="Times New Roman" w:hAnsi="Times New Roman"/>
          <w:sz w:val="24"/>
          <w:szCs w:val="24"/>
          <w:u w:val="single"/>
        </w:rPr>
        <w:t>разрешения на осуществление торговли на ярмарке, имеющий временный характер на территории городского округа</w:t>
      </w:r>
      <w:r w:rsidR="00293EC2" w:rsidRPr="00A856C8">
        <w:rPr>
          <w:rFonts w:ascii="Times New Roman" w:hAnsi="Times New Roman"/>
          <w:sz w:val="24"/>
          <w:szCs w:val="24"/>
          <w:u w:val="single"/>
        </w:rPr>
        <w:t>, что негативным образом скажется на развитии предпринимательства в округе.</w:t>
      </w:r>
      <w:proofErr w:type="gramEnd"/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Необходимость усовершенствования </w:t>
      </w:r>
      <w:r w:rsidR="007F3C8F" w:rsidRPr="008B0C98">
        <w:rPr>
          <w:rFonts w:ascii="Times New Roman" w:hAnsi="Times New Roman"/>
          <w:sz w:val="24"/>
          <w:szCs w:val="24"/>
          <w:u w:val="single"/>
          <w:lang w:bidi="ru-RU"/>
        </w:rPr>
        <w:t>про</w:t>
      </w:r>
      <w:r w:rsidR="008B0C98" w:rsidRPr="008B0C98">
        <w:rPr>
          <w:rFonts w:ascii="Times New Roman" w:hAnsi="Times New Roman"/>
          <w:sz w:val="24"/>
          <w:szCs w:val="24"/>
          <w:u w:val="single"/>
          <w:lang w:bidi="ru-RU"/>
        </w:rPr>
        <w:t>цедуры</w:t>
      </w:r>
      <w:r w:rsidR="00293EC2" w:rsidRPr="008B0C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0C98" w:rsidRPr="008B0C98">
        <w:rPr>
          <w:rFonts w:ascii="Times New Roman" w:hAnsi="Times New Roman"/>
          <w:sz w:val="24"/>
          <w:szCs w:val="24"/>
          <w:u w:val="single"/>
        </w:rPr>
        <w:t>предоставления муниципальной услуги «Организация</w:t>
      </w:r>
      <w:r w:rsidR="008B0C98" w:rsidRPr="00200527">
        <w:rPr>
          <w:rFonts w:ascii="Times New Roman" w:hAnsi="Times New Roman"/>
          <w:sz w:val="24"/>
          <w:szCs w:val="24"/>
          <w:u w:val="single"/>
        </w:rPr>
        <w:t xml:space="preserve"> ярмарок на территории Среднеканского городского округа</w:t>
      </w:r>
      <w:r w:rsidR="008B0C98" w:rsidRPr="00A856C8">
        <w:rPr>
          <w:rFonts w:ascii="Times New Roman" w:hAnsi="Times New Roman"/>
          <w:sz w:val="24"/>
          <w:szCs w:val="24"/>
          <w:u w:val="single"/>
        </w:rPr>
        <w:t>»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8B0C98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8B0C98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8B0C98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8B0C98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8B0C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8B0C98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8B0C98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8B0C98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8B0C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8B0C98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8B0C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8B0C98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8B0C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8B0C98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8B0C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8B0C98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8B0C98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8B0C98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8B0C98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116900" w:rsidRPr="0053468F" w:rsidRDefault="004F2F0F" w:rsidP="00116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4.1. </w:t>
      </w:r>
      <w:r w:rsidRPr="008B0C98">
        <w:rPr>
          <w:rFonts w:ascii="Times New Roman" w:hAnsi="Times New Roman" w:cs="Times New Roman"/>
          <w:sz w:val="24"/>
          <w:szCs w:val="24"/>
        </w:rPr>
        <w:t>Федеральный уровень:</w:t>
      </w:r>
      <w:r w:rsidR="00F912D4" w:rsidRPr="008B0C98">
        <w:rPr>
          <w:rFonts w:ascii="Times New Roman" w:hAnsi="Times New Roman" w:cs="Times New Roman"/>
          <w:sz w:val="24"/>
          <w:szCs w:val="24"/>
        </w:rPr>
        <w:t xml:space="preserve"> </w:t>
      </w:r>
      <w:r w:rsidR="008B0C98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30.12.2006 </w:t>
      </w:r>
      <w:r w:rsidR="008B0C98" w:rsidRPr="00116900">
        <w:rPr>
          <w:rFonts w:ascii="Times New Roman" w:hAnsi="Times New Roman"/>
          <w:sz w:val="24"/>
          <w:szCs w:val="24"/>
          <w:u w:val="single"/>
        </w:rPr>
        <w:t>№</w:t>
      </w:r>
      <w:r w:rsidR="008B0C98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 271-ФЗ</w:t>
      </w:r>
      <w:r w:rsidR="008B0C98" w:rsidRPr="0011690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0C98" w:rsidRPr="00116900">
        <w:rPr>
          <w:rFonts w:ascii="Times New Roman" w:hAnsi="Times New Roman" w:cs="Times New Roman"/>
          <w:sz w:val="24"/>
          <w:szCs w:val="24"/>
          <w:u w:val="single"/>
        </w:rPr>
        <w:t>(ред. от 31.12.2014)</w:t>
      </w:r>
      <w:r w:rsidR="008B0C98" w:rsidRPr="00116900">
        <w:rPr>
          <w:rFonts w:ascii="Times New Roman" w:hAnsi="Times New Roman" w:cs="Times New Roman"/>
          <w:sz w:val="24"/>
          <w:szCs w:val="24"/>
          <w:u w:val="single"/>
        </w:rPr>
        <w:br/>
      </w:r>
      <w:r w:rsidR="008B0C98" w:rsidRPr="00116900">
        <w:rPr>
          <w:rFonts w:ascii="Times New Roman" w:hAnsi="Times New Roman"/>
          <w:sz w:val="24"/>
          <w:szCs w:val="24"/>
          <w:u w:val="single"/>
        </w:rPr>
        <w:t>«</w:t>
      </w:r>
      <w:r w:rsidR="008B0C98" w:rsidRPr="00116900">
        <w:rPr>
          <w:rFonts w:ascii="Times New Roman" w:hAnsi="Times New Roman" w:cs="Times New Roman"/>
          <w:sz w:val="24"/>
          <w:szCs w:val="24"/>
          <w:u w:val="single"/>
        </w:rPr>
        <w:t>О розничных рынках и о внесении изменений в Трудо</w:t>
      </w:r>
      <w:r w:rsidR="008B0C98" w:rsidRPr="00116900">
        <w:rPr>
          <w:rFonts w:ascii="Times New Roman" w:hAnsi="Times New Roman"/>
          <w:sz w:val="24"/>
          <w:szCs w:val="24"/>
          <w:u w:val="single"/>
        </w:rPr>
        <w:t>вой кодекс Российской Федерации»</w:t>
      </w:r>
      <w:r w:rsidR="00116900" w:rsidRPr="00116900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16900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</w:t>
      </w:r>
      <w:hyperlink r:id="rId7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="00116900" w:rsidRPr="00116900"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 w:rsidR="00116900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 РФ от 28.12.2009 г. № 381-ФЗ «Об основах государственного регулирования торговой деятельности в Российской Федерации», Федеральный </w:t>
      </w:r>
      <w:hyperlink r:id="rId8" w:tooltip="Федеральный закон от 27.07.2010 N 210-ФЗ (ред. от 18.04.2018) &quot;Об организации предоставления государственных и муниципальных услуг&quot;{КонсультантПлюс}" w:history="1">
        <w:r w:rsidR="00116900" w:rsidRPr="00116900"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 w:rsidR="00116900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 РФ от 27.07.2010 г. № 210-ФЗ «Об организации предоставления государственных и муниципальных услуг»</w:t>
      </w:r>
      <w:r w:rsidR="00116900">
        <w:rPr>
          <w:rFonts w:ascii="Times New Roman" w:hAnsi="Times New Roman" w:cs="Times New Roman"/>
          <w:sz w:val="24"/>
          <w:szCs w:val="24"/>
        </w:rPr>
        <w:t>.</w:t>
      </w:r>
    </w:p>
    <w:p w:rsidR="00D15794" w:rsidRPr="008B0C98" w:rsidRDefault="00D15794" w:rsidP="008B0C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6900" w:rsidRPr="00116900" w:rsidRDefault="004F2F0F" w:rsidP="00116900">
      <w:pPr>
        <w:widowControl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0C98">
        <w:rPr>
          <w:rFonts w:ascii="Times New Roman" w:hAnsi="Times New Roman"/>
          <w:sz w:val="24"/>
          <w:szCs w:val="24"/>
        </w:rPr>
        <w:t xml:space="preserve">4.2. </w:t>
      </w:r>
      <w:r w:rsidRPr="00116900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116900">
        <w:rPr>
          <w:rFonts w:ascii="Times New Roman" w:hAnsi="Times New Roman"/>
          <w:sz w:val="24"/>
          <w:szCs w:val="24"/>
        </w:rPr>
        <w:t xml:space="preserve"> </w:t>
      </w:r>
      <w:hyperlink r:id="rId9" w:tooltip="Закон Магаданской области от 05.03.2011 N 1370-ОЗ (ред. от 28.10.2016) &quot;О регулировании торговой деятельности на территории Магаданской области&quot; (принят Магаданской областной Думой 25.02.2011){КонсультантПлюс}" w:history="1">
        <w:r w:rsidR="00116900" w:rsidRPr="00116900">
          <w:rPr>
            <w:rFonts w:ascii="Times New Roman" w:hAnsi="Times New Roman"/>
            <w:sz w:val="24"/>
            <w:szCs w:val="24"/>
            <w:u w:val="single"/>
          </w:rPr>
          <w:t>Закон</w:t>
        </w:r>
      </w:hyperlink>
      <w:r w:rsidR="00116900" w:rsidRPr="00116900">
        <w:rPr>
          <w:rFonts w:ascii="Times New Roman" w:hAnsi="Times New Roman"/>
          <w:sz w:val="24"/>
          <w:szCs w:val="24"/>
          <w:u w:val="single"/>
        </w:rPr>
        <w:t xml:space="preserve"> Магаданской области от 05.03.2011 г. № 1370-ОЗ «О регулировании торговой деятельности на территории Магаданской области», </w:t>
      </w:r>
      <w:hyperlink r:id="rId10" w:history="1">
        <w:r w:rsidR="00116900" w:rsidRPr="00116900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Постановление Правительства Магаданской области от 26.02.2014 г. N 158-пп «Об утверждении Порядка организации ярмарок и продажи товаров (выполнения работ, оказания </w:t>
        </w:r>
        <w:r w:rsidR="00116900" w:rsidRPr="00116900">
          <w:rPr>
            <w:rStyle w:val="a4"/>
            <w:rFonts w:ascii="Times New Roman" w:hAnsi="Times New Roman"/>
            <w:color w:val="auto"/>
            <w:sz w:val="24"/>
            <w:szCs w:val="24"/>
          </w:rPr>
          <w:lastRenderedPageBreak/>
          <w:t>услуг) на них в Магаданской области»</w:t>
        </w:r>
      </w:hyperlink>
      <w:r w:rsidR="00116900">
        <w:rPr>
          <w:rFonts w:ascii="Times New Roman" w:hAnsi="Times New Roman"/>
          <w:sz w:val="24"/>
          <w:szCs w:val="24"/>
          <w:u w:val="single"/>
        </w:rPr>
        <w:t>.</w:t>
      </w:r>
    </w:p>
    <w:p w:rsidR="00D15794" w:rsidRPr="00D15794" w:rsidRDefault="00D15794" w:rsidP="008B0C9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D15794" w:rsidRPr="00116900" w:rsidRDefault="00E03F7E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>
        <w:rPr>
          <w:rFonts w:ascii="Times New Roman" w:hAnsi="Times New Roman"/>
          <w:sz w:val="24"/>
          <w:szCs w:val="24"/>
        </w:rPr>
        <w:t xml:space="preserve"> </w:t>
      </w:r>
      <w:r w:rsidR="00D15794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 xml:space="preserve">Постановление Администрации </w:t>
      </w:r>
      <w:r w:rsidR="00116900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>муниципального образования «Ольский район»</w:t>
      </w:r>
      <w:r w:rsidR="00D15794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 xml:space="preserve"> Магаданской области от </w:t>
      </w:r>
      <w:r w:rsidR="00116900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>20.03.2012</w:t>
      </w:r>
      <w:r w:rsidR="00D15794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 xml:space="preserve"> г. </w:t>
      </w:r>
      <w:r w:rsidR="00116900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>№</w:t>
      </w:r>
      <w:r w:rsidR="00D15794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> </w:t>
      </w:r>
      <w:r w:rsidR="00116900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>86</w:t>
      </w:r>
      <w:r w:rsidR="00D15794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 xml:space="preserve"> "Об утверждении </w:t>
      </w:r>
      <w:r w:rsidR="00116900" w:rsidRPr="00116900">
        <w:rPr>
          <w:rStyle w:val="a8"/>
          <w:rFonts w:ascii="Times New Roman" w:hAnsi="Times New Roman"/>
          <w:bCs/>
          <w:color w:val="auto"/>
          <w:sz w:val="24"/>
          <w:szCs w:val="24"/>
          <w:u w:val="single"/>
        </w:rPr>
        <w:t>административного регламента по предоставлению муниципальной услуги «Выдача разрешений на осуществление торговли и предоставлении торговых мест на ярмарках, имеющий временный характер, на территории муниципального образования «Ольский район».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56CE6">
        <w:rPr>
          <w:rFonts w:ascii="Times New Roman" w:hAnsi="Times New Roman"/>
          <w:sz w:val="24"/>
          <w:szCs w:val="24"/>
        </w:rPr>
        <w:t xml:space="preserve">Международный опыт </w:t>
      </w:r>
      <w:r w:rsidR="00F16BCE">
        <w:rPr>
          <w:rFonts w:ascii="Times New Roman" w:hAnsi="Times New Roman"/>
          <w:sz w:val="24"/>
          <w:szCs w:val="24"/>
        </w:rPr>
        <w:t>н</w:t>
      </w:r>
      <w:r w:rsidR="00956CE6">
        <w:rPr>
          <w:rFonts w:ascii="Times New Roman" w:hAnsi="Times New Roman"/>
          <w:sz w:val="24"/>
          <w:szCs w:val="24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5B5EA0" w:rsidRPr="005B5EA0" w:rsidRDefault="005B5EA0" w:rsidP="005B5E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proofErr w:type="gramStart"/>
        <w:r w:rsidRPr="005B5EA0">
          <w:rPr>
            <w:rFonts w:ascii="Times New Roman" w:hAnsi="Times New Roman" w:cs="Times New Roman"/>
            <w:sz w:val="24"/>
            <w:szCs w:val="24"/>
            <w:u w:val="single"/>
          </w:rPr>
          <w:t>Конституци</w:t>
        </w:r>
      </w:hyperlink>
      <w:r w:rsidRPr="005B5EA0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gramEnd"/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 Российской Федерации;</w:t>
      </w:r>
    </w:p>
    <w:p w:rsidR="005B5EA0" w:rsidRPr="005B5EA0" w:rsidRDefault="005B5EA0" w:rsidP="005B5E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- Федеральный </w:t>
      </w:r>
      <w:hyperlink r:id="rId12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5B5EA0"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 РФ от 06.10.2003 г. № 131-ФЗ «Об общих принципах организации местного самоуправления в Российской Федерации»;</w:t>
      </w:r>
    </w:p>
    <w:p w:rsidR="005B5EA0" w:rsidRPr="005B5EA0" w:rsidRDefault="005B5EA0" w:rsidP="005B5E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- Федеральным </w:t>
      </w:r>
      <w:hyperlink r:id="rId13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5B5EA0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 РФ от 28.12.2009 г. № 381-ФЗ «Об основах государственного регулирования торговой деятельности в Российской Федерации»;</w:t>
      </w:r>
    </w:p>
    <w:p w:rsidR="005B5EA0" w:rsidRPr="005B5EA0" w:rsidRDefault="005B5EA0" w:rsidP="005B5E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- Федеральным </w:t>
      </w:r>
      <w:hyperlink r:id="rId14" w:tooltip="Федеральный закон от 27.07.2010 N 210-ФЗ (ред. от 18.04.2018) &quot;Об организации предоставления государственных и муниципальных услуг&quot;{КонсультантПлюс}" w:history="1">
        <w:r w:rsidRPr="005B5EA0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5B5EA0">
        <w:rPr>
          <w:rFonts w:ascii="Times New Roman" w:hAnsi="Times New Roman" w:cs="Times New Roman"/>
          <w:sz w:val="24"/>
          <w:szCs w:val="24"/>
          <w:u w:val="single"/>
        </w:rPr>
        <w:t xml:space="preserve"> РФ от 27.07.2010 г. № 210-ФЗ «Об организации предоставления государственных и муниципальных услуг»;</w:t>
      </w:r>
    </w:p>
    <w:p w:rsidR="005B5EA0" w:rsidRPr="005B5EA0" w:rsidRDefault="005B5EA0" w:rsidP="005B5EA0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B5EA0">
        <w:rPr>
          <w:rFonts w:ascii="Times New Roman" w:hAnsi="Times New Roman"/>
          <w:sz w:val="24"/>
          <w:szCs w:val="24"/>
          <w:u w:val="single"/>
        </w:rPr>
        <w:t xml:space="preserve">- </w:t>
      </w:r>
      <w:hyperlink r:id="rId15" w:tooltip="Закон Магаданской области от 05.03.2011 N 1370-ОЗ (ред. от 28.10.2016) &quot;О регулировании торговой деятельности на территории Магаданской области&quot; (принят Магаданской областной Думой 25.02.2011){КонсультантПлюс}" w:history="1">
        <w:r w:rsidRPr="005B5EA0"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Pr="005B5EA0">
        <w:rPr>
          <w:rFonts w:ascii="Times New Roman" w:hAnsi="Times New Roman"/>
          <w:sz w:val="24"/>
          <w:szCs w:val="24"/>
          <w:u w:val="single"/>
        </w:rPr>
        <w:t xml:space="preserve"> Магаданской области от 05.03.2011 г. № 1370-ОЗ «О регулировании торговой деятельности на территории Магаданской области»;</w:t>
      </w:r>
    </w:p>
    <w:p w:rsidR="005B5EA0" w:rsidRPr="005B5EA0" w:rsidRDefault="005B5EA0" w:rsidP="005B5EA0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B5EA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- </w:t>
      </w:r>
      <w:hyperlink r:id="rId16" w:history="1">
        <w:r w:rsidRPr="005B5EA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 Правительства Магаданской области от 26.02.2014 г. N 158-пп «Об утверждении Порядка организации ярмарок и продажи товаров (выполнения работ, оказания услуг) на них в Магаданской области»</w:t>
        </w:r>
      </w:hyperlink>
      <w:r w:rsidRPr="005B5EA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;</w:t>
      </w:r>
    </w:p>
    <w:p w:rsidR="00A34120" w:rsidRPr="005B5EA0" w:rsidRDefault="005B5EA0" w:rsidP="005B5E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5B5EA0">
        <w:rPr>
          <w:rFonts w:ascii="Times New Roman" w:hAnsi="Times New Roman"/>
          <w:sz w:val="24"/>
          <w:szCs w:val="24"/>
          <w:u w:val="single"/>
        </w:rPr>
        <w:t>-</w:t>
      </w:r>
      <w:hyperlink r:id="rId17" w:history="1">
        <w:r w:rsidRPr="005B5EA0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Постановление Администрации Среднеканского городского округа от 29.12.2015 г. № 274 «Об утверждении муниципальной программы «Развитие торговли на территории Среднеканского городского округа на 2016-20</w:t>
        </w:r>
        <w:r w:rsidR="007934F2">
          <w:rPr>
            <w:rStyle w:val="a4"/>
            <w:rFonts w:ascii="Times New Roman" w:hAnsi="Times New Roman"/>
            <w:color w:val="auto"/>
            <w:sz w:val="24"/>
            <w:szCs w:val="24"/>
          </w:rPr>
          <w:t>20</w:t>
        </w:r>
        <w:r w:rsidRPr="005B5EA0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годы»</w:t>
        </w:r>
      </w:hyperlink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E7201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7201C" w:rsidRPr="00522BCA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522BCA" w:rsidRPr="00522BCA"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предоставлению муниципальной услуги «Организация ярмарок на территории Среднеканского городского округа»</w:t>
            </w:r>
          </w:p>
        </w:tc>
        <w:tc>
          <w:tcPr>
            <w:tcW w:w="2305" w:type="dxa"/>
          </w:tcPr>
          <w:p w:rsidR="004F2F0F" w:rsidRPr="00E7201C" w:rsidRDefault="00ED7ABA" w:rsidP="00522BC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262289" w:rsidRPr="007B0747" w:rsidRDefault="006D754E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" w:history="1">
              <w:r w:rsidR="007B0747" w:rsidRPr="007B074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Постановление Администрации Среднеканского городского округа от 29.12.2015 г. № 274 «Об утверждении муниципальной программы «Развитие торговли на территории Среднеканского городского округа на 2016-20</w:t>
              </w:r>
              <w:r w:rsidR="007934F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</w:t>
              </w:r>
              <w:r w:rsidR="007B0747" w:rsidRPr="007B074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годы»</w:t>
              </w:r>
            </w:hyperlink>
          </w:p>
          <w:p w:rsidR="006D754E" w:rsidRPr="00E7201C" w:rsidRDefault="00262289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4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747" w:rsidRPr="00972BB2">
        <w:rPr>
          <w:rFonts w:ascii="Times New Roman" w:hAnsi="Times New Roman"/>
          <w:iCs/>
          <w:color w:val="222222"/>
          <w:sz w:val="24"/>
          <w:szCs w:val="24"/>
        </w:rPr>
        <w:t>Согласно</w:t>
      </w:r>
      <w:proofErr w:type="gramEnd"/>
      <w:r w:rsidR="007B0747" w:rsidRPr="00972BB2">
        <w:rPr>
          <w:rFonts w:ascii="Times New Roman" w:hAnsi="Times New Roman"/>
          <w:iCs/>
          <w:color w:val="222222"/>
          <w:sz w:val="24"/>
          <w:szCs w:val="24"/>
        </w:rPr>
        <w:t xml:space="preserve"> действующего законодательства РФ </w:t>
      </w:r>
      <w:r w:rsidR="007B0747" w:rsidRPr="00200527">
        <w:rPr>
          <w:rFonts w:ascii="Times New Roman" w:hAnsi="Times New Roman"/>
          <w:iCs/>
          <w:color w:val="222222"/>
          <w:sz w:val="24"/>
          <w:szCs w:val="24"/>
          <w:u w:val="single"/>
        </w:rPr>
        <w:t>Административный р</w:t>
      </w:r>
      <w:r w:rsidR="007B0747" w:rsidRPr="00200527">
        <w:rPr>
          <w:rFonts w:ascii="Times New Roman" w:hAnsi="Times New Roman"/>
          <w:sz w:val="24"/>
          <w:szCs w:val="24"/>
          <w:u w:val="single"/>
        </w:rPr>
        <w:t>егламент определяет стандарт предоставления муниципальной услуги, исчерпывающий перечень документов, необходимых для предоставления услуги, порядок и сроки предоставления муниципальной услуги «Организация ярмарок на территории Среднеканского городского округа»</w:t>
      </w:r>
      <w:r w:rsidR="007B07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0747" w:rsidRPr="007B0747">
        <w:rPr>
          <w:rFonts w:ascii="Times New Roman" w:hAnsi="Times New Roman"/>
          <w:sz w:val="24"/>
          <w:szCs w:val="24"/>
          <w:u w:val="single"/>
        </w:rPr>
        <w:t>и</w:t>
      </w:r>
      <w:r w:rsidR="00FC36E3" w:rsidRPr="007B07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6E3" w:rsidRPr="007B0747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</w:t>
      </w:r>
      <w:r w:rsidR="007B0747" w:rsidRPr="007B0747">
        <w:rPr>
          <w:rFonts w:ascii="Times New Roman" w:hAnsi="Times New Roman"/>
          <w:iCs/>
          <w:color w:val="222222"/>
          <w:sz w:val="24"/>
          <w:szCs w:val="24"/>
          <w:u w:val="single"/>
        </w:rPr>
        <w:t>е</w:t>
      </w:r>
      <w:r w:rsidR="00FC36E3" w:rsidRPr="007B0747">
        <w:rPr>
          <w:rFonts w:ascii="Times New Roman" w:hAnsi="Times New Roman"/>
          <w:iCs/>
          <w:color w:val="222222"/>
          <w:sz w:val="24"/>
          <w:szCs w:val="24"/>
          <w:u w:val="single"/>
        </w:rPr>
        <w:t>тся орган</w:t>
      </w:r>
      <w:r w:rsidR="007B0747" w:rsidRPr="007B0747">
        <w:rPr>
          <w:rFonts w:ascii="Times New Roman" w:hAnsi="Times New Roman"/>
          <w:iCs/>
          <w:color w:val="222222"/>
          <w:sz w:val="24"/>
          <w:szCs w:val="24"/>
          <w:u w:val="single"/>
        </w:rPr>
        <w:t>ом</w:t>
      </w:r>
      <w:r w:rsidR="00FC36E3" w:rsidRPr="007B0747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местного самоуправления</w:t>
      </w:r>
      <w:r w:rsidR="00FC36E3" w:rsidRPr="00B71BA9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7B074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E16A80" w:rsidRPr="006B396F">
        <w:rPr>
          <w:rFonts w:ascii="Times New Roman" w:hAnsi="Times New Roman"/>
          <w:sz w:val="24"/>
          <w:szCs w:val="24"/>
          <w:u w:val="single"/>
        </w:rPr>
        <w:t xml:space="preserve">Нормативно правовой акт </w:t>
      </w:r>
      <w:r w:rsidR="00E16A80" w:rsidRPr="006B396F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 xml:space="preserve">устанавливает </w:t>
      </w:r>
      <w:r w:rsidR="006B396F" w:rsidRPr="006B396F">
        <w:rPr>
          <w:rFonts w:ascii="Times New Roman" w:hAnsi="Times New Roman"/>
          <w:sz w:val="24"/>
          <w:szCs w:val="24"/>
          <w:u w:val="single"/>
        </w:rPr>
        <w:t xml:space="preserve">стандарт предоставления муниципальной услуги, исчерпывающий перечень документов, необходимых для предоставления услуги, порядок и </w:t>
      </w:r>
      <w:r w:rsidR="006B396F" w:rsidRPr="00200527">
        <w:rPr>
          <w:rFonts w:ascii="Times New Roman" w:hAnsi="Times New Roman"/>
          <w:sz w:val="24"/>
          <w:szCs w:val="24"/>
          <w:u w:val="single"/>
        </w:rPr>
        <w:t>сроки предоставления муниципальной услуги «Организация ярмарок на территории Среднеканского городского округа»</w:t>
      </w:r>
      <w:r w:rsidR="00E16A80" w:rsidRPr="00AD4616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6B396F" w:rsidP="006B396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  <w:tc>
          <w:tcPr>
            <w:tcW w:w="3260" w:type="dxa"/>
          </w:tcPr>
          <w:p w:rsidR="00DC407B" w:rsidRPr="00494A7A" w:rsidRDefault="006B396F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количества мест при организации ярмарок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6B396F">
        <w:rPr>
          <w:rFonts w:ascii="Times New Roman" w:hAnsi="Times New Roman"/>
          <w:sz w:val="24"/>
          <w:szCs w:val="24"/>
          <w:u w:val="single"/>
        </w:rPr>
        <w:t>перечень местных сельхозпроизводителей Магаданской области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841B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41B5B" w:rsidRDefault="00841B5B" w:rsidP="00841B5B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841B5B">
              <w:rPr>
                <w:rFonts w:ascii="Times New Roman" w:hAnsi="Times New Roman"/>
                <w:sz w:val="24"/>
                <w:szCs w:val="24"/>
              </w:rPr>
              <w:t>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379F2">
              <w:rPr>
                <w:rFonts w:ascii="Times New Roman" w:hAnsi="Times New Roman"/>
                <w:sz w:val="24"/>
                <w:szCs w:val="24"/>
              </w:rPr>
              <w:t xml:space="preserve"> (п.15 ст.16 Федерального закона 131-ФЗ)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3379F2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4F2F0F" w:rsidRDefault="003379F2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B5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. Принятие постановления не повлечет за собой увеличение дохода бюджета МО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lastRenderedPageBreak/>
              <w:t>«Среднеканский городской округ»</w:t>
            </w:r>
          </w:p>
        </w:tc>
      </w:tr>
      <w:tr w:rsidR="003379F2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3379F2" w:rsidRDefault="003379F2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Функция 1.1 (в соответствии с разделом 8 настоящей типовой формы)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379F2" w:rsidRPr="004F2F0F" w:rsidRDefault="003379F2" w:rsidP="003379F2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841B5B">
              <w:rPr>
                <w:rFonts w:ascii="Times New Roman" w:hAnsi="Times New Roman"/>
                <w:sz w:val="24"/>
                <w:szCs w:val="24"/>
              </w:rPr>
              <w:t>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» (п.15 ст.16 Федерального закона 131-ФЗ)</w:t>
            </w:r>
          </w:p>
        </w:tc>
        <w:tc>
          <w:tcPr>
            <w:tcW w:w="3969" w:type="dxa"/>
          </w:tcPr>
          <w:p w:rsidR="003379F2" w:rsidRPr="004F2F0F" w:rsidRDefault="003379F2" w:rsidP="007B234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3379F2" w:rsidRPr="004F2F0F" w:rsidRDefault="003379F2" w:rsidP="007B234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3379F2" w:rsidRPr="004F2F0F" w:rsidRDefault="003379F2" w:rsidP="007B234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379F2" w:rsidRPr="00B619FD" w:rsidRDefault="003379F2" w:rsidP="007B234A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973148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973148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B75AB1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6F11D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FC36E3" w:rsidTr="008256E4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6F11D6" w:rsidP="00A349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FC36E3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FC36E3" w:rsidTr="00AD4616">
        <w:trPr>
          <w:trHeight w:val="1014"/>
        </w:trPr>
        <w:tc>
          <w:tcPr>
            <w:tcW w:w="3085" w:type="dxa"/>
            <w:vMerge/>
          </w:tcPr>
          <w:p w:rsidR="00153E44" w:rsidRPr="004F2F0F" w:rsidRDefault="00153E44" w:rsidP="00A34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FC36E3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FC36E3" w:rsidTr="008256E4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FC36E3" w:rsidRDefault="00AD4616" w:rsidP="003901F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доход</w:t>
            </w:r>
            <w:proofErr w:type="gramStart"/>
            <w:r w:rsidRPr="00AD4616">
              <w:rPr>
                <w:rFonts w:ascii="Times New Roman" w:hAnsi="Times New Roman"/>
                <w:sz w:val="24"/>
                <w:szCs w:val="24"/>
              </w:rPr>
              <w:t>ы</w:t>
            </w:r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proofErr w:type="spellStart"/>
            <w:proofErr w:type="gramEnd"/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AD4616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FC36E3" w:rsidTr="00EB5DA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6F11D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6F11D6" w:rsidRDefault="004F2F0F" w:rsidP="004F2F0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6F11D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BF6E4F"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AB6F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6F11D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6F11D6" w:rsidRPr="006F11D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7C263D" w:rsidRPr="006F11D6">
        <w:rPr>
          <w:rFonts w:ascii="Times New Roman" w:hAnsi="Times New Roman"/>
          <w:sz w:val="24"/>
          <w:szCs w:val="24"/>
          <w:u w:val="single"/>
        </w:rPr>
        <w:t xml:space="preserve"> квартал 201</w:t>
      </w:r>
      <w:r w:rsidR="006F11D6" w:rsidRPr="006F11D6">
        <w:rPr>
          <w:rFonts w:ascii="Times New Roman" w:hAnsi="Times New Roman"/>
          <w:sz w:val="24"/>
          <w:szCs w:val="24"/>
          <w:u w:val="single"/>
        </w:rPr>
        <w:t>8</w:t>
      </w:r>
      <w:r w:rsidR="007C263D" w:rsidRPr="006F11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F11D6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F11D6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6F11D6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F11D6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F11D6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6F11D6">
        <w:rPr>
          <w:rFonts w:ascii="Times New Roman" w:hAnsi="Times New Roman"/>
          <w:sz w:val="24"/>
          <w:szCs w:val="24"/>
          <w:u w:val="single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F11D6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AD4616" w:rsidP="006F11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1D6" w:rsidRPr="004D1007">
              <w:rPr>
                <w:rFonts w:ascii="Times New Roman" w:hAnsi="Times New Roman"/>
                <w:sz w:val="24"/>
                <w:szCs w:val="24"/>
                <w:u w:val="single"/>
              </w:rPr>
              <w:t>административного регламента по предоставлению муниципальной услуги «Организация ярмарок на территории Среднеканского городского округа»</w:t>
            </w:r>
          </w:p>
        </w:tc>
        <w:tc>
          <w:tcPr>
            <w:tcW w:w="2126" w:type="dxa"/>
          </w:tcPr>
          <w:p w:rsidR="007729A3" w:rsidRPr="00AD4616" w:rsidRDefault="00AD4616" w:rsidP="00AD4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6F1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F1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bookmarkStart w:id="0" w:name="_GoBack"/>
            <w:bookmarkEnd w:id="0"/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F11D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6F11D6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газете «Новая </w:t>
            </w:r>
            <w:proofErr w:type="spell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lastRenderedPageBreak/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F11D6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F11D6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F11D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F11D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F11D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160F3A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</w:t>
      </w:r>
      <w:r w:rsidR="00F4715E" w:rsidRPr="00160F3A">
        <w:rPr>
          <w:rFonts w:ascii="Times New Roman" w:hAnsi="Times New Roman"/>
          <w:sz w:val="24"/>
          <w:szCs w:val="24"/>
        </w:rPr>
        <w:t>: «</w:t>
      </w:r>
      <w:r w:rsidR="009C64F5">
        <w:rPr>
          <w:rFonts w:ascii="Times New Roman" w:hAnsi="Times New Roman"/>
          <w:sz w:val="24"/>
          <w:szCs w:val="24"/>
        </w:rPr>
        <w:t>13</w:t>
      </w:r>
      <w:r w:rsidR="00F4715E" w:rsidRPr="00160F3A">
        <w:rPr>
          <w:rFonts w:ascii="Times New Roman" w:hAnsi="Times New Roman"/>
          <w:sz w:val="24"/>
          <w:szCs w:val="24"/>
        </w:rPr>
        <w:t xml:space="preserve">» </w:t>
      </w:r>
      <w:r w:rsidR="009C64F5">
        <w:rPr>
          <w:rFonts w:ascii="Times New Roman" w:hAnsi="Times New Roman"/>
          <w:sz w:val="24"/>
          <w:szCs w:val="24"/>
        </w:rPr>
        <w:t>июля</w:t>
      </w:r>
      <w:r w:rsidR="00F4715E" w:rsidRPr="00160F3A">
        <w:rPr>
          <w:rFonts w:ascii="Times New Roman" w:hAnsi="Times New Roman"/>
          <w:sz w:val="24"/>
          <w:szCs w:val="24"/>
        </w:rPr>
        <w:t xml:space="preserve"> 201</w:t>
      </w:r>
      <w:r w:rsidR="009C64F5">
        <w:rPr>
          <w:rFonts w:ascii="Times New Roman" w:hAnsi="Times New Roman"/>
          <w:sz w:val="24"/>
          <w:szCs w:val="24"/>
        </w:rPr>
        <w:t>8</w:t>
      </w:r>
      <w:r w:rsidR="00F4715E" w:rsidRPr="00160F3A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60F3A">
        <w:rPr>
          <w:rFonts w:ascii="Times New Roman" w:hAnsi="Times New Roman"/>
          <w:sz w:val="24"/>
          <w:szCs w:val="24"/>
        </w:rPr>
        <w:tab/>
        <w:t>окончание: «</w:t>
      </w:r>
      <w:r w:rsidR="009C64F5">
        <w:rPr>
          <w:rFonts w:ascii="Times New Roman" w:hAnsi="Times New Roman"/>
          <w:sz w:val="24"/>
          <w:szCs w:val="24"/>
        </w:rPr>
        <w:t>21</w:t>
      </w:r>
      <w:r w:rsidRPr="00160F3A">
        <w:rPr>
          <w:rFonts w:ascii="Times New Roman" w:hAnsi="Times New Roman"/>
          <w:sz w:val="24"/>
          <w:szCs w:val="24"/>
        </w:rPr>
        <w:t xml:space="preserve">» </w:t>
      </w:r>
      <w:r w:rsidR="009C64F5">
        <w:rPr>
          <w:rFonts w:ascii="Times New Roman" w:hAnsi="Times New Roman"/>
          <w:sz w:val="24"/>
          <w:szCs w:val="24"/>
        </w:rPr>
        <w:t>августа</w:t>
      </w:r>
      <w:r w:rsidRPr="00AB60AB">
        <w:rPr>
          <w:rFonts w:ascii="Times New Roman" w:hAnsi="Times New Roman"/>
          <w:sz w:val="24"/>
          <w:szCs w:val="24"/>
        </w:rPr>
        <w:t xml:space="preserve"> 201</w:t>
      </w:r>
      <w:r w:rsidR="009C64F5">
        <w:rPr>
          <w:rFonts w:ascii="Times New Roman" w:hAnsi="Times New Roman"/>
          <w:sz w:val="24"/>
          <w:szCs w:val="24"/>
        </w:rPr>
        <w:t>8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9C64F5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9C64F5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CC74E2">
        <w:rPr>
          <w:rFonts w:ascii="Times New Roman" w:hAnsi="Times New Roman"/>
          <w:sz w:val="24"/>
          <w:szCs w:val="24"/>
        </w:rPr>
        <w:t>-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Pr="004D6AB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</w:t>
      </w:r>
      <w:r w:rsidRPr="004D6AB2">
        <w:rPr>
          <w:rFonts w:ascii="Times New Roman" w:hAnsi="Times New Roman"/>
          <w:sz w:val="24"/>
          <w:szCs w:val="24"/>
        </w:rPr>
        <w:t xml:space="preserve">публичных обсуждений по проекту акта, с указанием сведений об их учете или причинах отклонения: </w:t>
      </w:r>
    </w:p>
    <w:p w:rsidR="00670DCC" w:rsidRPr="00200527" w:rsidRDefault="00670DCC" w:rsidP="00670DC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9501DA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http://admmosrednekan.ru/msu/structure/omsu-mo-srednekanskogo-go/administratsiya-srednekanskogo-go/obyavleniya/media/2018/5/24/obyavlen-sbor-predlozhenij-k-buduschemu-proektu-normativnogo-akta-3/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C61578">
      <w:pPr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округа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D4616" w:rsidRPr="00AD4616">
        <w:rPr>
          <w:rFonts w:ascii="Times New Roman" w:hAnsi="Times New Roman"/>
          <w:sz w:val="24"/>
          <w:szCs w:val="24"/>
        </w:rPr>
        <w:t>«</w:t>
      </w:r>
      <w:r w:rsidR="00CC74E2" w:rsidRPr="004D1007">
        <w:rPr>
          <w:rFonts w:ascii="Times New Roman" w:hAnsi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«Организация ярмарок на территории Среднеканского городского округа»</w:t>
      </w:r>
      <w:r w:rsidR="00AD4616">
        <w:rPr>
          <w:rFonts w:ascii="Times New Roman" w:hAnsi="Times New Roman"/>
          <w:color w:val="000000"/>
          <w:sz w:val="24"/>
          <w:szCs w:val="24"/>
        </w:rPr>
        <w:t>».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670DCC" w:rsidP="00AB60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Руководителя</w:t>
      </w:r>
      <w:r w:rsidR="00E03F7E" w:rsidRPr="00D5215B">
        <w:rPr>
          <w:rFonts w:ascii="Times New Roman" w:hAnsi="Times New Roman"/>
          <w:sz w:val="24"/>
          <w:szCs w:val="24"/>
        </w:rPr>
        <w:t xml:space="preserve">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670DCC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Тызюк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Ивановна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1069F">
        <w:rPr>
          <w:rFonts w:ascii="Times New Roman" w:hAnsi="Times New Roman"/>
          <w:sz w:val="24"/>
          <w:szCs w:val="24"/>
        </w:rPr>
        <w:t xml:space="preserve">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 w:rsidR="009C64F5">
        <w:rPr>
          <w:rFonts w:ascii="Times New Roman" w:hAnsi="Times New Roman"/>
          <w:sz w:val="24"/>
          <w:szCs w:val="24"/>
          <w:u w:val="single"/>
        </w:rPr>
        <w:t>23</w:t>
      </w:r>
      <w:r w:rsidR="00CC74E2" w:rsidRPr="00CC74E2">
        <w:rPr>
          <w:rFonts w:ascii="Times New Roman" w:hAnsi="Times New Roman"/>
          <w:sz w:val="24"/>
          <w:szCs w:val="24"/>
          <w:u w:val="single"/>
        </w:rPr>
        <w:t>.0</w:t>
      </w:r>
      <w:r w:rsidR="009C64F5">
        <w:rPr>
          <w:rFonts w:ascii="Times New Roman" w:hAnsi="Times New Roman"/>
          <w:sz w:val="24"/>
          <w:szCs w:val="24"/>
          <w:u w:val="single"/>
        </w:rPr>
        <w:t>8</w:t>
      </w:r>
      <w:r w:rsidR="00CC74E2" w:rsidRPr="00CC74E2">
        <w:rPr>
          <w:rFonts w:ascii="Times New Roman" w:hAnsi="Times New Roman"/>
          <w:sz w:val="24"/>
          <w:szCs w:val="24"/>
          <w:u w:val="single"/>
        </w:rPr>
        <w:t>.2018 г.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</w:t>
      </w:r>
      <w:r w:rsidR="00670DCC">
        <w:rPr>
          <w:rFonts w:ascii="Times New Roman" w:hAnsi="Times New Roman"/>
          <w:sz w:val="24"/>
          <w:szCs w:val="24"/>
        </w:rPr>
        <w:t xml:space="preserve">      </w:t>
      </w:r>
      <w:r w:rsidR="0041069F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7729A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01"/>
    <w:rsid w:val="00042AF4"/>
    <w:rsid w:val="00057554"/>
    <w:rsid w:val="00057AC6"/>
    <w:rsid w:val="0007064A"/>
    <w:rsid w:val="00071815"/>
    <w:rsid w:val="00085151"/>
    <w:rsid w:val="000C27F9"/>
    <w:rsid w:val="000C2D34"/>
    <w:rsid w:val="000C3D99"/>
    <w:rsid w:val="000D18D9"/>
    <w:rsid w:val="00116900"/>
    <w:rsid w:val="00144A58"/>
    <w:rsid w:val="0014535E"/>
    <w:rsid w:val="00146097"/>
    <w:rsid w:val="00153E44"/>
    <w:rsid w:val="001551A4"/>
    <w:rsid w:val="00160F3A"/>
    <w:rsid w:val="00185C58"/>
    <w:rsid w:val="00197B2A"/>
    <w:rsid w:val="001B2D10"/>
    <w:rsid w:val="001C40AF"/>
    <w:rsid w:val="001F47A4"/>
    <w:rsid w:val="00200527"/>
    <w:rsid w:val="00207F73"/>
    <w:rsid w:val="00262289"/>
    <w:rsid w:val="00266E06"/>
    <w:rsid w:val="00293EC2"/>
    <w:rsid w:val="002A3A71"/>
    <w:rsid w:val="002B4BB2"/>
    <w:rsid w:val="002C3F79"/>
    <w:rsid w:val="002D0DB9"/>
    <w:rsid w:val="002F6978"/>
    <w:rsid w:val="002F7D9A"/>
    <w:rsid w:val="003213FE"/>
    <w:rsid w:val="003379F2"/>
    <w:rsid w:val="00364C1E"/>
    <w:rsid w:val="0036600A"/>
    <w:rsid w:val="00367412"/>
    <w:rsid w:val="00380FE8"/>
    <w:rsid w:val="00385746"/>
    <w:rsid w:val="003901F7"/>
    <w:rsid w:val="00390CBE"/>
    <w:rsid w:val="003A6270"/>
    <w:rsid w:val="003B1A29"/>
    <w:rsid w:val="00404F87"/>
    <w:rsid w:val="00405CEF"/>
    <w:rsid w:val="004079AC"/>
    <w:rsid w:val="0041069F"/>
    <w:rsid w:val="00412B34"/>
    <w:rsid w:val="00440A96"/>
    <w:rsid w:val="004504B1"/>
    <w:rsid w:val="00483763"/>
    <w:rsid w:val="00492472"/>
    <w:rsid w:val="00494A7A"/>
    <w:rsid w:val="004967E4"/>
    <w:rsid w:val="004D1007"/>
    <w:rsid w:val="004D6AB2"/>
    <w:rsid w:val="004E1188"/>
    <w:rsid w:val="004F2F0F"/>
    <w:rsid w:val="00522BCA"/>
    <w:rsid w:val="00525716"/>
    <w:rsid w:val="005657AB"/>
    <w:rsid w:val="0056667F"/>
    <w:rsid w:val="00586AC8"/>
    <w:rsid w:val="005B17E6"/>
    <w:rsid w:val="005B5EA0"/>
    <w:rsid w:val="005D16F9"/>
    <w:rsid w:val="005D21B3"/>
    <w:rsid w:val="00603D5A"/>
    <w:rsid w:val="006137A1"/>
    <w:rsid w:val="006165A1"/>
    <w:rsid w:val="00616908"/>
    <w:rsid w:val="00652ADA"/>
    <w:rsid w:val="006560A9"/>
    <w:rsid w:val="00670DCC"/>
    <w:rsid w:val="00671631"/>
    <w:rsid w:val="00690E41"/>
    <w:rsid w:val="006944A8"/>
    <w:rsid w:val="00695CBA"/>
    <w:rsid w:val="006A6018"/>
    <w:rsid w:val="006B2518"/>
    <w:rsid w:val="006B396F"/>
    <w:rsid w:val="006B78C9"/>
    <w:rsid w:val="006C585F"/>
    <w:rsid w:val="006D0834"/>
    <w:rsid w:val="006D754E"/>
    <w:rsid w:val="006E28B0"/>
    <w:rsid w:val="006F08C1"/>
    <w:rsid w:val="006F11D6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34F2"/>
    <w:rsid w:val="00797F6D"/>
    <w:rsid w:val="007B0747"/>
    <w:rsid w:val="007C263D"/>
    <w:rsid w:val="007C36BF"/>
    <w:rsid w:val="007D4286"/>
    <w:rsid w:val="007F3C8F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41B5B"/>
    <w:rsid w:val="008626FE"/>
    <w:rsid w:val="0088097B"/>
    <w:rsid w:val="00882867"/>
    <w:rsid w:val="00885877"/>
    <w:rsid w:val="00892FFE"/>
    <w:rsid w:val="008B0C98"/>
    <w:rsid w:val="008B78A1"/>
    <w:rsid w:val="008E28FB"/>
    <w:rsid w:val="00903D97"/>
    <w:rsid w:val="00914270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72BB2"/>
    <w:rsid w:val="00973148"/>
    <w:rsid w:val="00995FBF"/>
    <w:rsid w:val="009A5105"/>
    <w:rsid w:val="009C64F5"/>
    <w:rsid w:val="009D74B7"/>
    <w:rsid w:val="00A01CF8"/>
    <w:rsid w:val="00A07B03"/>
    <w:rsid w:val="00A20847"/>
    <w:rsid w:val="00A34120"/>
    <w:rsid w:val="00A3575E"/>
    <w:rsid w:val="00A52945"/>
    <w:rsid w:val="00A54611"/>
    <w:rsid w:val="00A5603C"/>
    <w:rsid w:val="00A56EDA"/>
    <w:rsid w:val="00A80F6D"/>
    <w:rsid w:val="00A856C8"/>
    <w:rsid w:val="00AA3679"/>
    <w:rsid w:val="00AB13ED"/>
    <w:rsid w:val="00AB60AB"/>
    <w:rsid w:val="00AC5E43"/>
    <w:rsid w:val="00AD4616"/>
    <w:rsid w:val="00AE0346"/>
    <w:rsid w:val="00AF71AE"/>
    <w:rsid w:val="00B2129A"/>
    <w:rsid w:val="00B314B4"/>
    <w:rsid w:val="00B3674D"/>
    <w:rsid w:val="00B619FD"/>
    <w:rsid w:val="00B63805"/>
    <w:rsid w:val="00B659E6"/>
    <w:rsid w:val="00B724C7"/>
    <w:rsid w:val="00B8328C"/>
    <w:rsid w:val="00B9343A"/>
    <w:rsid w:val="00BD79E3"/>
    <w:rsid w:val="00BF11CB"/>
    <w:rsid w:val="00BF2220"/>
    <w:rsid w:val="00BF6E4F"/>
    <w:rsid w:val="00C04020"/>
    <w:rsid w:val="00C505EE"/>
    <w:rsid w:val="00C52D65"/>
    <w:rsid w:val="00C55504"/>
    <w:rsid w:val="00C61578"/>
    <w:rsid w:val="00C751AA"/>
    <w:rsid w:val="00C8655A"/>
    <w:rsid w:val="00CB0F43"/>
    <w:rsid w:val="00CB3220"/>
    <w:rsid w:val="00CC74E2"/>
    <w:rsid w:val="00CD7419"/>
    <w:rsid w:val="00CE6275"/>
    <w:rsid w:val="00D01B88"/>
    <w:rsid w:val="00D15794"/>
    <w:rsid w:val="00D86F17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7201C"/>
    <w:rsid w:val="00E86966"/>
    <w:rsid w:val="00EA72AE"/>
    <w:rsid w:val="00ED7ABA"/>
    <w:rsid w:val="00EE3DFC"/>
    <w:rsid w:val="00F16BCE"/>
    <w:rsid w:val="00F34A03"/>
    <w:rsid w:val="00F4715E"/>
    <w:rsid w:val="00F50397"/>
    <w:rsid w:val="00F53995"/>
    <w:rsid w:val="00F55A19"/>
    <w:rsid w:val="00F74A6B"/>
    <w:rsid w:val="00F83238"/>
    <w:rsid w:val="00F912D4"/>
    <w:rsid w:val="00FA2F50"/>
    <w:rsid w:val="00FA7ECC"/>
    <w:rsid w:val="00FB1594"/>
    <w:rsid w:val="00FC05A2"/>
    <w:rsid w:val="00FC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6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116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8B955BC9F4E23A5B314360F2342A62D80638A10D2575F347E3EDDF0GCMBE" TargetMode="External"/><Relationship Id="rId13" Type="http://schemas.openxmlformats.org/officeDocument/2006/relationships/hyperlink" Target="consultantplus://offline/ref=BE98B955BC9F4E23A5B314360F2342A62D89648A12D6575F347E3EDDF0GCMBE" TargetMode="External"/><Relationship Id="rId18" Type="http://schemas.openxmlformats.org/officeDocument/2006/relationships/hyperlink" Target="http://admmosrednekan.ru/inova_block_documentset/document/21568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98B955BC9F4E23A5B314360F2342A62D89648A12D6575F347E3EDDF0GCMBE" TargetMode="External"/><Relationship Id="rId12" Type="http://schemas.openxmlformats.org/officeDocument/2006/relationships/hyperlink" Target="consultantplus://offline/ref=BE98B955BC9F4E23A5B314360F2342A62D816C8217D5575F347E3EDDF0GCMBE" TargetMode="External"/><Relationship Id="rId17" Type="http://schemas.openxmlformats.org/officeDocument/2006/relationships/hyperlink" Target="http://admmosrednekan.ru/inova_block_documentset/document/215689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mosrednekan.ru/inova_block_documentset/document/16603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11" Type="http://schemas.openxmlformats.org/officeDocument/2006/relationships/hyperlink" Target="consultantplus://offline/ref=BE98B955BC9F4E23A5B314360F2342A62D81628E1E82005D652B30GDM8E" TargetMode="External"/><Relationship Id="rId5" Type="http://schemas.openxmlformats.org/officeDocument/2006/relationships/hyperlink" Target="http://admmosrednekan.ru/msu/structure/omsu-mo-srednekanskogo-go/administratsiya-srednekanskogo-go/obyavleniya/media/2018/5/24/obyavlen-sbor-predlozhenij-k-buduschemu-proektu-normativnogo-akta-3/" TargetMode="External"/><Relationship Id="rId15" Type="http://schemas.openxmlformats.org/officeDocument/2006/relationships/hyperlink" Target="consultantplus://offline/ref=BE98B955BC9F4E23A5B314200C4F18A826823B8613D6550C6C216580A7C2F2BDGEMEE" TargetMode="External"/><Relationship Id="rId10" Type="http://schemas.openxmlformats.org/officeDocument/2006/relationships/hyperlink" Target="http://admmosrednekan.ru/inova_block_documentset/document/166037/" TargetMode="External"/><Relationship Id="rId19" Type="http://schemas.openxmlformats.org/officeDocument/2006/relationships/hyperlink" Target="http://admmosrednekan.ru/msu/structure/omsu-mo-srednekanskogo-go/administratsiya-srednekanskogo-go/obyavleniya/media/2018/5/24/obyavlen-sbor-predlozhenij-k-buduschemu-proektu-normativnogo-akta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8B955BC9F4E23A5B314200C4F18A826823B8613D6550C6C216580A7C2F2BDGEMEE" TargetMode="External"/><Relationship Id="rId14" Type="http://schemas.openxmlformats.org/officeDocument/2006/relationships/hyperlink" Target="consultantplus://offline/ref=BE98B955BC9F4E23A5B314360F2342A62D80638A10D2575F347E3EDDF0GCMB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2018-06-14T00:19:00Z</cp:lastPrinted>
  <dcterms:created xsi:type="dcterms:W3CDTF">2018-07-12T07:04:00Z</dcterms:created>
  <dcterms:modified xsi:type="dcterms:W3CDTF">2018-07-20T00:08:00Z</dcterms:modified>
</cp:coreProperties>
</file>