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aps/>
          <w:sz w:val="36"/>
          <w:szCs w:val="36"/>
        </w:rPr>
        <w:t>Публичный отчет Главы Среднеканского городского округа о результатах своей деятельности, деятельности Собрания представителей Среднеканского городского округа за 2019 год</w:t>
      </w:r>
    </w:p>
    <w:p w:rsid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Уважаемые жители района!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В системе органов местного самоуправления представительному органу – Собранию представителей –  отводится особое место, поскольку именно депутаты непосредственно выражают волю всего населения округа, принимают от его имени решения, действующие на территории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района.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Решение многих задач, стоящих перед местным сообществом, невозможно без определения четких границ компетенции представительного и исполнительного органа местного самоуправления.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Одним из важных условий равновесия между муниципальными и исполнительными органами власти является состав депутатского корпуса, который на сегодняшний день состоит из 14 депутатов.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представителей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 осуществляет свою деятельность в соответствии с действующим законодательством, Уставом муниципального образования «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Среднеканский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городской округ», Регламентом, а также планом работы.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В соответствии с Федеральным законом № 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Среднеканский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городской округ» Глава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округа: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- представляет городской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-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исполняет полномочия председателя Собрания представителей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округа, организует его деятельность, координирует деятельность его рабочих органов, организует процесс подготовки и принятия решений, подписывает решения, протоколы заседаний Собрания и другие документы в соответствии с действующим законодательством, издает постановления и распоряжения по вопросам организации деятельности Собрания,  а также обладает иными полномочиями, предусмотренными федеральными законами, законами Магаданской области и Уставом муниципального образования «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Среднеканский</w:t>
      </w:r>
      <w:proofErr w:type="spellEnd"/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городской округ».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Уставом основной формой работы Собрания представителей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является заседание.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За отчетный период депутаты Собрания представителей провели10 заседаний, на которых было принято 46 решений.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Среди основополагающих вопросов, рассмотренных за отчетный период, можно выделить вопросы бюджетной политики, совершенствования системы управления, распоряжения и пользования муниципальной собственностью, приведения Устава муниципального образования «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Среднеканский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городской округ» в соответствие с действующим законодательством.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В 2019 году заключено 20 Соглашений о предоставлении муниципальному образованию субсидий и иных межбюджетных трансфертов из областного бюджета на реализацию мероприятий государственных и муниципальных программ.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Депутатами была проанализирована деятельность полиции, Контрольно-счетной палаты, Главы Администрации, результаты работы и деятельность Администрации, а также Главы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 округа и отчеты о результатах деятельности Собрания представителей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В Собрании представителей действуют 2 постоянные комиссии: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по вопросам социальной политики, ЖКХ и благоустройства (председатель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Шарий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Н.Л.);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по бюджету, экономическому развитию и вопросам местного самоуправления (председатель Волков В.А.).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За отчетный период депутаты провели  5 заседаний постоянных депутатских комиссий. В основном это были заседания по бюджету. На заседаниях постоянных комиссий депутаты детально рассматривали каждый вопрос, выносимый на заседания Собрания представителей, готовили замечания и предложения, вырабатывали рекомендации для принятия Собранием представителей нормативных правовых актов, заслушивали информацию должностных лиц Администрации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по наиболее важным и актуальным проблемам.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Депутаты Собрания представителей считают наиболее значимым и такое направление в работе, как информирование населения о своей деятельности. Важным звеном в работе депутатского корпуса является открытость, а также привлечение к участию в жизни округа широких слоев населения.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По итогам заседаний Собрания представителей все решения, принятые депутатами, публикуются в газете «Новая Колыма. Вести». Считаю, что жители района получают исчерпывающую и объективную  информацию о работе депутатов и через местное телевидение, журналисты которого регулярно приглашаются на заседания Собрания представителей.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В 2019 году было издано12 распоряжений, в том числе: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о награждении Почетной грамотой и Благодарственным письмом Главы округа; 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- о назначении именных стипендий.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В  прошлом  году было издано 9 постановлений Главы, в том числе о составе комиссии по противодействию коррупции, «Об утверждении состава Общественной палаты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округа», «О проведении общественных обсуждений по проекту изменений и дополнений в Правила благоустройства и содержания территорий населенных пунктов МО «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Среднеканский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городской округ».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В целях контроля и оказания консультативной помощи при принятии управленческих решений еженедельно проводились  аппаратные совещания при участии Главы Администрации, руководителей структурных подразделений, муниципальных учреждений и предприятий, на которых осуществлялся  анализ работы Администрации, заслушивались отчеты руководителей учреждений и предприятий, анализировались недостатки, намечались планы работы на очередную  неделю.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Также регулярно проводился прием по личным вопросам.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В отчетном периоде регулярно посещались муниципальные учреждения и предприятия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для 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решения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как вопросов производственного характера, так и личных проблем.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Считаю важным показателем моей работы – стабильное взаимодействие с постоянными действующими социальными партнерами и  работу с новыми хозяйствующими субъектами для большего привлечения денежных средств на финансирование приоритетных направлений в социальной сфере округа.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Значительную помощь в  этих направлениях   оказывают долгосрочные соглашения о социально-экономическом партнерстве между золотодобывающими предприятиями и Администрацией округа. Объем спонсорской помощи от 5 предприятий составил в 2019 году более 14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млн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руб. На эти средства: проведен ремонт 5 кабинетов и помещения библиотеки школы п. Сеймчан; отремонтирована кровля в здании ЦДО и приобретено оборудование для кружка по экологическому воспитанию детей; приобретен автомобиль УАЗ для хозяйственных нужд больницы; в здании Дома народного творчества и досуга п. Сеймчан  отремонтированы кровля и гигиенические комнаты; проведен косметический ремонт 2 этажа здания Спортивной школы п. Сеймчан; приобретено табло для хоккейной коробки и чучело снежного барана для краеведческого музея; 235 детей получили новогодние подарки.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4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В  2020 году объем спонсорской помощи, по предварительной договоренности с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недропользователями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, должен составить более 16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млн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руб.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Как Глава муниципального образования и председатель Собрания представителей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округа: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а) Принял  участие в 11 мероприятиях и встречах на областном уровне, в том числе: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курсах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повышения квалификации «Современные технологии управления в органах местного самоуправления»;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- встрече с председателем КСП Магаданской области;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общественном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собрании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Парламентской ассоциации «Дальний Восток и Забайкалье»;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заседаниях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Совета территории Магаданской области;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заседаниях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Магаданской областной Думы;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Съезде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Совета муниципальных образований Магаданской области.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б) Постоянно  взаимодействовал с Правительством Магаданской области   в решении вопросов местного значения.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В целом, подводя итоги 2019 года, могу сказать, что депутаты построили свою работу слаженно, выполнили все намеченные мероприятия, приняли важные для муниципального образования нормативные правовые акты и исполнили в полном объеме свои полномочия в рамках действующего законодательства.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Основные приоритетные задачи на 2020 год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Социально-политическая сфера: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1. Обеспечить в учреждениях образования, спорта и  культуры района проведение запланированных ремонтных работ и укрепление материально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-т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ехнической базы, в том числе путем реализации Национальных проектов. </w:t>
      </w:r>
      <w:bookmarkStart w:id="0" w:name="_GoBack"/>
      <w:bookmarkEnd w:id="0"/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15"/>
          <w:sz w:val="20"/>
          <w:szCs w:val="20"/>
        </w:rPr>
        <w:t>2.</w:t>
      </w: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Реализовать муниципальные программы, направленные на поддержку отдельных категорий граждан, в том числе коренных малочисленных народов Севера.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3. Продолжить работу по сохранению и увеличению объемов спонсорской помощи  предприятиями золотодобычи в рамках социального партнерства.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4. Активизировать работу по  реализации в районе </w:t>
      </w:r>
      <w:proofErr w:type="spellStart"/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молодеж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>-ной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политики и вовлечению молодежи в общественную жизнь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06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5. Организовать и провести мероприятия, посвященные 75-летию Дня Победы.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6. Организовать и провести избирательную кампанию по выборам депутатов в Собрание представителей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 и областной Думы Магаданской области в единый день голосования.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7. Активизировать работу межведомственной комиссии по профилактике правонарушений и реализации мероприятий муниципальной программы «Комплексные меры по гармонизации межэтнических и межкультурных отношений, укреплению толерантности на территории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городского округа».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8. Обеспечить выполнение плана мероприятий,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направлен-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ных</w:t>
      </w:r>
      <w:proofErr w:type="spellEnd"/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на борьбу с терроризмом и экстремизмом для обеспечения условий безопасности проживания в районе граждан.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9. С целью объединения жителей района для </w:t>
      </w:r>
      <w:proofErr w:type="spellStart"/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самостоя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>-тельного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решения вопросов местного значения и содействия социально-экономическому и культурному развитию, активизировать помощь в реализации деятельности Общественных советов и Общественной палаты.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10. Продолжить взаимодействие с органами внутренних дел в части реализации полномочий по охране общественного порядка народной дружиной «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Жилищно-коммунальная сфера: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1. Продолжить модернизацию и реконструкцию объектов жилищно-коммунального комплекса в соответствии с областными программами, в том числе путем реализации Национальных проектов.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2. Повысить эффективность в работе жилищно-коммунального хозяйства по вопросам: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сбора платежей;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сокращения затрат предприятий ЖКХ;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оптимизации жилфонда и теплосетей;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расселения аварийного и ветхого жилищного фонда;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капитального ремонта жилищного фонда;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актуализации схем сетей тепл</w:t>
      </w:r>
      <w:proofErr w:type="gramStart"/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о-</w:t>
      </w:r>
      <w:proofErr w:type="gramEnd"/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, водо- и электроснабжения и водоотведения;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2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увеличения объемов благоустройства;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приобретения спецтехники предприятиям ЖКХ;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- реализации инвестиционных проектов предприятий ЖКХ.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3. Продолжить реализацию мероприятий по </w:t>
      </w:r>
      <w:proofErr w:type="spellStart"/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>энергоэффектив-ности</w:t>
      </w:r>
      <w:proofErr w:type="spellEnd"/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и энергосбережению в учреждениях социальной сферы и муниципальном жилищном фонде.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4. </w:t>
      </w: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Продолжить модернизацию системы водоснабжения </w:t>
      </w:r>
      <w:proofErr w:type="gram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с. Верхний Сеймчан. 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5. Продолжить реализацию программы по «Формированию современной городской среды» в п. Сеймчан.</w:t>
      </w:r>
    </w:p>
    <w:p w:rsidR="007F0E03" w:rsidRPr="007F0E03" w:rsidRDefault="007F0E03" w:rsidP="007F0E03">
      <w:pPr>
        <w:tabs>
          <w:tab w:val="left" w:pos="960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</w:pPr>
      <w:r w:rsidRPr="007F0E03">
        <w:rPr>
          <w:rFonts w:ascii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  <w:t>Экономическая сфера:</w:t>
      </w:r>
    </w:p>
    <w:p w:rsidR="007F0E03" w:rsidRPr="007F0E03" w:rsidRDefault="007F0E03" w:rsidP="007F0E03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pacing w:val="15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1. Продолжить работу по разработке нормативно-правовой базы для внедрения стандарта деятельности Администрации по обеспечению благоприятного инвестиционного климата в </w:t>
      </w:r>
      <w:proofErr w:type="spellStart"/>
      <w:r w:rsidRPr="007F0E03">
        <w:rPr>
          <w:rFonts w:ascii="Times New Roman" w:hAnsi="Times New Roman" w:cs="Times New Roman"/>
          <w:color w:val="000000"/>
          <w:sz w:val="20"/>
          <w:szCs w:val="20"/>
        </w:rPr>
        <w:t>Среднеканском</w:t>
      </w:r>
      <w:proofErr w:type="spellEnd"/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городском округе и привлечению инвесторов</w:t>
      </w:r>
      <w:r w:rsidRPr="007F0E03">
        <w:rPr>
          <w:rFonts w:ascii="Times New Roman" w:hAnsi="Times New Roman" w:cs="Times New Roman"/>
          <w:color w:val="000000"/>
          <w:spacing w:val="15"/>
          <w:sz w:val="20"/>
          <w:szCs w:val="20"/>
        </w:rPr>
        <w:t>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 xml:space="preserve">2. Обеспечить стабильное поступление доходов в бюджет района от эффективного управления и распоряжения муниципальным имуществом. 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3. В полном объеме обеспечить реализацию принятых муниципальных и ведомственных целевых программ, максимально привлекая средства областного и федерального бюджетов.</w:t>
      </w:r>
    </w:p>
    <w:p w:rsidR="007F0E03" w:rsidRPr="007F0E03" w:rsidRDefault="007F0E03" w:rsidP="007F0E03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4. Поддерживать малое и среднее предпринимательство, агропромышленный комплекс, способствуя обеспечению населения района сельскохозяйственной продукцией, производимой на территории района.</w:t>
      </w:r>
    </w:p>
    <w:p w:rsidR="006F6479" w:rsidRDefault="007F0E03" w:rsidP="007F0E0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color w:val="000000"/>
          <w:sz w:val="20"/>
          <w:szCs w:val="20"/>
        </w:rPr>
        <w:t>5. Продолжить опыт по проведению выездных ярмарок товаров местных сельхозпроизводителей не реже 4-х раз в год.</w:t>
      </w:r>
    </w:p>
    <w:p w:rsidR="007F0E03" w:rsidRDefault="007F0E03" w:rsidP="007F0E0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F0E03" w:rsidRPr="007F0E03" w:rsidRDefault="007F0E03" w:rsidP="007F0E03">
      <w:pPr>
        <w:tabs>
          <w:tab w:val="left" w:pos="6666"/>
          <w:tab w:val="left" w:pos="9999"/>
        </w:tabs>
        <w:autoSpaceDE w:val="0"/>
        <w:autoSpaceDN w:val="0"/>
        <w:adjustRightInd w:val="0"/>
        <w:spacing w:after="0" w:line="210" w:lineRule="atLeast"/>
        <w:ind w:firstLine="227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F0E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А.Н. </w:t>
      </w:r>
      <w:r w:rsidRPr="007F0E03">
        <w:rPr>
          <w:rFonts w:ascii="Times New Roman" w:hAnsi="Times New Roman" w:cs="Times New Roman"/>
          <w:i/>
          <w:iCs/>
          <w:caps/>
          <w:color w:val="000000"/>
          <w:sz w:val="20"/>
          <w:szCs w:val="20"/>
        </w:rPr>
        <w:t>Таланов</w:t>
      </w:r>
      <w:r w:rsidRPr="007F0E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</w:p>
    <w:p w:rsidR="007F0E03" w:rsidRDefault="007F0E03" w:rsidP="007F0E03">
      <w:pPr>
        <w:jc w:val="right"/>
      </w:pPr>
      <w:r w:rsidRPr="007F0E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Глава </w:t>
      </w:r>
      <w:proofErr w:type="spellStart"/>
      <w:r w:rsidRPr="007F0E0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Среднеканского</w:t>
      </w:r>
      <w:proofErr w:type="spellEnd"/>
      <w:r w:rsidRPr="007F0E0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городского округа.</w:t>
      </w:r>
    </w:p>
    <w:sectPr w:rsidR="007F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F"/>
    <w:rsid w:val="00320D9F"/>
    <w:rsid w:val="006F6479"/>
    <w:rsid w:val="007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E03"/>
    <w:pPr>
      <w:autoSpaceDE w:val="0"/>
      <w:autoSpaceDN w:val="0"/>
      <w:adjustRightInd w:val="0"/>
      <w:spacing w:after="120" w:line="240" w:lineRule="auto"/>
      <w:ind w:left="280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E03"/>
    <w:rPr>
      <w:rFonts w:ascii="Times New Roman" w:hAnsi="Times New Roman" w:cs="Times New Roman"/>
      <w:color w:val="000000"/>
      <w:sz w:val="20"/>
      <w:szCs w:val="20"/>
    </w:rPr>
  </w:style>
  <w:style w:type="paragraph" w:customStyle="1" w:styleId="a5">
    <w:name w:val="Прижатый влево"/>
    <w:basedOn w:val="a"/>
    <w:next w:val="a"/>
    <w:rsid w:val="007F0E03"/>
    <w:pPr>
      <w:autoSpaceDE w:val="0"/>
      <w:autoSpaceDN w:val="0"/>
      <w:adjustRightInd w:val="0"/>
      <w:spacing w:line="330" w:lineRule="atLeas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E03"/>
    <w:pPr>
      <w:autoSpaceDE w:val="0"/>
      <w:autoSpaceDN w:val="0"/>
      <w:adjustRightInd w:val="0"/>
      <w:spacing w:after="120" w:line="240" w:lineRule="auto"/>
      <w:ind w:left="280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E03"/>
    <w:rPr>
      <w:rFonts w:ascii="Times New Roman" w:hAnsi="Times New Roman" w:cs="Times New Roman"/>
      <w:color w:val="000000"/>
      <w:sz w:val="20"/>
      <w:szCs w:val="20"/>
    </w:rPr>
  </w:style>
  <w:style w:type="paragraph" w:customStyle="1" w:styleId="a5">
    <w:name w:val="Прижатый влево"/>
    <w:basedOn w:val="a"/>
    <w:next w:val="a"/>
    <w:rsid w:val="007F0E03"/>
    <w:pPr>
      <w:autoSpaceDE w:val="0"/>
      <w:autoSpaceDN w:val="0"/>
      <w:adjustRightInd w:val="0"/>
      <w:spacing w:line="330" w:lineRule="atLeas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10084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2020-03-09T23:20:00Z</dcterms:created>
  <dcterms:modified xsi:type="dcterms:W3CDTF">2020-03-09T23:21:00Z</dcterms:modified>
</cp:coreProperties>
</file>