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3E" w:rsidRPr="00AD623E" w:rsidRDefault="00AD623E" w:rsidP="00AD6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23E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AD623E" w:rsidRPr="00AD623E" w:rsidRDefault="00AD623E" w:rsidP="00AD6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23E">
        <w:rPr>
          <w:rFonts w:ascii="Times New Roman" w:eastAsia="Calibri" w:hAnsi="Times New Roman" w:cs="Times New Roman"/>
          <w:b/>
          <w:sz w:val="28"/>
          <w:szCs w:val="28"/>
        </w:rPr>
        <w:t>счетной палаты городского округа Верхняя Пышма</w:t>
      </w:r>
    </w:p>
    <w:p w:rsidR="00AD623E" w:rsidRPr="00AD623E" w:rsidRDefault="00AD623E" w:rsidP="00AD6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23E">
        <w:rPr>
          <w:rFonts w:ascii="Times New Roman" w:eastAsia="Calibri" w:hAnsi="Times New Roman" w:cs="Times New Roman"/>
          <w:b/>
          <w:sz w:val="28"/>
          <w:szCs w:val="28"/>
        </w:rPr>
        <w:t>по итогам финансово-экономической экспертизы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23E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</w:p>
    <w:p w:rsidR="00AD623E" w:rsidRPr="00AD623E" w:rsidRDefault="00AD623E" w:rsidP="00AD6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23E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 w:rsidR="0028050F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основных направлений социальной политики на территории городского </w:t>
      </w:r>
      <w:r w:rsidRPr="00AD623E">
        <w:rPr>
          <w:rFonts w:ascii="Times New Roman" w:eastAsia="Calibri" w:hAnsi="Times New Roman" w:cs="Times New Roman"/>
          <w:b/>
          <w:sz w:val="28"/>
          <w:szCs w:val="28"/>
        </w:rPr>
        <w:t xml:space="preserve">округа Верхняя Пышма до 2020 года» </w:t>
      </w:r>
    </w:p>
    <w:p w:rsidR="00AD623E" w:rsidRPr="00AD623E" w:rsidRDefault="00AD623E" w:rsidP="00AD6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1</w:t>
      </w:r>
      <w:r w:rsidR="000855C7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сентября 2014 года                                                               г. Верхняя Пышма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На основании пункта 2 статьи 157 Бюджетного кодекса РФ, подпункта 7 пункта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5.1 статьи 5 Положения о счетной палате городского округа Верхняя Пышма, утвержденного Решением Думы городского округа Верхняя Пышма от 27.10.2011 №41/10, подпункта 5 пункта 5 статьи 5 Положения о бюджетном процессе в городском округе Верхняя Пышма, утвержденного Решением Думы городского округа Верхняя Пышма от 31.10.2013 №3/3 счетной палатой городского округа Верхняя Пышма (далее – счетная палата) подготовлено настоящее заключение по итогам финансово-экономической экспертизы</w:t>
      </w:r>
      <w:r w:rsidR="00BB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23E">
        <w:rPr>
          <w:rFonts w:ascii="Times New Roman" w:eastAsia="Calibri" w:hAnsi="Times New Roman" w:cs="Times New Roman"/>
          <w:sz w:val="28"/>
          <w:szCs w:val="28"/>
        </w:rPr>
        <w:t>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23E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="0028050F">
        <w:rPr>
          <w:rFonts w:ascii="Times New Roman" w:eastAsia="Calibri" w:hAnsi="Times New Roman" w:cs="Times New Roman"/>
          <w:sz w:val="28"/>
          <w:szCs w:val="28"/>
        </w:rPr>
        <w:t xml:space="preserve">Развитие основных направлений социальной политики на территории городского </w:t>
      </w:r>
      <w:r w:rsidRPr="00AD623E">
        <w:rPr>
          <w:rFonts w:ascii="Times New Roman" w:eastAsia="Calibri" w:hAnsi="Times New Roman" w:cs="Times New Roman"/>
          <w:sz w:val="28"/>
          <w:szCs w:val="28"/>
        </w:rPr>
        <w:t>округа Верхняя Пышма до 2020 года» (далее – проект муниципальной Программы).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муниципальной программы поступил в счетную палату </w:t>
      </w:r>
      <w:r w:rsidR="00BB46EA">
        <w:rPr>
          <w:rFonts w:ascii="Times New Roman" w:eastAsia="Calibri" w:hAnsi="Times New Roman" w:cs="Times New Roman"/>
          <w:sz w:val="28"/>
          <w:szCs w:val="28"/>
        </w:rPr>
        <w:t>02</w:t>
      </w:r>
      <w:r w:rsidRPr="00AD623E">
        <w:rPr>
          <w:rFonts w:ascii="Times New Roman" w:eastAsia="Calibri" w:hAnsi="Times New Roman" w:cs="Times New Roman"/>
          <w:sz w:val="28"/>
          <w:szCs w:val="28"/>
        </w:rPr>
        <w:t>.0</w:t>
      </w:r>
      <w:r w:rsidR="00BB46EA">
        <w:rPr>
          <w:rFonts w:ascii="Times New Roman" w:eastAsia="Calibri" w:hAnsi="Times New Roman" w:cs="Times New Roman"/>
          <w:sz w:val="28"/>
          <w:szCs w:val="28"/>
        </w:rPr>
        <w:t>9</w:t>
      </w:r>
      <w:r w:rsidRPr="00AD623E">
        <w:rPr>
          <w:rFonts w:ascii="Times New Roman" w:eastAsia="Calibri" w:hAnsi="Times New Roman" w:cs="Times New Roman"/>
          <w:sz w:val="28"/>
          <w:szCs w:val="28"/>
        </w:rPr>
        <w:t>.2014 в составе следующих документов: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1) проект Постановления администрации городского округа Верхняя Пышма об утверждении муниципальной Программы;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2) муниципальная Программа, в том числе: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Программы;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- Приложение №1 – цели, задачи и целевые показатели реализации муниципальной Программы;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- Приложение №2 – план мероприятий по выполнению муниципальной Программы;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3) заключение Комитета по экономике администрации городского округа Верхняя Пышма на проект муниципальной Программы.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 разработан в соответствии со статьей 179 Бюджетного кодекса РФ, Порядком разработки и реализации муниципальных программ в городском округе Верхняя Пышма, утвержденным Постановлением администрации городского округа Верхняя Пышма от 27.02.2014 №335 (далее – Порядок), Постановлением администрации городского округа Верхняя Пышма от 04.06.2014 №931 «Об утверждении перечня муниципальных программ городского округа Верхняя Пышма на 2015-2020 годы, подлежащих разработке в 2014 году».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муниципальной Программы содержит </w:t>
      </w:r>
      <w:r w:rsidR="00CE1CE0">
        <w:rPr>
          <w:rFonts w:ascii="Times New Roman" w:eastAsia="Calibri" w:hAnsi="Times New Roman" w:cs="Times New Roman"/>
          <w:sz w:val="28"/>
          <w:szCs w:val="28"/>
        </w:rPr>
        <w:t>семь</w:t>
      </w:r>
      <w:r w:rsidR="00950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23E">
        <w:rPr>
          <w:rFonts w:ascii="Times New Roman" w:eastAsia="Calibri" w:hAnsi="Times New Roman" w:cs="Times New Roman"/>
          <w:sz w:val="28"/>
          <w:szCs w:val="28"/>
        </w:rPr>
        <w:t>подпрограмм: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E1CE0">
        <w:rPr>
          <w:rFonts w:ascii="Times New Roman" w:eastAsia="Calibri" w:hAnsi="Times New Roman" w:cs="Times New Roman"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950F89">
        <w:rPr>
          <w:rFonts w:ascii="Times New Roman" w:eastAsia="Calibri" w:hAnsi="Times New Roman" w:cs="Times New Roman"/>
          <w:sz w:val="28"/>
          <w:szCs w:val="28"/>
        </w:rPr>
        <w:t>городского округа Верхняя Пышма до 2020 года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E1CE0">
        <w:rPr>
          <w:rFonts w:ascii="Times New Roman" w:eastAsia="Calibri" w:hAnsi="Times New Roman" w:cs="Times New Roman"/>
          <w:sz w:val="28"/>
          <w:szCs w:val="28"/>
        </w:rPr>
        <w:t>Профилактика инфекционных заболеваний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в городском округе Верхняя Пышма до 2020 года»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50F89">
        <w:rPr>
          <w:rFonts w:ascii="Times New Roman" w:eastAsia="Calibri" w:hAnsi="Times New Roman" w:cs="Times New Roman"/>
          <w:sz w:val="28"/>
          <w:szCs w:val="28"/>
        </w:rPr>
        <w:t>«</w:t>
      </w:r>
      <w:r w:rsidR="00CE1CE0">
        <w:rPr>
          <w:rFonts w:ascii="Times New Roman" w:eastAsia="Calibri" w:hAnsi="Times New Roman" w:cs="Times New Roman"/>
          <w:sz w:val="28"/>
          <w:szCs w:val="28"/>
        </w:rPr>
        <w:t>Комплексные меры по ограничению</w:t>
      </w:r>
      <w:r w:rsidR="00BD553A">
        <w:rPr>
          <w:rFonts w:ascii="Times New Roman" w:eastAsia="Calibri" w:hAnsi="Times New Roman" w:cs="Times New Roman"/>
          <w:sz w:val="28"/>
          <w:szCs w:val="28"/>
        </w:rPr>
        <w:t xml:space="preserve"> распространения социально значимых заболеваний на территории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Верхняя Пышма до 2020 года»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D553A">
        <w:rPr>
          <w:rFonts w:ascii="Times New Roman" w:eastAsia="Calibri" w:hAnsi="Times New Roman" w:cs="Times New Roman"/>
          <w:sz w:val="28"/>
          <w:szCs w:val="28"/>
        </w:rPr>
        <w:t>Доступная среда на территории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Верхняя Пышма до 2020 года»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«Обеспечение </w:t>
      </w:r>
      <w:r w:rsidR="00BD553A">
        <w:rPr>
          <w:rFonts w:ascii="Times New Roman" w:eastAsia="Calibri" w:hAnsi="Times New Roman" w:cs="Times New Roman"/>
          <w:sz w:val="28"/>
          <w:szCs w:val="28"/>
        </w:rPr>
        <w:t xml:space="preserve">жильем молодых семей </w:t>
      </w:r>
      <w:r w:rsidRPr="00950F89">
        <w:rPr>
          <w:rFonts w:ascii="Times New Roman" w:eastAsia="Calibri" w:hAnsi="Times New Roman" w:cs="Times New Roman"/>
          <w:sz w:val="28"/>
          <w:szCs w:val="28"/>
        </w:rPr>
        <w:t>городского округа Верхняя Пышма до 2020 года»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D553A">
        <w:rPr>
          <w:rFonts w:ascii="Times New Roman" w:eastAsia="Calibri" w:hAnsi="Times New Roman" w:cs="Times New Roman"/>
          <w:sz w:val="28"/>
          <w:szCs w:val="28"/>
        </w:rPr>
        <w:t xml:space="preserve">Предоставление государственной финансовой поддержки молодым семьям, проживающим в городском округе </w:t>
      </w:r>
      <w:r w:rsidRPr="00950F89">
        <w:rPr>
          <w:rFonts w:ascii="Times New Roman" w:eastAsia="Calibri" w:hAnsi="Times New Roman" w:cs="Times New Roman"/>
          <w:sz w:val="28"/>
          <w:szCs w:val="28"/>
        </w:rPr>
        <w:t>Верхняя Пышма</w:t>
      </w:r>
      <w:r w:rsidR="00BD553A">
        <w:rPr>
          <w:rFonts w:ascii="Times New Roman" w:eastAsia="Calibri" w:hAnsi="Times New Roman" w:cs="Times New Roman"/>
          <w:sz w:val="28"/>
          <w:szCs w:val="28"/>
        </w:rPr>
        <w:t>, на погашение основной суммы долга и процентов по ипотечным жилищным кредитам (займам)</w:t>
      </w:r>
      <w:r w:rsidRPr="00950F8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F89" w:rsidRP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«Обеспечение </w:t>
      </w:r>
      <w:r w:rsidR="00A62228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«Развитие основных направлений социальной политики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 Верхняя Пышма до 2020 года»</w:t>
      </w:r>
      <w:r w:rsidR="00A622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F89" w:rsidRDefault="00950F89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муниципальной программы размещен в сети Интернет на сайте movp.munrus.ru </w:t>
      </w:r>
      <w:r w:rsidR="00034547">
        <w:rPr>
          <w:rFonts w:ascii="Times New Roman" w:eastAsia="Calibri" w:hAnsi="Times New Roman" w:cs="Times New Roman"/>
          <w:sz w:val="28"/>
          <w:szCs w:val="28"/>
        </w:rPr>
        <w:t>11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июля 2014 года.</w:t>
      </w:r>
    </w:p>
    <w:p w:rsidR="00B330C5" w:rsidRPr="00950F89" w:rsidRDefault="00B330C5" w:rsidP="00950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034547">
        <w:rPr>
          <w:rFonts w:ascii="Times New Roman" w:eastAsia="Calibri" w:hAnsi="Times New Roman" w:cs="Times New Roman"/>
          <w:sz w:val="28"/>
          <w:szCs w:val="28"/>
        </w:rPr>
        <w:t>Комитет по социальной политике администрации городского округа Верхняя Пышма</w:t>
      </w:r>
      <w:r w:rsidRPr="00AD62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Согласно проекту муниципальной Программы основными целями ее реализации являются:</w:t>
      </w:r>
    </w:p>
    <w:p w:rsidR="00AD623E" w:rsidRP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34547">
        <w:rPr>
          <w:rFonts w:ascii="Times New Roman" w:eastAsia="Calibri" w:hAnsi="Times New Roman" w:cs="Times New Roman"/>
          <w:sz w:val="28"/>
          <w:szCs w:val="28"/>
        </w:rPr>
        <w:t>Оказание дополнительных мер социальной поддержки отдельных категорий граждан городского округа Верхняя Пышма</w:t>
      </w:r>
      <w:r w:rsidRPr="00AD62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23E" w:rsidRDefault="00AD623E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34547">
        <w:rPr>
          <w:rFonts w:ascii="Times New Roman" w:eastAsia="Calibri" w:hAnsi="Times New Roman" w:cs="Times New Roman"/>
          <w:sz w:val="28"/>
          <w:szCs w:val="28"/>
        </w:rPr>
        <w:t xml:space="preserve">Снижение уровня распространенности и сохранение на спорадическом уровне распространенности инфекционных заболеваний (клещевой </w:t>
      </w:r>
      <w:r w:rsidR="003953AA">
        <w:rPr>
          <w:rFonts w:ascii="Times New Roman" w:eastAsia="Calibri" w:hAnsi="Times New Roman" w:cs="Times New Roman"/>
          <w:sz w:val="28"/>
          <w:szCs w:val="28"/>
        </w:rPr>
        <w:t>э</w:t>
      </w:r>
      <w:r w:rsidR="00034547">
        <w:rPr>
          <w:rFonts w:ascii="Times New Roman" w:eastAsia="Calibri" w:hAnsi="Times New Roman" w:cs="Times New Roman"/>
          <w:sz w:val="28"/>
          <w:szCs w:val="28"/>
        </w:rPr>
        <w:t>нцефалит, гепатит А)</w:t>
      </w:r>
      <w:r w:rsidR="00252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866" w:rsidRDefault="00252866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34547">
        <w:rPr>
          <w:rFonts w:ascii="Times New Roman" w:eastAsia="Calibri" w:hAnsi="Times New Roman" w:cs="Times New Roman"/>
          <w:sz w:val="28"/>
          <w:szCs w:val="28"/>
        </w:rPr>
        <w:t>Увеличение продолжительности активной жизни населения за счет формирования здорового образа жизни и профилактики заболеваний (ВИЧ –инфекция, туберкулез, наркомания)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866" w:rsidRDefault="00252866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551F37">
        <w:rPr>
          <w:rFonts w:ascii="Times New Roman" w:eastAsia="Calibri" w:hAnsi="Times New Roman" w:cs="Times New Roman"/>
          <w:sz w:val="28"/>
          <w:szCs w:val="28"/>
        </w:rPr>
        <w:t>Повышение доступности объектов и услуг для инвалидов и маломобильных групп населения городского округа Верхняя Пышма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866" w:rsidRDefault="00252866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1659B9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866" w:rsidRDefault="00252866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1659B9">
        <w:rPr>
          <w:rFonts w:ascii="Times New Roman" w:eastAsia="Calibri" w:hAnsi="Times New Roman" w:cs="Times New Roman"/>
          <w:sz w:val="28"/>
          <w:szCs w:val="28"/>
        </w:rPr>
        <w:t>Предоставление финансовой поддержки молодым семьям-участникам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708" w:rsidRDefault="00252866" w:rsidP="00AD6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7)</w:t>
      </w:r>
      <w:r w:rsidR="001659B9">
        <w:rPr>
          <w:rFonts w:ascii="Times New Roman" w:eastAsia="Calibri" w:hAnsi="Times New Roman" w:cs="Times New Roman"/>
          <w:sz w:val="28"/>
          <w:szCs w:val="28"/>
        </w:rPr>
        <w:t>Создание необходимых условий для деятельности Комитета по социальной политике администрации городского округа Верхняя Пышма и эффективного решения вопросов местного значения</w:t>
      </w:r>
      <w:r w:rsidR="00F947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Программы: 2015-2020 годы.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муниципальной Программы предусмотрен в размере </w:t>
      </w:r>
      <w:r w:rsidR="00B1560D">
        <w:rPr>
          <w:rFonts w:ascii="Times New Roman" w:eastAsia="Calibri" w:hAnsi="Times New Roman" w:cs="Times New Roman"/>
          <w:sz w:val="28"/>
          <w:szCs w:val="28"/>
        </w:rPr>
        <w:t>999 644,2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  <w:r w:rsidR="00D25A95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B1560D">
        <w:rPr>
          <w:rFonts w:ascii="Times New Roman" w:eastAsia="Calibri" w:hAnsi="Times New Roman" w:cs="Times New Roman"/>
          <w:sz w:val="28"/>
          <w:szCs w:val="28"/>
        </w:rPr>
        <w:t xml:space="preserve"> федерального,</w:t>
      </w:r>
      <w:r w:rsidR="00D25A95">
        <w:rPr>
          <w:rFonts w:ascii="Times New Roman" w:eastAsia="Calibri" w:hAnsi="Times New Roman" w:cs="Times New Roman"/>
          <w:sz w:val="28"/>
          <w:szCs w:val="28"/>
        </w:rPr>
        <w:t xml:space="preserve"> областного и местного бюджетов</w:t>
      </w:r>
      <w:r w:rsidRPr="00AD623E">
        <w:rPr>
          <w:rFonts w:ascii="Times New Roman" w:eastAsia="Calibri" w:hAnsi="Times New Roman" w:cs="Times New Roman"/>
          <w:sz w:val="28"/>
          <w:szCs w:val="28"/>
        </w:rPr>
        <w:t>, в том числе по годам реализации Программы: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- 2015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154 785,0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- 2016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163 542,0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- 2017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167 468,0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- 2018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174 518,0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- 2019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170 903,2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168 428,0</w:t>
      </w:r>
      <w:r w:rsidRPr="00AD623E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  <w:r w:rsidR="006A17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7E7" w:rsidRDefault="00F94708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них</w:t>
      </w:r>
      <w:r w:rsidR="006A17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4708" w:rsidRDefault="006A17E7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94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60D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F94708">
        <w:rPr>
          <w:rFonts w:ascii="Times New Roman" w:eastAsia="Calibri" w:hAnsi="Times New Roman" w:cs="Times New Roman"/>
          <w:sz w:val="28"/>
          <w:szCs w:val="28"/>
        </w:rPr>
        <w:t xml:space="preserve"> бюджет в сумме </w:t>
      </w:r>
      <w:r w:rsidR="00B1560D">
        <w:rPr>
          <w:rFonts w:ascii="Times New Roman" w:eastAsia="Calibri" w:hAnsi="Times New Roman" w:cs="Times New Roman"/>
          <w:sz w:val="28"/>
          <w:szCs w:val="28"/>
        </w:rPr>
        <w:t>198 350,0</w:t>
      </w:r>
      <w:r w:rsidR="00F94708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F94708" w:rsidRPr="00F94708">
        <w:rPr>
          <w:rFonts w:ascii="Times New Roman" w:eastAsia="Calibri" w:hAnsi="Times New Roman" w:cs="Times New Roman"/>
          <w:sz w:val="28"/>
          <w:szCs w:val="28"/>
        </w:rPr>
        <w:t xml:space="preserve"> в том числе по годам реализации Программы</w:t>
      </w:r>
      <w:r w:rsidR="00F947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4708" w:rsidRP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- 2015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30 497,0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F94708" w:rsidRP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- 2016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32 171,8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F94708" w:rsidRP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- 2017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33 920,3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F94708" w:rsidRP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- 2018 год – </w:t>
      </w:r>
      <w:r w:rsidR="00B1560D">
        <w:rPr>
          <w:rFonts w:ascii="Times New Roman" w:eastAsia="Calibri" w:hAnsi="Times New Roman" w:cs="Times New Roman"/>
          <w:sz w:val="28"/>
          <w:szCs w:val="28"/>
        </w:rPr>
        <w:t>33 920,3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F94708" w:rsidRP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- 2019 год – </w:t>
      </w:r>
      <w:r w:rsidR="006A17E7">
        <w:rPr>
          <w:rFonts w:ascii="Times New Roman" w:eastAsia="Calibri" w:hAnsi="Times New Roman" w:cs="Times New Roman"/>
          <w:sz w:val="28"/>
          <w:szCs w:val="28"/>
        </w:rPr>
        <w:t>33 920,3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F94708" w:rsidRDefault="00F94708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 w:rsidR="006A17E7">
        <w:rPr>
          <w:rFonts w:ascii="Times New Roman" w:eastAsia="Calibri" w:hAnsi="Times New Roman" w:cs="Times New Roman"/>
          <w:sz w:val="28"/>
          <w:szCs w:val="28"/>
        </w:rPr>
        <w:t>33 920,3</w:t>
      </w:r>
      <w:r w:rsidRPr="00F94708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  <w:r w:rsidR="00BB1A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17E7" w:rsidRDefault="006A17E7" w:rsidP="00F9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областной бюджет в сумме 644 146,6 тыс. рублей, в том числе по годам реализации Программы:</w:t>
      </w:r>
    </w:p>
    <w:p w:rsidR="006A17E7" w:rsidRP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- 2015 год – </w:t>
      </w:r>
      <w:r>
        <w:rPr>
          <w:rFonts w:ascii="Times New Roman" w:eastAsia="Calibri" w:hAnsi="Times New Roman" w:cs="Times New Roman"/>
          <w:sz w:val="28"/>
          <w:szCs w:val="28"/>
        </w:rPr>
        <w:t>100 340,4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A17E7" w:rsidRP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- 2016 год – </w:t>
      </w:r>
      <w:r>
        <w:rPr>
          <w:rFonts w:ascii="Times New Roman" w:eastAsia="Calibri" w:hAnsi="Times New Roman" w:cs="Times New Roman"/>
          <w:sz w:val="28"/>
          <w:szCs w:val="28"/>
        </w:rPr>
        <w:t>104 890,6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A17E7" w:rsidRP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- 2017 год – </w:t>
      </w:r>
      <w:r>
        <w:rPr>
          <w:rFonts w:ascii="Times New Roman" w:eastAsia="Calibri" w:hAnsi="Times New Roman" w:cs="Times New Roman"/>
          <w:sz w:val="28"/>
          <w:szCs w:val="28"/>
        </w:rPr>
        <w:t>109 728,9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A17E7" w:rsidRP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- 2018 год – </w:t>
      </w:r>
      <w:r>
        <w:rPr>
          <w:rFonts w:ascii="Times New Roman" w:eastAsia="Calibri" w:hAnsi="Times New Roman" w:cs="Times New Roman"/>
          <w:sz w:val="28"/>
          <w:szCs w:val="28"/>
        </w:rPr>
        <w:t>109 728,9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A17E7" w:rsidRP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- 2019 год – </w:t>
      </w:r>
      <w:r>
        <w:rPr>
          <w:rFonts w:ascii="Times New Roman" w:eastAsia="Calibri" w:hAnsi="Times New Roman" w:cs="Times New Roman"/>
          <w:sz w:val="28"/>
          <w:szCs w:val="28"/>
        </w:rPr>
        <w:t>109 728,9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A17E7" w:rsidRDefault="006A17E7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>
        <w:rPr>
          <w:rFonts w:ascii="Times New Roman" w:eastAsia="Calibri" w:hAnsi="Times New Roman" w:cs="Times New Roman"/>
          <w:sz w:val="28"/>
          <w:szCs w:val="28"/>
        </w:rPr>
        <w:t>109 728,9</w:t>
      </w:r>
      <w:r w:rsidRPr="006A17E7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  <w:r w:rsidR="00BB1A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1AB9" w:rsidRDefault="00BB1AB9" w:rsidP="006A1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-местный бюджет в сумме 117 907,6 тыс. рублей, в том числе по годам реализации Программы: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- 2015 год – </w:t>
      </w:r>
      <w:r>
        <w:rPr>
          <w:rFonts w:ascii="Times New Roman" w:eastAsia="Calibri" w:hAnsi="Times New Roman" w:cs="Times New Roman"/>
          <w:sz w:val="28"/>
          <w:szCs w:val="28"/>
        </w:rPr>
        <w:t>16 492,6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- 2016 год – </w:t>
      </w:r>
      <w:r>
        <w:rPr>
          <w:rFonts w:ascii="Times New Roman" w:eastAsia="Calibri" w:hAnsi="Times New Roman" w:cs="Times New Roman"/>
          <w:sz w:val="28"/>
          <w:szCs w:val="28"/>
        </w:rPr>
        <w:t>19 634,6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- 2017 год – </w:t>
      </w:r>
      <w:r>
        <w:rPr>
          <w:rFonts w:ascii="Times New Roman" w:eastAsia="Calibri" w:hAnsi="Times New Roman" w:cs="Times New Roman"/>
          <w:sz w:val="28"/>
          <w:szCs w:val="28"/>
        </w:rPr>
        <w:t>17 583,8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- 2018 год – </w:t>
      </w:r>
      <w:r>
        <w:rPr>
          <w:rFonts w:ascii="Times New Roman" w:eastAsia="Calibri" w:hAnsi="Times New Roman" w:cs="Times New Roman"/>
          <w:sz w:val="28"/>
          <w:szCs w:val="28"/>
        </w:rPr>
        <w:t>24 633,8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- 2019 год – </w:t>
      </w:r>
      <w:r>
        <w:rPr>
          <w:rFonts w:ascii="Times New Roman" w:eastAsia="Calibri" w:hAnsi="Times New Roman" w:cs="Times New Roman"/>
          <w:sz w:val="28"/>
          <w:szCs w:val="28"/>
        </w:rPr>
        <w:t>21 019,0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18 543,8 </w:t>
      </w:r>
      <w:r w:rsidRPr="00BB1AB9">
        <w:rPr>
          <w:rFonts w:ascii="Times New Roman" w:eastAsia="Calibri" w:hAnsi="Times New Roman" w:cs="Times New Roman"/>
          <w:sz w:val="28"/>
          <w:szCs w:val="28"/>
        </w:rPr>
        <w:t>тыс.рублей;</w:t>
      </w:r>
    </w:p>
    <w:p w:rsid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-внебюджетные источники в сумме 39 240,0 тыс. рублей, в том числе по годам реализации Программы: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- 2015 год – </w:t>
      </w:r>
      <w:r>
        <w:rPr>
          <w:rFonts w:ascii="Times New Roman" w:eastAsia="Calibri" w:hAnsi="Times New Roman" w:cs="Times New Roman"/>
          <w:sz w:val="28"/>
          <w:szCs w:val="28"/>
        </w:rPr>
        <w:t>7 455,0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- 2016 год – </w:t>
      </w:r>
      <w:r>
        <w:rPr>
          <w:rFonts w:ascii="Times New Roman" w:eastAsia="Calibri" w:hAnsi="Times New Roman" w:cs="Times New Roman"/>
          <w:sz w:val="28"/>
          <w:szCs w:val="28"/>
        </w:rPr>
        <w:t>6 845,0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- 2017 год – </w:t>
      </w:r>
      <w:r>
        <w:rPr>
          <w:rFonts w:ascii="Times New Roman" w:eastAsia="Calibri" w:hAnsi="Times New Roman" w:cs="Times New Roman"/>
          <w:sz w:val="28"/>
          <w:szCs w:val="28"/>
        </w:rPr>
        <w:t>6 235,0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- 2018 год – </w:t>
      </w:r>
      <w:r>
        <w:rPr>
          <w:rFonts w:ascii="Times New Roman" w:eastAsia="Calibri" w:hAnsi="Times New Roman" w:cs="Times New Roman"/>
          <w:sz w:val="28"/>
          <w:szCs w:val="28"/>
        </w:rPr>
        <w:t>6 235,0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- 2019 год – </w:t>
      </w:r>
      <w:r>
        <w:rPr>
          <w:rFonts w:ascii="Times New Roman" w:eastAsia="Calibri" w:hAnsi="Times New Roman" w:cs="Times New Roman"/>
          <w:sz w:val="28"/>
          <w:szCs w:val="28"/>
        </w:rPr>
        <w:t>6 235,0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BB1AB9" w:rsidRPr="00BB1AB9" w:rsidRDefault="00BB1AB9" w:rsidP="00BB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>
        <w:rPr>
          <w:rFonts w:ascii="Times New Roman" w:eastAsia="Calibri" w:hAnsi="Times New Roman" w:cs="Times New Roman"/>
          <w:sz w:val="28"/>
          <w:szCs w:val="28"/>
        </w:rPr>
        <w:t>6 235,0</w:t>
      </w:r>
      <w:r w:rsidRPr="00BB1AB9">
        <w:rPr>
          <w:rFonts w:ascii="Times New Roman" w:eastAsia="Calibri" w:hAnsi="Times New Roman" w:cs="Times New Roman"/>
          <w:sz w:val="28"/>
          <w:szCs w:val="28"/>
        </w:rPr>
        <w:t xml:space="preserve"> тыс.рублей</w:t>
      </w:r>
      <w:r w:rsidR="00E9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708" w:rsidRPr="00AD623E" w:rsidRDefault="00F94708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23E" w:rsidRPr="00AD623E" w:rsidRDefault="00AD623E" w:rsidP="00AD6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23E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финансово-экономической экспертизы проекта муниципальной Программы установлено следующее.</w:t>
      </w:r>
    </w:p>
    <w:p w:rsidR="00C26554" w:rsidRPr="00C26554" w:rsidRDefault="00C26554" w:rsidP="00C2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проект муниципальной программы направляется в </w:t>
      </w:r>
      <w:r w:rsid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 администрации городского округа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Пышма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городского округа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Пышма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заключени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соответствия целей, задач и показателей муниципальной программы стратегическим документам</w:t>
      </w:r>
      <w:r w:rsidR="00F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части обоснованности финансового обеспечения муниципальной программы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396" w:rsidRDefault="00C26554" w:rsidP="00C2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Счетная палата отмечает, что заключени</w:t>
      </w:r>
      <w:r w:rsidR="001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B3" w:rsidRP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872B3" w:rsidRP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72B3" w:rsidRP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Верхняя Пышма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представленному проекту </w:t>
      </w:r>
      <w:r w:rsidR="00787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</w:t>
      </w:r>
      <w:r w:rsidR="001E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B87" w:rsidRPr="00C26554" w:rsidRDefault="00ED7396" w:rsidP="00ED7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96">
        <w:rPr>
          <w:rFonts w:ascii="Times New Roman" w:eastAsia="Times New Roman" w:hAnsi="Times New Roman" w:cs="Times New Roman"/>
          <w:sz w:val="28"/>
          <w:szCs w:val="28"/>
          <w:lang w:eastAsia="ru-RU"/>
        </w:rPr>
        <w:t>2)В приложении №2 к проекту муниципальной Программы «План мероприятий по выполнению муниципальной Программы» отсутствует предусмотренная Порядком графа «Исполнители (соисполнители) мероприятий», что в свою очередь противоречит разделу 3 текстовой части проекта Программы, предусматривающему наличие и исполнителей программы, и соисполнителей программы.</w:t>
      </w:r>
    </w:p>
    <w:p w:rsidR="007114F0" w:rsidRPr="009E6498" w:rsidRDefault="00C26554" w:rsidP="00640EDA">
      <w:pPr>
        <w:jc w:val="both"/>
        <w:rPr>
          <w:rFonts w:ascii="Times New Roman" w:hAnsi="Times New Roman" w:cs="Times New Roman"/>
          <w:sz w:val="28"/>
          <w:szCs w:val="28"/>
        </w:rPr>
      </w:pPr>
      <w:r w:rsidRPr="004210DC">
        <w:rPr>
          <w:rFonts w:ascii="Times New Roman" w:hAnsi="Times New Roman" w:cs="Times New Roman"/>
          <w:sz w:val="28"/>
          <w:szCs w:val="28"/>
        </w:rPr>
        <w:tab/>
      </w:r>
      <w:r w:rsidR="00ED7396">
        <w:rPr>
          <w:rFonts w:ascii="Times New Roman" w:hAnsi="Times New Roman" w:cs="Times New Roman"/>
          <w:sz w:val="28"/>
          <w:szCs w:val="28"/>
        </w:rPr>
        <w:t>3</w:t>
      </w:r>
      <w:r w:rsidR="00640EDA">
        <w:rPr>
          <w:rFonts w:ascii="Times New Roman" w:hAnsi="Times New Roman" w:cs="Times New Roman"/>
          <w:sz w:val="28"/>
          <w:szCs w:val="28"/>
        </w:rPr>
        <w:t>)</w:t>
      </w:r>
      <w:r w:rsidR="007114F0" w:rsidRPr="009E6498">
        <w:rPr>
          <w:rFonts w:ascii="Times New Roman" w:hAnsi="Times New Roman" w:cs="Times New Roman"/>
          <w:sz w:val="28"/>
          <w:szCs w:val="28"/>
        </w:rPr>
        <w:t>Проект муниципальной программы содержит:</w:t>
      </w:r>
    </w:p>
    <w:p w:rsidR="007114F0" w:rsidRPr="004210DC" w:rsidRDefault="007114F0" w:rsidP="009E64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DC">
        <w:rPr>
          <w:rFonts w:ascii="Times New Roman" w:hAnsi="Times New Roman" w:cs="Times New Roman"/>
          <w:sz w:val="28"/>
          <w:szCs w:val="28"/>
        </w:rPr>
        <w:t>Паспорт Программы.</w:t>
      </w:r>
    </w:p>
    <w:p w:rsidR="007114F0" w:rsidRPr="004210DC" w:rsidRDefault="007114F0" w:rsidP="009E64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DC">
        <w:rPr>
          <w:rFonts w:ascii="Times New Roman" w:hAnsi="Times New Roman" w:cs="Times New Roman"/>
          <w:sz w:val="28"/>
          <w:szCs w:val="28"/>
        </w:rPr>
        <w:t>Раздел</w:t>
      </w:r>
      <w:r w:rsidR="00633655">
        <w:rPr>
          <w:rFonts w:ascii="Times New Roman" w:hAnsi="Times New Roman" w:cs="Times New Roman"/>
          <w:sz w:val="28"/>
          <w:szCs w:val="28"/>
        </w:rPr>
        <w:t xml:space="preserve"> </w:t>
      </w:r>
      <w:r w:rsidRPr="004210DC">
        <w:rPr>
          <w:rFonts w:ascii="Times New Roman" w:hAnsi="Times New Roman" w:cs="Times New Roman"/>
          <w:sz w:val="28"/>
          <w:szCs w:val="28"/>
        </w:rPr>
        <w:t>1 «Характеристика и анализ текущего состояния сферы социально</w:t>
      </w:r>
      <w:r w:rsidR="00361B40">
        <w:rPr>
          <w:rFonts w:ascii="Times New Roman" w:hAnsi="Times New Roman" w:cs="Times New Roman"/>
          <w:sz w:val="28"/>
          <w:szCs w:val="28"/>
        </w:rPr>
        <w:t>й политики на территории</w:t>
      </w:r>
      <w:r w:rsidRPr="004210DC">
        <w:rPr>
          <w:rFonts w:ascii="Times New Roman" w:hAnsi="Times New Roman" w:cs="Times New Roman"/>
          <w:sz w:val="28"/>
          <w:szCs w:val="28"/>
        </w:rPr>
        <w:t xml:space="preserve"> городского округа Верхняя Пышма».</w:t>
      </w:r>
    </w:p>
    <w:p w:rsidR="007114F0" w:rsidRPr="004210DC" w:rsidRDefault="007114F0" w:rsidP="007E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DC">
        <w:rPr>
          <w:rFonts w:ascii="Times New Roman" w:hAnsi="Times New Roman" w:cs="Times New Roman"/>
          <w:sz w:val="28"/>
          <w:szCs w:val="28"/>
        </w:rPr>
        <w:t>Раздел 2 «Цели</w:t>
      </w:r>
      <w:r w:rsidR="00361B40">
        <w:rPr>
          <w:rFonts w:ascii="Times New Roman" w:hAnsi="Times New Roman" w:cs="Times New Roman"/>
          <w:sz w:val="28"/>
          <w:szCs w:val="28"/>
        </w:rPr>
        <w:t>, задачи и</w:t>
      </w:r>
      <w:r w:rsidRPr="004210DC">
        <w:rPr>
          <w:rFonts w:ascii="Times New Roman" w:hAnsi="Times New Roman" w:cs="Times New Roman"/>
          <w:sz w:val="28"/>
          <w:szCs w:val="28"/>
        </w:rPr>
        <w:t xml:space="preserve"> целевые показатели </w:t>
      </w:r>
      <w:r w:rsidR="00361B40">
        <w:rPr>
          <w:rFonts w:ascii="Times New Roman" w:hAnsi="Times New Roman" w:cs="Times New Roman"/>
          <w:sz w:val="28"/>
          <w:szCs w:val="28"/>
        </w:rPr>
        <w:t>(индикаторы) Про</w:t>
      </w:r>
      <w:r w:rsidRPr="004210DC">
        <w:rPr>
          <w:rFonts w:ascii="Times New Roman" w:hAnsi="Times New Roman" w:cs="Times New Roman"/>
          <w:sz w:val="28"/>
          <w:szCs w:val="28"/>
        </w:rPr>
        <w:t>граммы».</w:t>
      </w:r>
    </w:p>
    <w:p w:rsidR="007114F0" w:rsidRDefault="007114F0" w:rsidP="007E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0DC">
        <w:rPr>
          <w:rFonts w:ascii="Times New Roman" w:hAnsi="Times New Roman" w:cs="Times New Roman"/>
          <w:sz w:val="28"/>
          <w:szCs w:val="28"/>
        </w:rPr>
        <w:t xml:space="preserve">Раздел 3 «План мероприятий </w:t>
      </w:r>
      <w:r w:rsidR="008F67DC">
        <w:rPr>
          <w:rFonts w:ascii="Times New Roman" w:hAnsi="Times New Roman" w:cs="Times New Roman"/>
          <w:sz w:val="28"/>
          <w:szCs w:val="28"/>
        </w:rPr>
        <w:t>П</w:t>
      </w:r>
      <w:r w:rsidRPr="004210DC">
        <w:rPr>
          <w:rFonts w:ascii="Times New Roman" w:hAnsi="Times New Roman" w:cs="Times New Roman"/>
          <w:sz w:val="28"/>
          <w:szCs w:val="28"/>
        </w:rPr>
        <w:t>рограммы»</w:t>
      </w:r>
      <w:r w:rsidR="00BD48FC">
        <w:rPr>
          <w:rFonts w:ascii="Times New Roman" w:hAnsi="Times New Roman" w:cs="Times New Roman"/>
          <w:sz w:val="28"/>
          <w:szCs w:val="28"/>
        </w:rPr>
        <w:t>.</w:t>
      </w:r>
    </w:p>
    <w:p w:rsidR="00BD48FC" w:rsidRDefault="00BD48FC" w:rsidP="007E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отмечает на допущенные неточности наименований </w:t>
      </w:r>
      <w:r w:rsidR="00361B40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2,3 разделов. Согласно пункту 7 Порядка </w:t>
      </w:r>
      <w:r w:rsidR="00361B40">
        <w:rPr>
          <w:rFonts w:ascii="Times New Roman" w:hAnsi="Times New Roman" w:cs="Times New Roman"/>
          <w:sz w:val="28"/>
          <w:szCs w:val="28"/>
        </w:rPr>
        <w:t xml:space="preserve">определены следующие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="00361B40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361B40" w:rsidRDefault="00361B40" w:rsidP="007E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«Характеристика и анализ текущего состояния сферы социально-экономического развития городского округа Верхняя Пышма;</w:t>
      </w:r>
    </w:p>
    <w:p w:rsidR="00BD48FC" w:rsidRDefault="00BD48FC" w:rsidP="007E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«Цели и задачи муниципальной программы, целевые показатели реализации муниципальной программы».</w:t>
      </w:r>
    </w:p>
    <w:p w:rsidR="009E6498" w:rsidRDefault="00BD48FC" w:rsidP="009E6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«План мероприятий по выполнению муниципальной программы».</w:t>
      </w:r>
    </w:p>
    <w:p w:rsidR="006B0005" w:rsidRPr="006B0005" w:rsidRDefault="00ED7396" w:rsidP="006B0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005" w:rsidRPr="006B0005">
        <w:rPr>
          <w:rFonts w:ascii="Times New Roman" w:hAnsi="Times New Roman" w:cs="Times New Roman"/>
          <w:sz w:val="28"/>
          <w:szCs w:val="28"/>
        </w:rPr>
        <w:t xml:space="preserve">) В соответствии с подпунктом 2 пункта 8 Порядка первый раздел муниципальной программы «Характеристика и анализ текущего состояния </w:t>
      </w:r>
      <w:r w:rsidR="006B0005" w:rsidRPr="006B0005">
        <w:rPr>
          <w:rFonts w:ascii="Times New Roman" w:hAnsi="Times New Roman" w:cs="Times New Roman"/>
          <w:sz w:val="28"/>
          <w:szCs w:val="28"/>
        </w:rPr>
        <w:lastRenderedPageBreak/>
        <w:t>сферы социально-экономического развития городского округа Верхняя Пышма» должен содержать анализ текущего состояния, включая выявление основных проблем и причин их возникновения, а также анализ социальных, финансово-экономических и иных рисков реализации муниципальной программы. При описании текущего состояния и формулировании проблем в сфере реализации муниципальной программы должны использоваться количественные и качественные показатели, свидетельствующие о ее наличии (в сопоставлении с нормативными, статистическими или ведомственными показателями других муниципальных образований Свердловской области).</w:t>
      </w:r>
    </w:p>
    <w:p w:rsidR="006B0005" w:rsidRDefault="006B0005" w:rsidP="00AA3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005">
        <w:rPr>
          <w:rFonts w:ascii="Times New Roman" w:hAnsi="Times New Roman" w:cs="Times New Roman"/>
          <w:sz w:val="28"/>
          <w:szCs w:val="28"/>
        </w:rPr>
        <w:t>В нарушение вышеуказанных требований при описании текущего состояния и формулировании проблем в сфере реализации муниципальной программы не указаны количественные и качественные показатели, свидетельствующие о наличии проблем в подпрограмм</w:t>
      </w:r>
      <w:r w:rsidR="00697B9F">
        <w:rPr>
          <w:rFonts w:ascii="Times New Roman" w:hAnsi="Times New Roman" w:cs="Times New Roman"/>
          <w:sz w:val="28"/>
          <w:szCs w:val="28"/>
        </w:rPr>
        <w:t>е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950F89">
        <w:rPr>
          <w:rFonts w:ascii="Times New Roman" w:eastAsia="Calibri" w:hAnsi="Times New Roman" w:cs="Times New Roman"/>
          <w:sz w:val="28"/>
          <w:szCs w:val="28"/>
        </w:rPr>
        <w:t>городского округа Верхняя Пышма до 2020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не </w:t>
      </w:r>
      <w:r w:rsidR="005B3C2D">
        <w:rPr>
          <w:rFonts w:ascii="Times New Roman" w:eastAsia="Calibri" w:hAnsi="Times New Roman" w:cs="Times New Roman"/>
          <w:sz w:val="28"/>
          <w:szCs w:val="28"/>
        </w:rPr>
        <w:t>указана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численность граждан, имеющих право на получение мер социальной поддержки </w:t>
      </w:r>
      <w:r w:rsidR="00697B9F"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697B9F">
        <w:rPr>
          <w:rFonts w:ascii="Times New Roman" w:eastAsia="Calibri" w:hAnsi="Times New Roman" w:cs="Times New Roman"/>
          <w:sz w:val="28"/>
          <w:szCs w:val="28"/>
        </w:rPr>
        <w:t xml:space="preserve"> 01.01.2014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7B9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A3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396" w:rsidRPr="009E6498" w:rsidRDefault="00ED7396" w:rsidP="00ED73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A36D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49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8 Порядка второй раздел муниципальной программы «Цели и задачи муниципальной программы, целевые показатели реализации муниципальной программы» оформляется в виде приложения № 1 к муниципальной программе и должен содержать формулировку цели (целей), соответствующую целям стратегических документов и задач, на достижение которых направлена муниципальная программа. </w:t>
      </w:r>
    </w:p>
    <w:p w:rsidR="00ED7396" w:rsidRPr="00C46EF4" w:rsidRDefault="00ED7396" w:rsidP="00ED7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32698A">
        <w:rPr>
          <w:rFonts w:ascii="Times New Roman" w:hAnsi="Times New Roman" w:cs="Times New Roman"/>
          <w:sz w:val="28"/>
          <w:szCs w:val="28"/>
        </w:rPr>
        <w:t>елевые показатели муниципальной</w:t>
      </w:r>
      <w:r w:rsidRPr="00C46EF4">
        <w:rPr>
          <w:rFonts w:ascii="Times New Roman" w:hAnsi="Times New Roman" w:cs="Times New Roman"/>
          <w:sz w:val="28"/>
          <w:szCs w:val="28"/>
        </w:rPr>
        <w:t xml:space="preserve"> программы устанавливаются в абсолютных и относительных величинах и должны объективно характеризовать прогресс достижения цели, решения задач муниципальной программы.</w:t>
      </w:r>
    </w:p>
    <w:p w:rsidR="00ED7396" w:rsidRDefault="00ED7396" w:rsidP="00ED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Счетная палата отмечает, что в Программе </w:t>
      </w:r>
      <w:r w:rsidR="003953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3953AA">
        <w:rPr>
          <w:rFonts w:ascii="Times New Roman" w:hAnsi="Times New Roman" w:cs="Times New Roman"/>
          <w:sz w:val="28"/>
          <w:szCs w:val="28"/>
        </w:rPr>
        <w:t xml:space="preserve">значения по следующим </w:t>
      </w:r>
      <w:r>
        <w:rPr>
          <w:rFonts w:ascii="Times New Roman" w:hAnsi="Times New Roman" w:cs="Times New Roman"/>
          <w:sz w:val="28"/>
          <w:szCs w:val="28"/>
        </w:rPr>
        <w:t>целевы</w:t>
      </w:r>
      <w:r w:rsidR="003953A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3953AA">
        <w:rPr>
          <w:rFonts w:ascii="Times New Roman" w:hAnsi="Times New Roman" w:cs="Times New Roman"/>
          <w:sz w:val="28"/>
          <w:szCs w:val="28"/>
        </w:rPr>
        <w:t>ям:</w:t>
      </w:r>
    </w:p>
    <w:p w:rsidR="00ED7396" w:rsidRDefault="00ED7396" w:rsidP="00ED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708"/>
        <w:gridCol w:w="851"/>
        <w:gridCol w:w="709"/>
        <w:gridCol w:w="708"/>
        <w:gridCol w:w="709"/>
        <w:gridCol w:w="703"/>
      </w:tblGrid>
      <w:tr w:rsidR="00ED7396" w:rsidRPr="00AC6AA7" w:rsidTr="0051432A">
        <w:tc>
          <w:tcPr>
            <w:tcW w:w="3823" w:type="dxa"/>
            <w:vMerge w:val="restart"/>
          </w:tcPr>
          <w:p w:rsidR="00ED7396" w:rsidRPr="00AC6AA7" w:rsidRDefault="00ED7396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Наименование цели, задач, целевых показателей</w:t>
            </w:r>
          </w:p>
        </w:tc>
        <w:tc>
          <w:tcPr>
            <w:tcW w:w="1134" w:type="dxa"/>
            <w:vMerge w:val="restart"/>
          </w:tcPr>
          <w:p w:rsidR="00ED7396" w:rsidRPr="00AC6AA7" w:rsidRDefault="00ED7396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Ед изм.</w:t>
            </w:r>
          </w:p>
        </w:tc>
        <w:tc>
          <w:tcPr>
            <w:tcW w:w="4388" w:type="dxa"/>
            <w:gridSpan w:val="6"/>
            <w:tcBorders>
              <w:bottom w:val="single" w:sz="4" w:space="0" w:color="auto"/>
            </w:tcBorders>
          </w:tcPr>
          <w:p w:rsidR="00ED7396" w:rsidRPr="00AC6AA7" w:rsidRDefault="00ED7396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Значение целевого показателя реализации муниципальной 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годам</w:t>
            </w:r>
          </w:p>
        </w:tc>
      </w:tr>
      <w:tr w:rsidR="00F82D15" w:rsidRPr="00AC6AA7" w:rsidTr="0051432A">
        <w:tc>
          <w:tcPr>
            <w:tcW w:w="3823" w:type="dxa"/>
            <w:vMerge/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5" w:rsidRPr="00AC6AA7" w:rsidRDefault="00F82D15" w:rsidP="00DD3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A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ED7396" w:rsidRPr="00AC6AA7" w:rsidTr="00F82D15">
        <w:trPr>
          <w:trHeight w:val="519"/>
        </w:trPr>
        <w:tc>
          <w:tcPr>
            <w:tcW w:w="9345" w:type="dxa"/>
            <w:gridSpan w:val="8"/>
          </w:tcPr>
          <w:p w:rsidR="00ED7396" w:rsidRDefault="00ED7396" w:rsidP="009569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965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="0095697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A09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697D">
              <w:rPr>
                <w:rFonts w:ascii="Times New Roman" w:hAnsi="Times New Roman"/>
                <w:b/>
                <w:sz w:val="20"/>
                <w:szCs w:val="20"/>
              </w:rPr>
              <w:t>Предоставление государственной поддержки в решении жилищной проблемы молодым семьям, признанным в установленном порядке</w:t>
            </w:r>
            <w:r w:rsidR="000A73CF">
              <w:rPr>
                <w:rFonts w:ascii="Times New Roman" w:hAnsi="Times New Roman"/>
                <w:b/>
                <w:sz w:val="20"/>
                <w:szCs w:val="20"/>
              </w:rPr>
              <w:t xml:space="preserve"> нуждающимися в улучшении жилищных условий</w:t>
            </w:r>
          </w:p>
        </w:tc>
      </w:tr>
      <w:tr w:rsidR="00F82D15" w:rsidRPr="00AC6AA7" w:rsidTr="0051432A">
        <w:tc>
          <w:tcPr>
            <w:tcW w:w="3823" w:type="dxa"/>
          </w:tcPr>
          <w:p w:rsidR="00ED7396" w:rsidRDefault="000A73CF" w:rsidP="000A7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молодых семей, нуждающихся в улучшении жилищных условий, которым предоставлены социальные выплаты</w:t>
            </w:r>
          </w:p>
        </w:tc>
        <w:tc>
          <w:tcPr>
            <w:tcW w:w="1134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семей</w:t>
            </w:r>
          </w:p>
        </w:tc>
        <w:tc>
          <w:tcPr>
            <w:tcW w:w="708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D7396" w:rsidRPr="00AC6AA7" w:rsidTr="00F82D15">
        <w:tc>
          <w:tcPr>
            <w:tcW w:w="9345" w:type="dxa"/>
            <w:gridSpan w:val="8"/>
          </w:tcPr>
          <w:p w:rsidR="00ED7396" w:rsidRPr="00B32E66" w:rsidRDefault="000A73CF" w:rsidP="000A73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3CF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A73CF">
              <w:rPr>
                <w:rFonts w:ascii="Times New Roman" w:hAnsi="Times New Roman"/>
                <w:b/>
                <w:sz w:val="20"/>
                <w:szCs w:val="20"/>
              </w:rPr>
              <w:t xml:space="preserve">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финансовой поддержки молодым семьям на погашение основной суммы долга и процентов по ипотечным жилищным кредитам (займам)</w:t>
            </w:r>
          </w:p>
        </w:tc>
      </w:tr>
      <w:tr w:rsidR="00F82D15" w:rsidRPr="00AC6AA7" w:rsidTr="0051432A">
        <w:tc>
          <w:tcPr>
            <w:tcW w:w="3823" w:type="dxa"/>
          </w:tcPr>
          <w:p w:rsidR="00ED7396" w:rsidRDefault="000A73CF" w:rsidP="000A73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молодых семей, которым предоставлены социальные выплаты на погашение основной суммы долга и процентов по ипотечным жилищным кредитам (займам)</w:t>
            </w:r>
          </w:p>
        </w:tc>
        <w:tc>
          <w:tcPr>
            <w:tcW w:w="1134" w:type="dxa"/>
            <w:vAlign w:val="center"/>
          </w:tcPr>
          <w:p w:rsidR="00ED7396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семей</w:t>
            </w:r>
          </w:p>
        </w:tc>
        <w:tc>
          <w:tcPr>
            <w:tcW w:w="708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ED7396" w:rsidRPr="00AC6AA7" w:rsidRDefault="000A73CF" w:rsidP="00DD30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D7396" w:rsidRPr="00E74F15" w:rsidRDefault="00E74F15" w:rsidP="00ED73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E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значений показателей по вышеуказанным целевым показателям указывают на отсутствие потребности достижения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Pr="00E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Программы.</w:t>
      </w:r>
    </w:p>
    <w:p w:rsidR="00DD348D" w:rsidRDefault="008673BE" w:rsidP="00AA3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DD3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41A">
        <w:rPr>
          <w:rFonts w:ascii="Times New Roman" w:eastAsia="Calibri" w:hAnsi="Times New Roman" w:cs="Times New Roman"/>
          <w:sz w:val="28"/>
          <w:szCs w:val="28"/>
        </w:rPr>
        <w:t>Согласно утвержденному Порядку в графе 10 приложения №1 «Цели, задачи и целевые показатели реализации муниципальной Программы» указывается источник</w:t>
      </w:r>
      <w:r w:rsidR="00B810BA">
        <w:rPr>
          <w:rFonts w:ascii="Times New Roman" w:eastAsia="Calibri" w:hAnsi="Times New Roman" w:cs="Times New Roman"/>
          <w:sz w:val="28"/>
          <w:szCs w:val="28"/>
        </w:rPr>
        <w:t xml:space="preserve"> значений показателей</w:t>
      </w:r>
      <w:r w:rsidR="00DD348D">
        <w:rPr>
          <w:rFonts w:ascii="Times New Roman" w:eastAsia="Calibri" w:hAnsi="Times New Roman" w:cs="Times New Roman"/>
          <w:sz w:val="28"/>
          <w:szCs w:val="28"/>
        </w:rPr>
        <w:t xml:space="preserve"> – сокращенное наименование документов, ссылки на Указы Президенты РФ, другие источники – нормативные, статистические или ведомственные показатели.</w:t>
      </w:r>
    </w:p>
    <w:p w:rsidR="00DD348D" w:rsidRDefault="00DD348D" w:rsidP="00D92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счетная палата отмечает некорректность указания в приложении №1 к проекту муниципальной Программы в качестве источников значений показателей - Акт выполненных работ (по целевым показателям</w:t>
      </w:r>
      <w:r w:rsidR="009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1.3.1., 2.1.1., 2.2.1., 2.2.2., 2.2.3.,)</w:t>
      </w:r>
    </w:p>
    <w:p w:rsidR="00D92636" w:rsidRPr="00D92636" w:rsidRDefault="00DD348D" w:rsidP="00D92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636"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636"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 «План мероприятий</w:t>
      </w:r>
      <w:r w:rsid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муниципальной Программы</w:t>
      </w:r>
      <w:r w:rsidR="00D92636"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определены мероприятия с объемом</w:t>
      </w:r>
      <w:r w:rsid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0,0 рублей по </w:t>
      </w:r>
      <w:r w:rsidR="00D92636"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2636"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«Доступная среда на территории городского округа Верхняя Пышма до 2020 года</w:t>
      </w:r>
      <w:r w:rsid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4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2636" w:rsidRPr="00D92636" w:rsidRDefault="00D92636" w:rsidP="00D926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паспортизации объектов социальной инфраструктуры, находящихся в муниципальной собственности</w:t>
      </w:r>
      <w:r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36" w:rsidRPr="00D92636" w:rsidRDefault="00D92636" w:rsidP="00D926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3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D4B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социальной рекламы по вопросам формирования доступной среды для инвалидов и иных маломобильных групп населения, в том числе информационных материалов Министерства труда и социальной защиты Российской Федерации на телевидении городского округа Верхняя Пышма.</w:t>
      </w:r>
    </w:p>
    <w:p w:rsidR="00E556E8" w:rsidRDefault="00D92636" w:rsidP="00D926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10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мнению счетной палаты</w:t>
      </w:r>
      <w:r w:rsidRPr="00D92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выполнение данных мероприятий и</w:t>
      </w:r>
      <w:r w:rsidR="00610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соответственно достижение</w:t>
      </w:r>
      <w:r w:rsidRPr="00D92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целев</w:t>
      </w:r>
      <w:r w:rsidR="00610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D92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показателей невозможно.</w:t>
      </w:r>
    </w:p>
    <w:p w:rsidR="00D92636" w:rsidRDefault="00E556E8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</w:t>
      </w:r>
      <w:r w:rsidR="000D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муниципальной Программы, указано, что подпрограмма </w:t>
      </w:r>
      <w:r w:rsidRPr="00950F8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Профилактика инфекционных заболеваний</w:t>
      </w:r>
      <w:r w:rsidRPr="00950F89">
        <w:rPr>
          <w:rFonts w:ascii="Times New Roman" w:eastAsia="Calibri" w:hAnsi="Times New Roman" w:cs="Times New Roman"/>
          <w:sz w:val="28"/>
          <w:szCs w:val="28"/>
        </w:rPr>
        <w:t xml:space="preserve"> в городском округе Верхняя Пышма до 2020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с Законом Свердловской области от 21.12.2001 №73-ОЗ «Об иммунопрофилактике инфекционных болезней на территории Свердловской области».</w:t>
      </w:r>
    </w:p>
    <w:p w:rsidR="000C36B9" w:rsidRDefault="00E556E8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Счетная палата обращает внимание на то, что согласно статьи 27 Закона Свердловской области от</w:t>
      </w:r>
      <w:r w:rsidR="002F4C4D">
        <w:rPr>
          <w:rFonts w:ascii="Times New Roman" w:eastAsia="Calibri" w:hAnsi="Times New Roman" w:cs="Times New Roman"/>
          <w:sz w:val="28"/>
          <w:szCs w:val="28"/>
        </w:rPr>
        <w:t xml:space="preserve"> 21.11.2012 №91-ОЗ «Об охране здоровья граждан в Свердловской области»</w:t>
      </w:r>
      <w:r w:rsidR="002F4C4D" w:rsidRPr="002F4C4D">
        <w:rPr>
          <w:rFonts w:ascii="Times New Roman" w:eastAsia="Calibri" w:hAnsi="Times New Roman" w:cs="Times New Roman"/>
          <w:sz w:val="28"/>
          <w:szCs w:val="28"/>
        </w:rPr>
        <w:t xml:space="preserve"> Закон Свердловской области от 21.12.2001 №73-ОЗ «Об иммунопрофилактике инфекционных болезней на территории Свердловской области»</w:t>
      </w:r>
      <w:r w:rsidR="002F4C4D">
        <w:rPr>
          <w:rFonts w:ascii="Times New Roman" w:eastAsia="Calibri" w:hAnsi="Times New Roman" w:cs="Times New Roman"/>
          <w:sz w:val="28"/>
          <w:szCs w:val="28"/>
        </w:rPr>
        <w:t xml:space="preserve"> признан утратившим силу.</w:t>
      </w:r>
    </w:p>
    <w:p w:rsidR="00197600" w:rsidRDefault="00197600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плане Программы предусмотрены мероприятия</w:t>
      </w:r>
      <w:r w:rsidR="00B34653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7600" w:rsidRDefault="00197600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«Обеспечение иммунизации детей городского округа Верхняя Пышма в возрасте от 1,5 до 17 лет по прививаемым инфекциям (ревакцинация против клещевого энцефалита);</w:t>
      </w:r>
    </w:p>
    <w:p w:rsidR="00197600" w:rsidRDefault="00197600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="00B34653">
        <w:rPr>
          <w:rFonts w:ascii="Times New Roman" w:eastAsia="Calibri" w:hAnsi="Times New Roman" w:cs="Times New Roman"/>
          <w:sz w:val="28"/>
          <w:szCs w:val="28"/>
        </w:rPr>
        <w:t>Обеспечение иммунизации детей городского округа Верхняя Пышма в возрасте от 6 до 12 лет по прививаемым инфекциям (вакцинация против гепатита А).</w:t>
      </w:r>
    </w:p>
    <w:p w:rsidR="000C36B9" w:rsidRPr="000C36B9" w:rsidRDefault="000C36B9" w:rsidP="000C36B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B9">
        <w:rPr>
          <w:rFonts w:ascii="Times New Roman" w:eastAsia="Calibri" w:hAnsi="Times New Roman" w:cs="Times New Roman"/>
          <w:sz w:val="28"/>
          <w:szCs w:val="28"/>
        </w:rPr>
        <w:lastRenderedPageBreak/>
        <w:t>Счетная палата обращает внимание на то, что согласно пункту 2 Постановления Правительства и Свердловской области от 23.12.2003 №836-ПП «О профилактике гепатитов А и В в Свердловской области» органам местного самоуправления муниципальных образований в Свердловской области рекомендовано:</w:t>
      </w:r>
    </w:p>
    <w:p w:rsidR="000C36B9" w:rsidRPr="000C36B9" w:rsidRDefault="000C36B9" w:rsidP="000C36B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B9">
        <w:rPr>
          <w:rFonts w:ascii="Times New Roman" w:eastAsia="Calibri" w:hAnsi="Times New Roman" w:cs="Times New Roman"/>
          <w:sz w:val="28"/>
          <w:szCs w:val="28"/>
        </w:rPr>
        <w:t>1) разработать муниципальные программы "Вакцинопрофилактика гепатитов A и B";</w:t>
      </w:r>
    </w:p>
    <w:p w:rsidR="000C36B9" w:rsidRPr="000C36B9" w:rsidRDefault="000C36B9" w:rsidP="000C36B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B9">
        <w:rPr>
          <w:rFonts w:ascii="Times New Roman" w:eastAsia="Calibri" w:hAnsi="Times New Roman" w:cs="Times New Roman"/>
          <w:sz w:val="28"/>
          <w:szCs w:val="28"/>
        </w:rPr>
        <w:t>2) оказывать содействие в проведении профилактических прививок против гепатитов A и B;</w:t>
      </w:r>
    </w:p>
    <w:p w:rsidR="000C36B9" w:rsidRDefault="000C36B9" w:rsidP="000C36B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B9">
        <w:rPr>
          <w:rFonts w:ascii="Times New Roman" w:eastAsia="Calibri" w:hAnsi="Times New Roman" w:cs="Times New Roman"/>
          <w:sz w:val="28"/>
          <w:szCs w:val="28"/>
        </w:rPr>
        <w:t>3) при формировании местных бюджетов предусматривать финансирование мероприятий по вакцинопрофилактике гепатитов A и B.</w:t>
      </w:r>
    </w:p>
    <w:p w:rsidR="000231C7" w:rsidRDefault="00197600" w:rsidP="0019760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60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ышеуказанные рекомендации даны органам местного самоуправления муниципальных образований в Свердловской области</w:t>
      </w:r>
      <w:r w:rsidRPr="00197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97600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подпунктом 5 пункта 2 статьи 7 Закона Свердловской области от 21 декабря 2001 года N 73-ОЗ "Об иммунопрофилактике инфекционных болезней на территории Свердловской области"</w:t>
      </w:r>
      <w:r w:rsidR="00B34653">
        <w:rPr>
          <w:rFonts w:ascii="Times New Roman" w:eastAsia="Calibri" w:hAnsi="Times New Roman" w:cs="Times New Roman"/>
          <w:sz w:val="28"/>
          <w:szCs w:val="28"/>
        </w:rPr>
        <w:t>, который признан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6B9" w:rsidRDefault="000C36B9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DCA" w:rsidRDefault="00E94DCA" w:rsidP="00D92636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6 Федерального закона от 17.09.1998 №157-ФЗ (в ред.</w:t>
      </w:r>
      <w:r w:rsidR="00C7648B">
        <w:rPr>
          <w:rFonts w:ascii="Times New Roman" w:eastAsia="Calibri" w:hAnsi="Times New Roman" w:cs="Times New Roman"/>
          <w:sz w:val="28"/>
          <w:szCs w:val="28"/>
        </w:rPr>
        <w:t xml:space="preserve"> от 21.12.2013) «Об иммунопрофилактике инфекционных болезней»</w:t>
      </w:r>
      <w:r w:rsidR="002F4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1F5">
        <w:rPr>
          <w:rFonts w:ascii="Times New Roman" w:eastAsia="Calibri" w:hAnsi="Times New Roman" w:cs="Times New Roman"/>
          <w:sz w:val="28"/>
          <w:szCs w:val="28"/>
        </w:rPr>
        <w:t>«Ф</w:t>
      </w:r>
      <w:r w:rsidR="002F4C15">
        <w:rPr>
          <w:rFonts w:ascii="Times New Roman" w:eastAsia="Calibri" w:hAnsi="Times New Roman" w:cs="Times New Roman"/>
          <w:sz w:val="28"/>
          <w:szCs w:val="28"/>
        </w:rPr>
        <w:t>инансовое обеспечение иммунопрофилактики</w:t>
      </w:r>
      <w:r w:rsidR="000F31F5">
        <w:rPr>
          <w:rFonts w:ascii="Times New Roman" w:eastAsia="Calibri" w:hAnsi="Times New Roman" w:cs="Times New Roman"/>
          <w:sz w:val="28"/>
          <w:szCs w:val="28"/>
        </w:rPr>
        <w:t>» определено</w:t>
      </w:r>
      <w:r w:rsidR="002F4C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4C15" w:rsidRPr="002F4C15" w:rsidRDefault="002F4C15" w:rsidP="002F4C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</w:t>
      </w:r>
      <w:r w:rsidRPr="002F4C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расходным обязательством Российской Федерации</w:t>
      </w:r>
      <w:r w:rsidRPr="002F4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C15" w:rsidRDefault="002F4C15" w:rsidP="002F4C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C26554" w:rsidRDefault="002F4C15" w:rsidP="00417A53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4C15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вышеизложенное, а также тот факт, что </w:t>
      </w:r>
      <w:r w:rsidR="00417A53" w:rsidRPr="00417A5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прививок, включенных в Национальный календарь профилактических прививок, является </w:t>
      </w:r>
      <w:r w:rsidR="00417A53" w:rsidRPr="00417A53">
        <w:rPr>
          <w:rFonts w:ascii="Times New Roman" w:hAnsi="Times New Roman" w:cs="Times New Roman"/>
          <w:sz w:val="28"/>
          <w:szCs w:val="28"/>
          <w:u w:val="single"/>
        </w:rPr>
        <w:t>расходным обязательством Российской Федерации</w:t>
      </w:r>
      <w:r w:rsidR="00417A53" w:rsidRPr="00417A53">
        <w:rPr>
          <w:rFonts w:ascii="Times New Roman" w:hAnsi="Times New Roman" w:cs="Times New Roman"/>
          <w:sz w:val="28"/>
          <w:szCs w:val="28"/>
        </w:rPr>
        <w:t>,</w:t>
      </w:r>
      <w:r w:rsidR="00211E10">
        <w:rPr>
          <w:rFonts w:ascii="Times New Roman" w:hAnsi="Times New Roman" w:cs="Times New Roman"/>
          <w:sz w:val="28"/>
          <w:szCs w:val="28"/>
        </w:rPr>
        <w:t xml:space="preserve"> включение в Программу мероприятий по</w:t>
      </w:r>
      <w:r w:rsidR="00417A53">
        <w:rPr>
          <w:rFonts w:ascii="Times New Roman" w:hAnsi="Times New Roman" w:cs="Times New Roman"/>
          <w:sz w:val="28"/>
          <w:szCs w:val="28"/>
        </w:rPr>
        <w:t xml:space="preserve"> </w:t>
      </w:r>
      <w:r w:rsidR="00417A53" w:rsidRPr="00417A53">
        <w:rPr>
          <w:rFonts w:ascii="Times New Roman" w:hAnsi="Times New Roman" w:cs="Times New Roman"/>
          <w:sz w:val="28"/>
          <w:szCs w:val="28"/>
        </w:rPr>
        <w:t>проведени</w:t>
      </w:r>
      <w:r w:rsidR="00211E10">
        <w:rPr>
          <w:rFonts w:ascii="Times New Roman" w:hAnsi="Times New Roman" w:cs="Times New Roman"/>
          <w:sz w:val="28"/>
          <w:szCs w:val="28"/>
        </w:rPr>
        <w:t>ю</w:t>
      </w:r>
      <w:r w:rsidR="00417A53">
        <w:rPr>
          <w:rFonts w:ascii="Times New Roman" w:hAnsi="Times New Roman" w:cs="Times New Roman"/>
          <w:sz w:val="28"/>
          <w:szCs w:val="28"/>
        </w:rPr>
        <w:t xml:space="preserve"> иммунизации</w:t>
      </w:r>
      <w:r w:rsidR="00211E10">
        <w:rPr>
          <w:rFonts w:ascii="Times New Roman" w:hAnsi="Times New Roman" w:cs="Times New Roman"/>
          <w:sz w:val="28"/>
          <w:szCs w:val="28"/>
        </w:rPr>
        <w:t xml:space="preserve"> по прививаемым инфекциям</w:t>
      </w:r>
      <w:r w:rsidR="00417A53">
        <w:rPr>
          <w:rFonts w:ascii="Times New Roman" w:hAnsi="Times New Roman" w:cs="Times New Roman"/>
          <w:sz w:val="28"/>
          <w:szCs w:val="28"/>
        </w:rPr>
        <w:t xml:space="preserve"> населения счетная палата городского округа считает не правомерным.</w:t>
      </w:r>
    </w:p>
    <w:p w:rsidR="00ED7396" w:rsidRPr="00C26554" w:rsidRDefault="00ED7396" w:rsidP="0051432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65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палатой нарушений и замечаний, изложенных в настоящем заключении, необходимо внести в проект Программы соответствующие изменения.</w:t>
      </w:r>
    </w:p>
    <w:p w:rsidR="00ED7396" w:rsidRDefault="00ED7396" w:rsidP="00ED7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96" w:rsidRDefault="00ED7396" w:rsidP="00ED7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96" w:rsidRPr="00633926" w:rsidRDefault="00ED7396" w:rsidP="00ED7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счетной палаты</w:t>
      </w:r>
    </w:p>
    <w:p w:rsidR="00ED7396" w:rsidRPr="00633926" w:rsidRDefault="00ED7396" w:rsidP="00ED7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Верхняя Пышма                                             Л.И. Некрасова</w:t>
      </w:r>
    </w:p>
    <w:p w:rsidR="00C26554" w:rsidRDefault="00C26554" w:rsidP="00C370F9"/>
    <w:p w:rsidR="00C26554" w:rsidRDefault="00C26554" w:rsidP="00C370F9"/>
    <w:p w:rsidR="00C26554" w:rsidRDefault="00C26554" w:rsidP="00C370F9"/>
    <w:p w:rsidR="00C26554" w:rsidRDefault="00C26554" w:rsidP="00C370F9"/>
    <w:p w:rsidR="00C26554" w:rsidRDefault="00C26554" w:rsidP="00C370F9"/>
    <w:p w:rsidR="00C26554" w:rsidRDefault="00C26554" w:rsidP="00C370F9"/>
    <w:p w:rsidR="00C26554" w:rsidRDefault="00C26554" w:rsidP="00C370F9"/>
    <w:p w:rsidR="00C370F9" w:rsidRPr="0046578C" w:rsidRDefault="00C370F9" w:rsidP="004657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0F9" w:rsidRPr="00465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60" w:rsidRDefault="00A87C60" w:rsidP="003953AA">
      <w:pPr>
        <w:spacing w:after="0" w:line="240" w:lineRule="auto"/>
      </w:pPr>
      <w:r>
        <w:separator/>
      </w:r>
    </w:p>
  </w:endnote>
  <w:endnote w:type="continuationSeparator" w:id="0">
    <w:p w:rsidR="00A87C60" w:rsidRDefault="00A87C60" w:rsidP="0039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A" w:rsidRDefault="003953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860958"/>
      <w:docPartObj>
        <w:docPartGallery w:val="Page Numbers (Bottom of Page)"/>
        <w:docPartUnique/>
      </w:docPartObj>
    </w:sdtPr>
    <w:sdtEndPr/>
    <w:sdtContent>
      <w:p w:rsidR="003953AA" w:rsidRDefault="003953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57">
          <w:rPr>
            <w:noProof/>
          </w:rPr>
          <w:t>2</w:t>
        </w:r>
        <w:r>
          <w:fldChar w:fldCharType="end"/>
        </w:r>
      </w:p>
    </w:sdtContent>
  </w:sdt>
  <w:p w:rsidR="003953AA" w:rsidRDefault="003953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A" w:rsidRDefault="003953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60" w:rsidRDefault="00A87C60" w:rsidP="003953AA">
      <w:pPr>
        <w:spacing w:after="0" w:line="240" w:lineRule="auto"/>
      </w:pPr>
      <w:r>
        <w:separator/>
      </w:r>
    </w:p>
  </w:footnote>
  <w:footnote w:type="continuationSeparator" w:id="0">
    <w:p w:rsidR="00A87C60" w:rsidRDefault="00A87C60" w:rsidP="0039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A" w:rsidRDefault="003953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A" w:rsidRDefault="003953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A" w:rsidRDefault="003953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7473"/>
    <w:multiLevelType w:val="hybridMultilevel"/>
    <w:tmpl w:val="FDFAE62C"/>
    <w:lvl w:ilvl="0" w:tplc="5624F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0"/>
    <w:rsid w:val="00004B29"/>
    <w:rsid w:val="000231C7"/>
    <w:rsid w:val="000239DA"/>
    <w:rsid w:val="00034547"/>
    <w:rsid w:val="00034857"/>
    <w:rsid w:val="00070B87"/>
    <w:rsid w:val="000855C7"/>
    <w:rsid w:val="000A2EA2"/>
    <w:rsid w:val="000A73CF"/>
    <w:rsid w:val="000C36B9"/>
    <w:rsid w:val="000D24FE"/>
    <w:rsid w:val="000F31F5"/>
    <w:rsid w:val="001659B9"/>
    <w:rsid w:val="00172DA0"/>
    <w:rsid w:val="00197600"/>
    <w:rsid w:val="001B3948"/>
    <w:rsid w:val="001D2F05"/>
    <w:rsid w:val="001E3382"/>
    <w:rsid w:val="001E538F"/>
    <w:rsid w:val="001F25F9"/>
    <w:rsid w:val="0020067C"/>
    <w:rsid w:val="00211E10"/>
    <w:rsid w:val="002336AC"/>
    <w:rsid w:val="00252866"/>
    <w:rsid w:val="0028050F"/>
    <w:rsid w:val="002A049E"/>
    <w:rsid w:val="002C4B7C"/>
    <w:rsid w:val="002D4BE7"/>
    <w:rsid w:val="002F4C15"/>
    <w:rsid w:val="002F4C4D"/>
    <w:rsid w:val="0033276A"/>
    <w:rsid w:val="00361B40"/>
    <w:rsid w:val="003815A9"/>
    <w:rsid w:val="003953AA"/>
    <w:rsid w:val="003B066C"/>
    <w:rsid w:val="00417A53"/>
    <w:rsid w:val="004210DC"/>
    <w:rsid w:val="0045661F"/>
    <w:rsid w:val="0046578C"/>
    <w:rsid w:val="004A156A"/>
    <w:rsid w:val="004D2A82"/>
    <w:rsid w:val="0051432A"/>
    <w:rsid w:val="00526264"/>
    <w:rsid w:val="00551F37"/>
    <w:rsid w:val="005607D7"/>
    <w:rsid w:val="005A3375"/>
    <w:rsid w:val="005A3839"/>
    <w:rsid w:val="005B3C2D"/>
    <w:rsid w:val="005F67A8"/>
    <w:rsid w:val="006107A6"/>
    <w:rsid w:val="00613B9D"/>
    <w:rsid w:val="00633655"/>
    <w:rsid w:val="00640EDA"/>
    <w:rsid w:val="00662774"/>
    <w:rsid w:val="00665E35"/>
    <w:rsid w:val="00697B9F"/>
    <w:rsid w:val="006A17E7"/>
    <w:rsid w:val="006B0005"/>
    <w:rsid w:val="006C6934"/>
    <w:rsid w:val="006D3638"/>
    <w:rsid w:val="006D4BAA"/>
    <w:rsid w:val="007114F0"/>
    <w:rsid w:val="00767EEC"/>
    <w:rsid w:val="007872B3"/>
    <w:rsid w:val="007B73CB"/>
    <w:rsid w:val="007C04DB"/>
    <w:rsid w:val="007E54DB"/>
    <w:rsid w:val="00812DB9"/>
    <w:rsid w:val="0082544B"/>
    <w:rsid w:val="008673BE"/>
    <w:rsid w:val="008B23C0"/>
    <w:rsid w:val="008E7F0A"/>
    <w:rsid w:val="008F366D"/>
    <w:rsid w:val="008F67DC"/>
    <w:rsid w:val="008F6909"/>
    <w:rsid w:val="00900807"/>
    <w:rsid w:val="00906910"/>
    <w:rsid w:val="00942ACE"/>
    <w:rsid w:val="00950F89"/>
    <w:rsid w:val="0095697D"/>
    <w:rsid w:val="009642ED"/>
    <w:rsid w:val="00972924"/>
    <w:rsid w:val="009C0E16"/>
    <w:rsid w:val="009C1F78"/>
    <w:rsid w:val="009E6498"/>
    <w:rsid w:val="009F1381"/>
    <w:rsid w:val="009F5FC6"/>
    <w:rsid w:val="00A042F2"/>
    <w:rsid w:val="00A56257"/>
    <w:rsid w:val="00A62228"/>
    <w:rsid w:val="00A71B21"/>
    <w:rsid w:val="00A75BD9"/>
    <w:rsid w:val="00A87C60"/>
    <w:rsid w:val="00A90FD3"/>
    <w:rsid w:val="00AA36DC"/>
    <w:rsid w:val="00AD623E"/>
    <w:rsid w:val="00AF29FD"/>
    <w:rsid w:val="00B1389F"/>
    <w:rsid w:val="00B1560D"/>
    <w:rsid w:val="00B17815"/>
    <w:rsid w:val="00B221F3"/>
    <w:rsid w:val="00B32E66"/>
    <w:rsid w:val="00B330C5"/>
    <w:rsid w:val="00B34653"/>
    <w:rsid w:val="00B62BE0"/>
    <w:rsid w:val="00B63A74"/>
    <w:rsid w:val="00B810BA"/>
    <w:rsid w:val="00B9411E"/>
    <w:rsid w:val="00BB1AB9"/>
    <w:rsid w:val="00BB46EA"/>
    <w:rsid w:val="00BD48FC"/>
    <w:rsid w:val="00BD553A"/>
    <w:rsid w:val="00BF6997"/>
    <w:rsid w:val="00C255A8"/>
    <w:rsid w:val="00C26554"/>
    <w:rsid w:val="00C34A6E"/>
    <w:rsid w:val="00C370F9"/>
    <w:rsid w:val="00C4011E"/>
    <w:rsid w:val="00C513FA"/>
    <w:rsid w:val="00C5293C"/>
    <w:rsid w:val="00C543C2"/>
    <w:rsid w:val="00C7441A"/>
    <w:rsid w:val="00C7648B"/>
    <w:rsid w:val="00C8129F"/>
    <w:rsid w:val="00CA338E"/>
    <w:rsid w:val="00CD6C3C"/>
    <w:rsid w:val="00CD7070"/>
    <w:rsid w:val="00CE1CE0"/>
    <w:rsid w:val="00CF4D58"/>
    <w:rsid w:val="00D25A95"/>
    <w:rsid w:val="00D25EF0"/>
    <w:rsid w:val="00D35FA3"/>
    <w:rsid w:val="00D76CD6"/>
    <w:rsid w:val="00D92636"/>
    <w:rsid w:val="00DD348D"/>
    <w:rsid w:val="00DD3740"/>
    <w:rsid w:val="00DF2FB7"/>
    <w:rsid w:val="00E02F70"/>
    <w:rsid w:val="00E143F1"/>
    <w:rsid w:val="00E16F29"/>
    <w:rsid w:val="00E556E8"/>
    <w:rsid w:val="00E74F15"/>
    <w:rsid w:val="00E94DCA"/>
    <w:rsid w:val="00EA69E2"/>
    <w:rsid w:val="00EC7B44"/>
    <w:rsid w:val="00ED7396"/>
    <w:rsid w:val="00F03916"/>
    <w:rsid w:val="00F12DEC"/>
    <w:rsid w:val="00F41B8B"/>
    <w:rsid w:val="00F7040E"/>
    <w:rsid w:val="00F82D15"/>
    <w:rsid w:val="00F90E3D"/>
    <w:rsid w:val="00F94708"/>
    <w:rsid w:val="00FD5866"/>
    <w:rsid w:val="00FE01E3"/>
    <w:rsid w:val="00FE42E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137E-AA9F-44BD-9057-7077290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1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556E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3AA"/>
  </w:style>
  <w:style w:type="paragraph" w:styleId="aa">
    <w:name w:val="footer"/>
    <w:basedOn w:val="a"/>
    <w:link w:val="ab"/>
    <w:uiPriority w:val="99"/>
    <w:unhideWhenUsed/>
    <w:rsid w:val="0039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9976-8DBB-44FB-B0F0-5E1BD44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Ивановна</dc:creator>
  <cp:keywords/>
  <dc:description/>
  <cp:lastModifiedBy>Смирнова Ирина Ивановна</cp:lastModifiedBy>
  <cp:revision>157</cp:revision>
  <cp:lastPrinted>2014-09-22T03:09:00Z</cp:lastPrinted>
  <dcterms:created xsi:type="dcterms:W3CDTF">2014-08-08T05:01:00Z</dcterms:created>
  <dcterms:modified xsi:type="dcterms:W3CDTF">2014-09-22T03:28:00Z</dcterms:modified>
</cp:coreProperties>
</file>