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6F" w:rsidRDefault="000C3402">
      <w:pPr>
        <w:pStyle w:val="a3"/>
        <w:rPr>
          <w:sz w:val="40"/>
          <w:szCs w:val="40"/>
        </w:rPr>
      </w:pPr>
      <w:r>
        <w:rPr>
          <w:sz w:val="40"/>
          <w:szCs w:val="40"/>
        </w:rPr>
        <w:t>РЕШЕНИЕ</w:t>
      </w:r>
    </w:p>
    <w:p w:rsidR="005F116F" w:rsidRDefault="000C3402">
      <w:pPr>
        <w:pStyle w:val="a4"/>
        <w:rPr>
          <w:b/>
          <w:bCs/>
        </w:rPr>
      </w:pPr>
      <w:r>
        <w:rPr>
          <w:b/>
          <w:bCs/>
        </w:rPr>
        <w:t>Думы городского округа Верхняя Пышма</w:t>
      </w:r>
    </w:p>
    <w:p w:rsidR="00C160D7" w:rsidRPr="00C160D7" w:rsidRDefault="00C160D7" w:rsidP="00C160D7">
      <w:pPr>
        <w:jc w:val="both"/>
        <w:rPr>
          <w:sz w:val="18"/>
          <w:szCs w:val="18"/>
        </w:rPr>
      </w:pPr>
    </w:p>
    <w:p w:rsidR="00C160D7" w:rsidRPr="00C160D7" w:rsidRDefault="00C160D7" w:rsidP="00C160D7">
      <w:pPr>
        <w:jc w:val="both"/>
        <w:rPr>
          <w:sz w:val="16"/>
          <w:szCs w:val="16"/>
        </w:rPr>
      </w:pPr>
    </w:p>
    <w:p w:rsidR="005F116F" w:rsidRPr="006275BC" w:rsidRDefault="000C3402">
      <w:r w:rsidRPr="006275BC">
        <w:t xml:space="preserve">от </w:t>
      </w:r>
      <w:r w:rsidR="005864EA" w:rsidRPr="006275BC">
        <w:t>21</w:t>
      </w:r>
      <w:r w:rsidR="006275BC" w:rsidRPr="006275BC">
        <w:t xml:space="preserve"> декабря 2017 года № 67/7</w:t>
      </w:r>
    </w:p>
    <w:p w:rsidR="00C160D7" w:rsidRPr="00C160D7" w:rsidRDefault="00C160D7" w:rsidP="00C160D7">
      <w:pPr>
        <w:jc w:val="both"/>
        <w:rPr>
          <w:sz w:val="18"/>
          <w:szCs w:val="18"/>
        </w:rPr>
      </w:pPr>
    </w:p>
    <w:p w:rsidR="005F116F" w:rsidRPr="006275BC" w:rsidRDefault="000C3402">
      <w:pPr>
        <w:ind w:right="5383"/>
      </w:pPr>
      <w:r w:rsidRPr="006275BC">
        <w:t>Об итогах подготовки образовательных</w:t>
      </w:r>
      <w:r w:rsidRPr="006275BC">
        <w:rPr>
          <w:u w:val="single"/>
        </w:rPr>
        <w:t xml:space="preserve"> </w:t>
      </w:r>
      <w:r w:rsidRPr="006275BC">
        <w:t>учреждений городского округа Верхняя Пышма к началу 2017-2018 учебного года</w:t>
      </w:r>
    </w:p>
    <w:p w:rsidR="00C160D7" w:rsidRPr="00C160D7" w:rsidRDefault="00C160D7" w:rsidP="00C160D7">
      <w:pPr>
        <w:jc w:val="both"/>
        <w:rPr>
          <w:sz w:val="18"/>
          <w:szCs w:val="18"/>
        </w:rPr>
      </w:pPr>
    </w:p>
    <w:p w:rsidR="00C160D7" w:rsidRPr="00C160D7" w:rsidRDefault="00C160D7" w:rsidP="00C160D7">
      <w:pPr>
        <w:jc w:val="both"/>
        <w:rPr>
          <w:sz w:val="18"/>
          <w:szCs w:val="18"/>
        </w:rPr>
      </w:pPr>
    </w:p>
    <w:p w:rsidR="005F116F" w:rsidRPr="006275BC" w:rsidRDefault="000C3402" w:rsidP="00C160D7">
      <w:pPr>
        <w:ind w:firstLine="567"/>
        <w:jc w:val="both"/>
      </w:pPr>
      <w:proofErr w:type="gramStart"/>
      <w:r w:rsidRPr="006275BC">
        <w:t>Заслушав информацию администрации городского округа Верхняя Пышма об итогах</w:t>
      </w:r>
      <w:proofErr w:type="gramEnd"/>
      <w:r w:rsidRPr="006275BC">
        <w:t xml:space="preserve"> подготовки </w:t>
      </w:r>
      <w:r w:rsidR="00A4377F" w:rsidRPr="006275BC">
        <w:t>о</w:t>
      </w:r>
      <w:r w:rsidRPr="006275BC">
        <w:t>бразовательных учреждений городского округа Верхняя Пышма к началу 2017-2018 учебного года, Дума городского округа Верхняя Пышма установила следующее.</w:t>
      </w:r>
    </w:p>
    <w:p w:rsidR="005F116F" w:rsidRPr="006275BC" w:rsidRDefault="000C3402" w:rsidP="00C160D7">
      <w:pPr>
        <w:ind w:firstLine="567"/>
        <w:jc w:val="both"/>
      </w:pPr>
      <w:proofErr w:type="gramStart"/>
      <w:r w:rsidRPr="006275BC">
        <w:t xml:space="preserve">Решением Думы городского округа Верхняя Пышма от 22 декабря 2016 года № 52/1 «О бюджете городского округа Верхняя Пышма на 2017 год и плановый период 2018 и 2019 годов» (в редакции Решения Думы от 26 октября 2017 года № 65/1), в 2017 году на подготовку образовательных учреждений к 2017-2018 учебному году выделено </w:t>
      </w:r>
      <w:r w:rsidRPr="006275BC">
        <w:rPr>
          <w:b/>
        </w:rPr>
        <w:t xml:space="preserve">73 391,95 </w:t>
      </w:r>
      <w:r w:rsidRPr="006275BC">
        <w:t xml:space="preserve">тысячи рублей местного бюджета, привлечено </w:t>
      </w:r>
      <w:r w:rsidRPr="006275BC">
        <w:rPr>
          <w:b/>
        </w:rPr>
        <w:t>31,11</w:t>
      </w:r>
      <w:proofErr w:type="gramEnd"/>
      <w:r w:rsidRPr="006275BC">
        <w:rPr>
          <w:b/>
        </w:rPr>
        <w:t xml:space="preserve"> </w:t>
      </w:r>
      <w:r w:rsidRPr="006275BC">
        <w:t>тысячи рублей из внебюджетных источников.</w:t>
      </w:r>
    </w:p>
    <w:p w:rsidR="005F116F" w:rsidRPr="006275BC" w:rsidRDefault="000C3402" w:rsidP="00C160D7">
      <w:pPr>
        <w:tabs>
          <w:tab w:val="left" w:pos="709"/>
        </w:tabs>
        <w:ind w:firstLine="567"/>
        <w:jc w:val="both"/>
      </w:pPr>
      <w:r w:rsidRPr="006275BC">
        <w:t>Средства были направлены на реализацию следующих мероприятий муниципальных подпрограмм «Развитие системы образования на территории городского округа Верхняя Пышма до 2020 года», «Совершенствование организации питания учащихся образовательных учреждений на территории городского округа Верхняя Пышма до 2020 года»:</w:t>
      </w:r>
    </w:p>
    <w:p w:rsidR="005F116F" w:rsidRPr="006275BC" w:rsidRDefault="000C3402" w:rsidP="00C160D7">
      <w:pPr>
        <w:ind w:firstLine="567"/>
        <w:jc w:val="both"/>
      </w:pPr>
      <w:r w:rsidRPr="006275BC">
        <w:t xml:space="preserve">– на исполнение предписаний отделения надзорной деятельности и профилактической работы ГО Верхняя Пышма, ГО Среднеуральск УНД и </w:t>
      </w:r>
      <w:proofErr w:type="gramStart"/>
      <w:r w:rsidRPr="006275BC">
        <w:t>ПР</w:t>
      </w:r>
      <w:proofErr w:type="gramEnd"/>
      <w:r w:rsidRPr="006275BC">
        <w:t xml:space="preserve"> ГУ МЧС России по Свердловской области от 18.08.2016 года № 415-2-19-10, от 21.02.2017 года № 2/1/1, от 22.03.2017 года № 6/1/1, от 20.03.2017 года № 7/1/1, от 12.05.2017 года № 12/1/1, от 13.06.2017 года № 21/1/1, от 09.08.2017 года № </w:t>
      </w:r>
      <w:proofErr w:type="gramStart"/>
      <w:r w:rsidRPr="006275BC">
        <w:t xml:space="preserve">387-2-19-10, </w:t>
      </w:r>
      <w:r w:rsidR="00032AFF">
        <w:t>Межмуниципального отдела</w:t>
      </w:r>
      <w:r w:rsidRPr="006275BC">
        <w:t xml:space="preserve"> МВД России «</w:t>
      </w:r>
      <w:proofErr w:type="spellStart"/>
      <w:r w:rsidRPr="006275BC">
        <w:t>Верхнепышминский</w:t>
      </w:r>
      <w:proofErr w:type="spellEnd"/>
      <w:r w:rsidRPr="006275BC">
        <w:t xml:space="preserve">» от 17.08.2015 года № 17824, от 05.09.2017 года № 19/11917, Верхнепышминского ОВО – филиала ФГКУ УВО ГУ МВД России по Свердловской области от 22.06.2015 года № 24/23-612, по актам обследований от 04.08.2015 года, 23.05.2016 года, 09.08.2016 года – </w:t>
      </w:r>
      <w:r w:rsidRPr="006275BC">
        <w:rPr>
          <w:b/>
        </w:rPr>
        <w:t xml:space="preserve">6 585,53 </w:t>
      </w:r>
      <w:r w:rsidRPr="006275BC">
        <w:t>тысячи рублей средств местного бюджета (монтаж системы охранной сигнализации, системы охранного телевидения</w:t>
      </w:r>
      <w:r w:rsidR="00171FF7" w:rsidRPr="006275BC">
        <w:t>;</w:t>
      </w:r>
      <w:proofErr w:type="gramEnd"/>
      <w:r w:rsidRPr="006275BC">
        <w:t xml:space="preserve"> </w:t>
      </w:r>
      <w:proofErr w:type="gramStart"/>
      <w:r w:rsidRPr="006275BC">
        <w:t>установка громкоговорящей связи</w:t>
      </w:r>
      <w:r w:rsidR="00171FF7" w:rsidRPr="006275BC">
        <w:t xml:space="preserve"> и</w:t>
      </w:r>
      <w:r w:rsidRPr="006275BC">
        <w:t xml:space="preserve"> автоматических ворот</w:t>
      </w:r>
      <w:r w:rsidR="00171FF7" w:rsidRPr="006275BC">
        <w:t>;</w:t>
      </w:r>
      <w:r w:rsidRPr="006275BC">
        <w:t xml:space="preserve"> монтаж, замена систем видеонаблюдения</w:t>
      </w:r>
      <w:r w:rsidR="00171FF7" w:rsidRPr="006275BC">
        <w:t>;</w:t>
      </w:r>
      <w:r w:rsidRPr="006275BC">
        <w:t xml:space="preserve"> установка дополнительных видеокамер</w:t>
      </w:r>
      <w:r w:rsidR="00171FF7" w:rsidRPr="006275BC">
        <w:t>;</w:t>
      </w:r>
      <w:r w:rsidRPr="006275BC">
        <w:t xml:space="preserve"> устройство наружного освещения</w:t>
      </w:r>
      <w:r w:rsidR="00171FF7" w:rsidRPr="006275BC">
        <w:t>;</w:t>
      </w:r>
      <w:r w:rsidRPr="006275BC">
        <w:t xml:space="preserve"> обустройство второго эвакуационного выхода с установкой противопожарных дверей в помещении мастерской</w:t>
      </w:r>
      <w:r w:rsidR="00171FF7" w:rsidRPr="006275BC">
        <w:t>;</w:t>
      </w:r>
      <w:r w:rsidRPr="006275BC">
        <w:t xml:space="preserve"> монтаж и наладка системы пожарно-охранной сигнализации</w:t>
      </w:r>
      <w:r w:rsidR="00171FF7" w:rsidRPr="006275BC">
        <w:t>;</w:t>
      </w:r>
      <w:r w:rsidRPr="006275BC">
        <w:t xml:space="preserve"> установка противопожарных дверей</w:t>
      </w:r>
      <w:r w:rsidR="00171FF7" w:rsidRPr="006275BC">
        <w:t xml:space="preserve"> и</w:t>
      </w:r>
      <w:r w:rsidRPr="006275BC">
        <w:t xml:space="preserve"> противопожарных люков</w:t>
      </w:r>
      <w:r w:rsidR="00171FF7" w:rsidRPr="006275BC">
        <w:t>;</w:t>
      </w:r>
      <w:r w:rsidRPr="006275BC">
        <w:t xml:space="preserve"> расчет категории опасности помещений</w:t>
      </w:r>
      <w:r w:rsidR="00171FF7" w:rsidRPr="006275BC">
        <w:t>;</w:t>
      </w:r>
      <w:r w:rsidRPr="006275BC">
        <w:t xml:space="preserve"> обследование объектов защиты</w:t>
      </w:r>
      <w:r w:rsidR="00171FF7" w:rsidRPr="006275BC">
        <w:t>;</w:t>
      </w:r>
      <w:r w:rsidRPr="006275BC">
        <w:t xml:space="preserve"> проведение расчетов по оценке пожарного риска</w:t>
      </w:r>
      <w:r w:rsidR="00171FF7" w:rsidRPr="006275BC">
        <w:t>;</w:t>
      </w:r>
      <w:proofErr w:type="gramEnd"/>
      <w:r w:rsidRPr="006275BC">
        <w:t xml:space="preserve"> </w:t>
      </w:r>
      <w:proofErr w:type="gramStart"/>
      <w:r w:rsidRPr="006275BC">
        <w:t>оснащение системой цифрового IP-видеонаблюдения в средних общеобразовательных школах (далее – СОШ) № 2, 3, 4, 7, 9, 16, 22, 24, 33</w:t>
      </w:r>
      <w:r w:rsidR="00171FF7" w:rsidRPr="006275BC">
        <w:t>,</w:t>
      </w:r>
      <w:r w:rsidRPr="006275BC">
        <w:t xml:space="preserve"> основной общеобразовательной школе (далее – ООШ) № 29</w:t>
      </w:r>
      <w:r w:rsidR="00171FF7" w:rsidRPr="006275BC">
        <w:t>,</w:t>
      </w:r>
      <w:r w:rsidRPr="006275BC">
        <w:t xml:space="preserve"> в учреждении дополнительного образования «Центр образования и профессиональной ориентации»</w:t>
      </w:r>
      <w:r w:rsidR="00032AFF" w:rsidRPr="00032AFF">
        <w:t xml:space="preserve"> </w:t>
      </w:r>
      <w:r w:rsidR="00032AFF" w:rsidRPr="006275BC">
        <w:t xml:space="preserve">(далее – </w:t>
      </w:r>
      <w:r w:rsidR="00032AFF">
        <w:t>«</w:t>
      </w:r>
      <w:proofErr w:type="spellStart"/>
      <w:r w:rsidR="00032AFF">
        <w:t>ЦОиПО</w:t>
      </w:r>
      <w:proofErr w:type="spellEnd"/>
      <w:r w:rsidR="00032AFF">
        <w:t>»</w:t>
      </w:r>
      <w:r w:rsidR="00032AFF" w:rsidRPr="006275BC">
        <w:t>)</w:t>
      </w:r>
      <w:r w:rsidRPr="006275BC">
        <w:t xml:space="preserve">, в дошкольных </w:t>
      </w:r>
      <w:r w:rsidR="00032AFF" w:rsidRPr="006275BC">
        <w:t xml:space="preserve">образовательных </w:t>
      </w:r>
      <w:r w:rsidRPr="006275BC">
        <w:t xml:space="preserve">учреждениях </w:t>
      </w:r>
      <w:r w:rsidR="00C160D7" w:rsidRPr="006275BC">
        <w:t xml:space="preserve">(далее – </w:t>
      </w:r>
      <w:r w:rsidR="00C160D7">
        <w:t>ДОУ</w:t>
      </w:r>
      <w:r w:rsidR="00C160D7" w:rsidRPr="006275BC">
        <w:t xml:space="preserve">) </w:t>
      </w:r>
      <w:r w:rsidRPr="006275BC">
        <w:t>№ 4, 8, 11, 17, 19, 23, 28, 29, 31, 34 (филиал), 40, 42, 45, 47, 69);</w:t>
      </w:r>
      <w:proofErr w:type="gramEnd"/>
    </w:p>
    <w:p w:rsidR="005F116F" w:rsidRPr="006275BC" w:rsidRDefault="000C3402" w:rsidP="00C160D7">
      <w:pPr>
        <w:ind w:firstLine="567"/>
        <w:jc w:val="both"/>
      </w:pPr>
      <w:proofErr w:type="gramStart"/>
      <w:r w:rsidRPr="006275BC">
        <w:t>– по предписаниям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Пышма от 29.03.2012 года № 195/2012, от 28.02.2013 года № 312/2013, от 09.09.2013 года № 71/2013, от 01.11.2013 года № 305/2013, от 12.11.2015 года № 01-10-12/8424, от 30.03.2016 года № 01-10-12/2496</w:t>
      </w:r>
      <w:proofErr w:type="gramEnd"/>
      <w:r w:rsidRPr="006275BC">
        <w:t xml:space="preserve">, </w:t>
      </w:r>
      <w:proofErr w:type="gramStart"/>
      <w:r w:rsidRPr="006275BC">
        <w:t xml:space="preserve">от 10.06.2016 года № 01-10-12/5065, от 28.10.2016 года № 01-10-12/9001, от 06.12.2016 года № 01-10-12/10299, от 02.03.2017 года № 01-10-12-14/1843 – </w:t>
      </w:r>
      <w:r w:rsidRPr="006275BC">
        <w:rPr>
          <w:b/>
        </w:rPr>
        <w:t>15</w:t>
      </w:r>
      <w:r w:rsidRPr="006275BC">
        <w:t> </w:t>
      </w:r>
      <w:r w:rsidRPr="006275BC">
        <w:rPr>
          <w:b/>
        </w:rPr>
        <w:t xml:space="preserve">161,93 </w:t>
      </w:r>
      <w:r w:rsidRPr="006275BC">
        <w:t xml:space="preserve">тысячи рублей, из них </w:t>
      </w:r>
      <w:r w:rsidRPr="006275BC">
        <w:rPr>
          <w:b/>
        </w:rPr>
        <w:t>15</w:t>
      </w:r>
      <w:r w:rsidRPr="006275BC">
        <w:t> </w:t>
      </w:r>
      <w:r w:rsidRPr="006275BC">
        <w:rPr>
          <w:b/>
        </w:rPr>
        <w:t>130,82</w:t>
      </w:r>
      <w:r w:rsidRPr="006275BC">
        <w:t xml:space="preserve"> тысячи рублей – средства местного бюджета, </w:t>
      </w:r>
      <w:r w:rsidRPr="006275BC">
        <w:rPr>
          <w:b/>
        </w:rPr>
        <w:t>31,11</w:t>
      </w:r>
      <w:r w:rsidRPr="006275BC">
        <w:t xml:space="preserve"> тысячи рублей – внебюджетные источники (ремонт кабинетов, коридоров, спортивного зала, раздевалок спортивного зала, устранение дефектов стен</w:t>
      </w:r>
      <w:r w:rsidR="00032AFF">
        <w:t xml:space="preserve"> и </w:t>
      </w:r>
      <w:r w:rsidRPr="006275BC">
        <w:t>потолка в коридорах, кабинетах, ремонт кабинета врача, процедурного кабинета, туалетов</w:t>
      </w:r>
      <w:proofErr w:type="gramEnd"/>
      <w:r w:rsidRPr="006275BC">
        <w:t xml:space="preserve">, санитарных узлов, комплексный ремонт пищеблока, ремонт пола, замена оконных блоков, оборудование физкультурно-спортивной зоны в СОШ № 1, 2, 3, 4, 7, 9, 24, 33, в ООШ № 29, в </w:t>
      </w:r>
      <w:r w:rsidR="00032AFF">
        <w:t>«</w:t>
      </w:r>
      <w:proofErr w:type="spellStart"/>
      <w:r w:rsidR="00032AFF">
        <w:t>ЦОиПО</w:t>
      </w:r>
      <w:proofErr w:type="spellEnd"/>
      <w:r w:rsidR="00032AFF">
        <w:t>»</w:t>
      </w:r>
      <w:r w:rsidRPr="006275BC">
        <w:t>);</w:t>
      </w:r>
    </w:p>
    <w:p w:rsidR="005F116F" w:rsidRPr="006275BC" w:rsidRDefault="000C3402" w:rsidP="00C160D7">
      <w:pPr>
        <w:ind w:firstLine="567"/>
        <w:jc w:val="both"/>
      </w:pPr>
      <w:r w:rsidRPr="006275BC">
        <w:t xml:space="preserve">– на создание условий и организацию мероприятий по формированию безопасного поведения обучающихся – </w:t>
      </w:r>
      <w:r w:rsidRPr="006275BC">
        <w:rPr>
          <w:b/>
        </w:rPr>
        <w:t>938,3</w:t>
      </w:r>
      <w:r w:rsidRPr="006275BC">
        <w:t xml:space="preserve"> тысячи рублей средств местного бюджета (оборудование </w:t>
      </w:r>
      <w:r w:rsidRPr="006275BC">
        <w:lastRenderedPageBreak/>
        <w:t xml:space="preserve">кабинетов «Светофор» в СОШ № 9, 24; приобретение </w:t>
      </w:r>
      <w:proofErr w:type="spellStart"/>
      <w:r w:rsidRPr="006275BC">
        <w:t>свето</w:t>
      </w:r>
      <w:r w:rsidR="00A25A35" w:rsidRPr="006275BC">
        <w:t>возвра</w:t>
      </w:r>
      <w:r w:rsidRPr="006275BC">
        <w:t>щ</w:t>
      </w:r>
      <w:r w:rsidR="00A25A35" w:rsidRPr="006275BC">
        <w:t>ающ</w:t>
      </w:r>
      <w:r w:rsidRPr="006275BC">
        <w:t>их</w:t>
      </w:r>
      <w:proofErr w:type="spellEnd"/>
      <w:r w:rsidRPr="006275BC">
        <w:t xml:space="preserve"> элементов для обучающихся 1-4 классов);</w:t>
      </w:r>
    </w:p>
    <w:p w:rsidR="005F116F" w:rsidRPr="006275BC" w:rsidRDefault="000C3402" w:rsidP="00C160D7">
      <w:pPr>
        <w:ind w:firstLine="567"/>
        <w:jc w:val="both"/>
      </w:pPr>
      <w:r w:rsidRPr="006275BC">
        <w:t>– </w:t>
      </w:r>
      <w:r w:rsidRPr="006275BC">
        <w:rPr>
          <w:bCs/>
        </w:rPr>
        <w:t xml:space="preserve">на приобретение и (или) замену автобусов для подвоза обучающихся в муниципальные общеобразовательные учреждения </w:t>
      </w:r>
      <w:r w:rsidRPr="006275BC">
        <w:t xml:space="preserve">– </w:t>
      </w:r>
      <w:r w:rsidRPr="006275BC">
        <w:rPr>
          <w:b/>
        </w:rPr>
        <w:t xml:space="preserve">2 500,0 </w:t>
      </w:r>
      <w:r w:rsidRPr="006275BC">
        <w:t xml:space="preserve">тысячи рублей средств местного бюджета </w:t>
      </w:r>
      <w:r w:rsidRPr="006275BC">
        <w:rPr>
          <w:bCs/>
        </w:rPr>
        <w:t>(автобус СОШ №</w:t>
      </w:r>
      <w:r w:rsidRPr="006275BC">
        <w:t> </w:t>
      </w:r>
      <w:r w:rsidRPr="006275BC">
        <w:rPr>
          <w:bCs/>
        </w:rPr>
        <w:t>25)</w:t>
      </w:r>
      <w:r w:rsidRPr="006275BC">
        <w:t>;</w:t>
      </w:r>
    </w:p>
    <w:p w:rsidR="005F116F" w:rsidRPr="006275BC" w:rsidRDefault="000C3402" w:rsidP="00C160D7">
      <w:pPr>
        <w:ind w:firstLine="567"/>
        <w:jc w:val="both"/>
      </w:pPr>
      <w:r w:rsidRPr="006275BC">
        <w:t xml:space="preserve">– укрепление и развитие материально-технической базы муниципальных образовательных учреждений – </w:t>
      </w:r>
      <w:r w:rsidRPr="006275BC">
        <w:rPr>
          <w:b/>
        </w:rPr>
        <w:t>7</w:t>
      </w:r>
      <w:r w:rsidRPr="006275BC">
        <w:t> </w:t>
      </w:r>
      <w:r w:rsidRPr="006275BC">
        <w:rPr>
          <w:b/>
        </w:rPr>
        <w:t xml:space="preserve">732,15 </w:t>
      </w:r>
      <w:r w:rsidRPr="006275BC">
        <w:t xml:space="preserve">тысячи рублей средств местного бюджета (приобретение компьютеров, оргтехники, мебели для общеобразовательных учреждений и учреждений дополнительного образования; обеспечение условий реализации муниципальными образовательными организациями городского округа Верхняя Пышма образовательных программ </w:t>
      </w:r>
      <w:proofErr w:type="gramStart"/>
      <w:r w:rsidRPr="006275BC">
        <w:t>естественно-научного</w:t>
      </w:r>
      <w:proofErr w:type="gramEnd"/>
      <w:r w:rsidRPr="006275BC">
        <w:t xml:space="preserve"> цикла – приобретение в СОШ № 22 учебно-наглядного, учебно-лабораторного и учебно-практического оборудования для оснащения кабинета химии и специального современного технологического оборудования для реализации образовательных программ дополнительного образования; приобретение оборудования для внеурочной деятельности в лицейских классах </w:t>
      </w:r>
      <w:r w:rsidR="00032AFF">
        <w:t>«</w:t>
      </w:r>
      <w:proofErr w:type="spellStart"/>
      <w:r w:rsidR="00032AFF">
        <w:t>ЦОиПО</w:t>
      </w:r>
      <w:proofErr w:type="spellEnd"/>
      <w:r w:rsidR="00032AFF">
        <w:t>»</w:t>
      </w:r>
      <w:r w:rsidRPr="006275BC">
        <w:t xml:space="preserve">, приобретение оборудования и веранд на физкультурные и игровые участки, компьютерной техники, детских столов, стульев, кроватей в </w:t>
      </w:r>
      <w:r w:rsidR="00C160D7">
        <w:t>ДОУ</w:t>
      </w:r>
      <w:r w:rsidRPr="006275BC">
        <w:t>);</w:t>
      </w:r>
    </w:p>
    <w:p w:rsidR="005F116F" w:rsidRPr="006275BC" w:rsidRDefault="000C3402" w:rsidP="00C160D7">
      <w:pPr>
        <w:ind w:firstLine="567"/>
        <w:jc w:val="both"/>
      </w:pPr>
      <w:proofErr w:type="gramStart"/>
      <w:r w:rsidRPr="006275BC">
        <w:t xml:space="preserve">– на проведение мероприятий по энергосбережению и повышению энергетической эффективности муниципальных образовательных учреждений – </w:t>
      </w:r>
      <w:r w:rsidRPr="006275BC">
        <w:rPr>
          <w:b/>
        </w:rPr>
        <w:t>13 558,68</w:t>
      </w:r>
      <w:r w:rsidRPr="006275BC">
        <w:t xml:space="preserve"> тысячи рублей средств местного бюджета (гидрохимическая промывка и </w:t>
      </w:r>
      <w:proofErr w:type="spellStart"/>
      <w:r w:rsidRPr="006275BC">
        <w:t>опрессовка</w:t>
      </w:r>
      <w:proofErr w:type="spellEnd"/>
      <w:r w:rsidRPr="006275BC">
        <w:t xml:space="preserve"> всех муниципальных образовательных учреждений, замена светильников СОШ № 1, 4, 9, 16, замена вводных шкафов и автоматов СОШ № 4, ремонт системы теплоснабжения СОШ № 9, электромонтажные работы в помещениях кухни и подвала СОШ № 24, замена счетчиков, трансформаторов, ограничителей и</w:t>
      </w:r>
      <w:proofErr w:type="gramEnd"/>
      <w:r w:rsidRPr="006275BC">
        <w:t xml:space="preserve"> реле перенапряжения СОШ № 25, монтаж водомерного узла СОШ № 33, выполнение замеров сопротивления изоляции и заземления в муниципальных образовательных учреждениях);</w:t>
      </w:r>
    </w:p>
    <w:p w:rsidR="005F116F" w:rsidRPr="006275BC" w:rsidRDefault="000C3402" w:rsidP="00C160D7">
      <w:pPr>
        <w:ind w:firstLine="567"/>
        <w:jc w:val="both"/>
      </w:pPr>
      <w:proofErr w:type="gramStart"/>
      <w:r w:rsidRPr="006275BC">
        <w:t xml:space="preserve">– на текущие, аварийные ремонты образовательных учреждений – </w:t>
      </w:r>
      <w:r w:rsidRPr="006275BC">
        <w:rPr>
          <w:b/>
        </w:rPr>
        <w:t>23</w:t>
      </w:r>
      <w:r w:rsidRPr="006275BC">
        <w:t> </w:t>
      </w:r>
      <w:r w:rsidRPr="006275BC">
        <w:rPr>
          <w:b/>
        </w:rPr>
        <w:t xml:space="preserve">846,47 </w:t>
      </w:r>
      <w:r w:rsidRPr="006275BC">
        <w:t>тысячи рублей средств местного бюджета (ремонт кровли</w:t>
      </w:r>
      <w:r w:rsidR="008E5DEC" w:rsidRPr="006275BC">
        <w:t>,</w:t>
      </w:r>
      <w:r w:rsidRPr="006275BC">
        <w:t xml:space="preserve"> замена оконных блоков</w:t>
      </w:r>
      <w:r w:rsidR="008E5DEC" w:rsidRPr="006275BC">
        <w:t>,</w:t>
      </w:r>
      <w:r w:rsidRPr="006275BC">
        <w:t xml:space="preserve"> ремонт ливневой канализации, </w:t>
      </w:r>
      <w:r w:rsidR="008E5DEC" w:rsidRPr="006275BC">
        <w:t>систем вентиляции и</w:t>
      </w:r>
      <w:r w:rsidRPr="006275BC">
        <w:t xml:space="preserve"> водоснабжения, медицинского блока</w:t>
      </w:r>
      <w:r w:rsidR="008E5DEC" w:rsidRPr="006275BC">
        <w:t xml:space="preserve"> и</w:t>
      </w:r>
      <w:r w:rsidRPr="006275BC">
        <w:t xml:space="preserve"> столовой</w:t>
      </w:r>
      <w:r w:rsidR="008E5DEC" w:rsidRPr="006275BC">
        <w:t>,</w:t>
      </w:r>
      <w:r w:rsidRPr="006275BC">
        <w:t xml:space="preserve"> замена линий уличного освещения</w:t>
      </w:r>
      <w:r w:rsidR="008E5DEC" w:rsidRPr="006275BC">
        <w:t>,</w:t>
      </w:r>
      <w:r w:rsidRPr="006275BC">
        <w:t xml:space="preserve"> устройство </w:t>
      </w:r>
      <w:r w:rsidR="008E5DEC" w:rsidRPr="006275BC">
        <w:t>сети «</w:t>
      </w:r>
      <w:r w:rsidRPr="006275BC">
        <w:t>Интернет</w:t>
      </w:r>
      <w:r w:rsidR="008E5DEC" w:rsidRPr="006275BC">
        <w:t>»,</w:t>
      </w:r>
      <w:r w:rsidRPr="006275BC">
        <w:t xml:space="preserve"> ремонт потолков, кабинетов, запасного выхода</w:t>
      </w:r>
      <w:r w:rsidR="008E5DEC" w:rsidRPr="006275BC">
        <w:t>,</w:t>
      </w:r>
      <w:r w:rsidRPr="006275BC">
        <w:t xml:space="preserve"> лестницы</w:t>
      </w:r>
      <w:r w:rsidR="008E5DEC" w:rsidRPr="006275BC">
        <w:t xml:space="preserve"> и</w:t>
      </w:r>
      <w:r w:rsidRPr="006275BC">
        <w:t xml:space="preserve"> лестничного марша в СОШ № 2, 4, 7, 9, 16, 22, 24, 25, 33, ООШ № 29, учреждениях дополнительного</w:t>
      </w:r>
      <w:proofErr w:type="gramEnd"/>
      <w:r w:rsidRPr="006275BC">
        <w:t xml:space="preserve"> образования «Дом детского творчества», </w:t>
      </w:r>
      <w:r w:rsidR="00032AFF">
        <w:t>«</w:t>
      </w:r>
      <w:proofErr w:type="spellStart"/>
      <w:r w:rsidR="00032AFF">
        <w:t>ЦОиПО</w:t>
      </w:r>
      <w:proofErr w:type="spellEnd"/>
      <w:r w:rsidR="00032AFF">
        <w:t>»</w:t>
      </w:r>
      <w:r w:rsidRPr="006275BC">
        <w:t xml:space="preserve">; </w:t>
      </w:r>
      <w:proofErr w:type="gramStart"/>
      <w:r w:rsidRPr="006275BC">
        <w:t xml:space="preserve">ремонт туалетов, групп, бассейна, кровли, потолков, замена ограждения, благоустройство территории, ремонт крылец, ремонт и замена наружного освещения, замена оконных конструкций, ремонт системы канализации, косметические ремонты (дефекты в новых зданиях, не устранённые подрядчиком) в </w:t>
      </w:r>
      <w:r w:rsidR="00C160D7">
        <w:t>ДОУ</w:t>
      </w:r>
      <w:r w:rsidR="00C160D7" w:rsidRPr="006275BC">
        <w:t xml:space="preserve"> </w:t>
      </w:r>
      <w:r w:rsidRPr="006275BC">
        <w:t>№ 1, 2, 3, 4, 5, 6 (филиал № 43), 7, 9, 13, 17, 19, 22, 23, 24, 26, 28, 29, 31, 34, 36, 40, 41, 42, 45</w:t>
      </w:r>
      <w:proofErr w:type="gramEnd"/>
      <w:r w:rsidRPr="006275BC">
        <w:t xml:space="preserve">, </w:t>
      </w:r>
      <w:proofErr w:type="gramStart"/>
      <w:r w:rsidRPr="006275BC">
        <w:t>47, 48, 69);</w:t>
      </w:r>
      <w:proofErr w:type="gramEnd"/>
    </w:p>
    <w:p w:rsidR="005F116F" w:rsidRPr="006275BC" w:rsidRDefault="000C3402" w:rsidP="00C160D7">
      <w:pPr>
        <w:ind w:firstLine="567"/>
        <w:jc w:val="both"/>
      </w:pPr>
      <w:proofErr w:type="gramStart"/>
      <w:r w:rsidRPr="006275BC">
        <w:t xml:space="preserve">– на замену столовой посуды, столовых приборов, кухонного инвентаря, технологического оборудования, системы вентиляции школьных пищеблоков, обеденной мебели в школьных столовых – </w:t>
      </w:r>
      <w:r w:rsidRPr="006275BC">
        <w:rPr>
          <w:b/>
        </w:rPr>
        <w:t>3</w:t>
      </w:r>
      <w:r w:rsidRPr="006275BC">
        <w:t> </w:t>
      </w:r>
      <w:r w:rsidRPr="006275BC">
        <w:rPr>
          <w:b/>
        </w:rPr>
        <w:t>100,0</w:t>
      </w:r>
      <w:r w:rsidRPr="006275BC">
        <w:t xml:space="preserve"> тысячи рублей средств местного бюджета (приобретение посуды, технологи</w:t>
      </w:r>
      <w:r w:rsidR="006A46F8">
        <w:t>-</w:t>
      </w:r>
      <w:proofErr w:type="spellStart"/>
      <w:r w:rsidRPr="006275BC">
        <w:t>ческого</w:t>
      </w:r>
      <w:proofErr w:type="spellEnd"/>
      <w:r w:rsidRPr="006275BC">
        <w:t xml:space="preserve"> оборудования в СОШ № 1, 2, 3 ,4, 7, 9, 16, 22, 24, 25, 33, ООШ № 29, замена вентиляции пищеблока в СОШ № 7, замена обеденной мебели в школьных столовых СОШ № 1, 4</w:t>
      </w:r>
      <w:proofErr w:type="gramEnd"/>
      <w:r w:rsidRPr="006275BC">
        <w:t xml:space="preserve">, </w:t>
      </w:r>
      <w:proofErr w:type="gramStart"/>
      <w:r w:rsidRPr="006275BC">
        <w:t>24, 33).</w:t>
      </w:r>
      <w:proofErr w:type="gramEnd"/>
    </w:p>
    <w:p w:rsidR="005F116F" w:rsidRPr="006275BC" w:rsidRDefault="00C160D7" w:rsidP="00C160D7">
      <w:pPr>
        <w:ind w:firstLine="567"/>
        <w:jc w:val="both"/>
      </w:pPr>
      <w:r w:rsidRPr="006275BC">
        <w:t xml:space="preserve">Руководствуясь </w:t>
      </w:r>
      <w:r w:rsidR="000C3402" w:rsidRPr="006275BC">
        <w:t>статьей 42 Устава городского округа Верхняя Пышма,</w:t>
      </w:r>
    </w:p>
    <w:p w:rsidR="005F116F" w:rsidRPr="006275BC" w:rsidRDefault="000C3402">
      <w:pPr>
        <w:tabs>
          <w:tab w:val="left" w:pos="7655"/>
        </w:tabs>
        <w:jc w:val="both"/>
      </w:pPr>
      <w:r w:rsidRPr="006275BC">
        <w:t>Дума городского округа Верхняя Пышма</w:t>
      </w:r>
    </w:p>
    <w:p w:rsidR="005F116F" w:rsidRPr="006A46F8" w:rsidRDefault="005F116F">
      <w:pPr>
        <w:jc w:val="both"/>
        <w:rPr>
          <w:sz w:val="12"/>
          <w:szCs w:val="12"/>
        </w:rPr>
      </w:pPr>
    </w:p>
    <w:p w:rsidR="005F116F" w:rsidRPr="006275BC" w:rsidRDefault="000C3402">
      <w:pPr>
        <w:jc w:val="both"/>
      </w:pPr>
      <w:r w:rsidRPr="006275BC">
        <w:t>РЕШИЛА:</w:t>
      </w:r>
    </w:p>
    <w:p w:rsidR="006A46F8" w:rsidRPr="006A46F8" w:rsidRDefault="006A46F8" w:rsidP="006A46F8">
      <w:pPr>
        <w:jc w:val="both"/>
        <w:rPr>
          <w:sz w:val="12"/>
          <w:szCs w:val="12"/>
        </w:rPr>
      </w:pPr>
    </w:p>
    <w:p w:rsidR="005F116F" w:rsidRPr="006275BC" w:rsidRDefault="006275BC">
      <w:pPr>
        <w:ind w:firstLine="708"/>
        <w:jc w:val="both"/>
      </w:pPr>
      <w:r w:rsidRPr="006275BC">
        <w:t>1. </w:t>
      </w:r>
      <w:r w:rsidR="000C3402" w:rsidRPr="006275BC">
        <w:t>Принять к сведению информацию администрации городского округа Верхняя Пышма об итогах подготовки образовательных учреждений городского округа Верхняя Пышма к началу 2017-2018 учебного года.</w:t>
      </w:r>
    </w:p>
    <w:p w:rsidR="005F116F" w:rsidRPr="006275BC" w:rsidRDefault="006275BC">
      <w:pPr>
        <w:ind w:firstLine="708"/>
        <w:jc w:val="both"/>
      </w:pPr>
      <w:r w:rsidRPr="006275BC">
        <w:t>2. </w:t>
      </w:r>
      <w:r w:rsidR="000C3402" w:rsidRPr="006275BC">
        <w:t xml:space="preserve">Опубликовать настоящее Решение на «Официальном интернет-портале правовой </w:t>
      </w:r>
      <w:proofErr w:type="spellStart"/>
      <w:r w:rsidR="000C3402" w:rsidRPr="006275BC">
        <w:t>инфор</w:t>
      </w:r>
      <w:r w:rsidR="006A46F8">
        <w:t>-</w:t>
      </w:r>
      <w:r w:rsidR="000C3402" w:rsidRPr="006275BC">
        <w:t>мации</w:t>
      </w:r>
      <w:proofErr w:type="spellEnd"/>
      <w:r w:rsidR="000C3402" w:rsidRPr="006275BC">
        <w:t xml:space="preserve"> городского округа Верхняя Пышма» (</w:t>
      </w:r>
      <w:r w:rsidR="000C3402" w:rsidRPr="006275BC">
        <w:rPr>
          <w:rStyle w:val="af0"/>
          <w:color w:val="auto"/>
          <w:lang w:val="en-US"/>
        </w:rPr>
        <w:t>www</w:t>
      </w:r>
      <w:r w:rsidR="000C3402" w:rsidRPr="006275BC">
        <w:rPr>
          <w:rStyle w:val="af0"/>
          <w:color w:val="auto"/>
        </w:rPr>
        <w:t>.</w:t>
      </w:r>
      <w:proofErr w:type="spellStart"/>
      <w:r w:rsidR="000C3402" w:rsidRPr="006275BC">
        <w:rPr>
          <w:rStyle w:val="af0"/>
          <w:color w:val="auto"/>
        </w:rPr>
        <w:t>верхняяпышма-право</w:t>
      </w:r>
      <w:proofErr w:type="gramStart"/>
      <w:r w:rsidR="000C3402" w:rsidRPr="006275BC">
        <w:rPr>
          <w:rStyle w:val="af0"/>
          <w:color w:val="auto"/>
        </w:rPr>
        <w:t>.р</w:t>
      </w:r>
      <w:proofErr w:type="gramEnd"/>
      <w:r w:rsidR="000C3402" w:rsidRPr="006275BC">
        <w:rPr>
          <w:rStyle w:val="af0"/>
          <w:color w:val="auto"/>
        </w:rPr>
        <w:t>ф</w:t>
      </w:r>
      <w:proofErr w:type="spellEnd"/>
      <w:r w:rsidR="000C3402" w:rsidRPr="006275BC">
        <w:t xml:space="preserve">) и разместить на </w:t>
      </w:r>
      <w:proofErr w:type="spellStart"/>
      <w:r w:rsidR="000C3402" w:rsidRPr="006275BC">
        <w:t>офи</w:t>
      </w:r>
      <w:r w:rsidR="006A46F8">
        <w:t>-</w:t>
      </w:r>
      <w:r w:rsidR="000C3402" w:rsidRPr="006275BC">
        <w:t>циальных</w:t>
      </w:r>
      <w:proofErr w:type="spellEnd"/>
      <w:r w:rsidR="000C3402" w:rsidRPr="006275BC">
        <w:t xml:space="preserve"> сайтах городского округа Верхняя Пышма и Думы городского округа Верхняя Пышма.</w:t>
      </w:r>
    </w:p>
    <w:p w:rsidR="005F116F" w:rsidRPr="006275BC" w:rsidRDefault="006275BC">
      <w:pPr>
        <w:ind w:firstLine="708"/>
        <w:jc w:val="both"/>
      </w:pPr>
      <w:r w:rsidRPr="006275BC">
        <w:t>3. </w:t>
      </w:r>
      <w:r w:rsidR="000C3402" w:rsidRPr="006275BC">
        <w:t>Контроль над исполнением настоящего Решения возложить на постоянные комиссии Думы по бюджету и экономической политике (председатель А.А. Долгих) и по социальной политике (председатель Т.В. Балюкова).</w:t>
      </w:r>
    </w:p>
    <w:p w:rsidR="006275BC" w:rsidRPr="006A46F8" w:rsidRDefault="006275BC">
      <w:pPr>
        <w:jc w:val="both"/>
        <w:rPr>
          <w:sz w:val="16"/>
          <w:szCs w:val="16"/>
        </w:rPr>
      </w:pPr>
      <w:bookmarkStart w:id="0" w:name="_GoBack"/>
    </w:p>
    <w:p w:rsidR="005F116F" w:rsidRPr="006A46F8" w:rsidRDefault="005F116F">
      <w:pPr>
        <w:jc w:val="both"/>
        <w:rPr>
          <w:sz w:val="16"/>
          <w:szCs w:val="16"/>
        </w:rPr>
      </w:pPr>
    </w:p>
    <w:bookmarkEnd w:id="0"/>
    <w:p w:rsidR="006275BC" w:rsidRPr="006275BC" w:rsidRDefault="006275BC" w:rsidP="006275BC">
      <w:pPr>
        <w:autoSpaceDE w:val="0"/>
        <w:adjustRightInd w:val="0"/>
        <w:ind w:firstLine="709"/>
        <w:jc w:val="both"/>
      </w:pPr>
      <w:r w:rsidRPr="006275BC">
        <w:t>Глава</w:t>
      </w:r>
      <w:r w:rsidR="006A46F8">
        <w:t xml:space="preserve"> </w:t>
      </w:r>
      <w:r w:rsidRPr="006275BC">
        <w:t>городского округа</w:t>
      </w:r>
    </w:p>
    <w:p w:rsidR="006275BC" w:rsidRPr="006275BC" w:rsidRDefault="006275BC" w:rsidP="006275BC">
      <w:pPr>
        <w:autoSpaceDE w:val="0"/>
        <w:adjustRightInd w:val="0"/>
        <w:ind w:firstLine="709"/>
        <w:jc w:val="both"/>
      </w:pPr>
      <w:r w:rsidRPr="006275BC">
        <w:t>Верхняя Пышма</w:t>
      </w:r>
      <w:r w:rsidRPr="006275BC">
        <w:tab/>
      </w:r>
      <w:r w:rsidRPr="006275BC">
        <w:tab/>
      </w:r>
      <w:r w:rsidRPr="006275BC">
        <w:tab/>
      </w:r>
      <w:r w:rsidRPr="006275BC">
        <w:tab/>
      </w:r>
      <w:r w:rsidRPr="006275BC">
        <w:tab/>
      </w:r>
      <w:r w:rsidRPr="006275BC">
        <w:tab/>
      </w:r>
      <w:r w:rsidRPr="006275BC">
        <w:tab/>
      </w:r>
      <w:r w:rsidRPr="006275BC">
        <w:tab/>
        <w:t>А.И. Романов</w:t>
      </w:r>
    </w:p>
    <w:sectPr w:rsidR="006275BC" w:rsidRPr="006275BC" w:rsidSect="00C160D7">
      <w:headerReference w:type="default" r:id="rId7"/>
      <w:pgSz w:w="11904" w:h="16836"/>
      <w:pgMar w:top="454" w:right="454" w:bottom="454" w:left="1304"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21" w:rsidRDefault="00626621">
      <w:r>
        <w:separator/>
      </w:r>
    </w:p>
  </w:endnote>
  <w:endnote w:type="continuationSeparator" w:id="0">
    <w:p w:rsidR="00626621" w:rsidRDefault="0062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21" w:rsidRDefault="00626621">
      <w:r>
        <w:ptab w:relativeTo="margin" w:alignment="center" w:leader="none"/>
      </w:r>
      <w:r>
        <w:rPr>
          <w:color w:val="000000"/>
        </w:rPr>
        <w:separator/>
      </w:r>
    </w:p>
  </w:footnote>
  <w:footnote w:type="continuationSeparator" w:id="0">
    <w:p w:rsidR="00626621" w:rsidRDefault="0062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90" w:rsidRDefault="000C3402">
    <w:pPr>
      <w:pStyle w:val="a9"/>
    </w:pPr>
    <w:r>
      <w:rPr>
        <w:noProof/>
      </w:rPr>
      <mc:AlternateContent>
        <mc:Choice Requires="wps">
          <w:drawing>
            <wp:anchor distT="0" distB="0" distL="114300" distR="114300" simplePos="0" relativeHeight="251659264" behindDoc="0" locked="0" layoutInCell="1" allowOverlap="1" wp14:anchorId="2A46EC86" wp14:editId="7DEC9FCD">
              <wp:simplePos x="0" y="0"/>
              <wp:positionH relativeFrom="margin">
                <wp:align>center</wp:align>
              </wp:positionH>
              <wp:positionV relativeFrom="paragraph">
                <wp:posOffset>548</wp:posOffset>
              </wp:positionV>
              <wp:extent cx="70481" cy="160650"/>
              <wp:effectExtent l="0" t="0" r="5719" b="10800"/>
              <wp:wrapSquare wrapText="bothSides"/>
              <wp:docPr id="1" name="Поле 1"/>
              <wp:cNvGraphicFramePr/>
              <a:graphic xmlns:a="http://schemas.openxmlformats.org/drawingml/2006/main">
                <a:graphicData uri="http://schemas.microsoft.com/office/word/2010/wordprocessingShape">
                  <wps:wsp>
                    <wps:cNvSpPr txBox="1"/>
                    <wps:spPr>
                      <a:xfrm>
                        <a:off x="0" y="0"/>
                        <a:ext cx="70481" cy="160650"/>
                      </a:xfrm>
                      <a:prstGeom prst="rect">
                        <a:avLst/>
                      </a:prstGeom>
                      <a:noFill/>
                      <a:ln>
                        <a:noFill/>
                        <a:prstDash/>
                      </a:ln>
                    </wps:spPr>
                    <wps:txbx>
                      <w:txbxContent>
                        <w:p w:rsidR="001F1490" w:rsidRDefault="000C3402">
                          <w:pPr>
                            <w:pStyle w:val="a9"/>
                          </w:pPr>
                          <w:r>
                            <w:rPr>
                              <w:rStyle w:val="aa"/>
                              <w:sz w:val="22"/>
                              <w:szCs w:val="22"/>
                            </w:rPr>
                            <w:fldChar w:fldCharType="begin"/>
                          </w:r>
                          <w:r>
                            <w:rPr>
                              <w:rStyle w:val="aa"/>
                              <w:sz w:val="22"/>
                              <w:szCs w:val="22"/>
                            </w:rPr>
                            <w:instrText xml:space="preserve"> PAGE </w:instrText>
                          </w:r>
                          <w:r>
                            <w:rPr>
                              <w:rStyle w:val="aa"/>
                              <w:sz w:val="22"/>
                              <w:szCs w:val="22"/>
                            </w:rPr>
                            <w:fldChar w:fldCharType="separate"/>
                          </w:r>
                          <w:r w:rsidR="006A46F8">
                            <w:rPr>
                              <w:rStyle w:val="aa"/>
                              <w:noProof/>
                              <w:sz w:val="22"/>
                              <w:szCs w:val="22"/>
                            </w:rPr>
                            <w:t>2</w:t>
                          </w:r>
                          <w:r>
                            <w:rPr>
                              <w:rStyle w:val="aa"/>
                              <w:sz w:val="22"/>
                              <w:szCs w:val="22"/>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5.55pt;height:12.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" filled="f" stroked="f">
              <v:textbox style="mso-fit-shape-to-text:t" inset="0,0,0,0">
                <w:txbxContent>
                  <w:p w:rsidR="001F1490" w:rsidRDefault="000C3402">
                    <w:pPr>
                      <w:pStyle w:val="a9"/>
                    </w:pPr>
                    <w:r>
                      <w:rPr>
                        <w:rStyle w:val="aa"/>
                        <w:sz w:val="22"/>
                        <w:szCs w:val="22"/>
                      </w:rPr>
                      <w:fldChar w:fldCharType="begin"/>
                    </w:r>
                    <w:r>
                      <w:rPr>
                        <w:rStyle w:val="aa"/>
                        <w:sz w:val="22"/>
                        <w:szCs w:val="22"/>
                      </w:rPr>
                      <w:instrText xml:space="preserve"> PAGE </w:instrText>
                    </w:r>
                    <w:r>
                      <w:rPr>
                        <w:rStyle w:val="aa"/>
                        <w:sz w:val="22"/>
                        <w:szCs w:val="22"/>
                      </w:rPr>
                      <w:fldChar w:fldCharType="separate"/>
                    </w:r>
                    <w:r w:rsidR="006A46F8">
                      <w:rPr>
                        <w:rStyle w:val="aa"/>
                        <w:noProof/>
                        <w:sz w:val="22"/>
                        <w:szCs w:val="22"/>
                      </w:rPr>
                      <w:t>2</w:t>
                    </w:r>
                    <w:r>
                      <w:rPr>
                        <w:rStyle w:val="aa"/>
                        <w:sz w:val="22"/>
                        <w:szCs w:val="22"/>
                      </w:rPr>
                      <w:fldChar w:fldCharType="end"/>
                    </w:r>
                  </w:p>
                </w:txbxContent>
              </v:textbox>
              <w10:wrap type="square" anchorx="margin"/>
            </v:shape>
          </w:pict>
        </mc:Fallback>
      </mc:AlternateContent>
    </w:r>
  </w:p>
  <w:p w:rsidR="001F1490" w:rsidRPr="00C160D7" w:rsidRDefault="006A46F8">
    <w:pPr>
      <w:pStyle w:val="a9"/>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F116F"/>
    <w:rsid w:val="00032AFF"/>
    <w:rsid w:val="000C3402"/>
    <w:rsid w:val="00171FF7"/>
    <w:rsid w:val="003B2880"/>
    <w:rsid w:val="00527435"/>
    <w:rsid w:val="005864EA"/>
    <w:rsid w:val="005F116F"/>
    <w:rsid w:val="00626621"/>
    <w:rsid w:val="006275BC"/>
    <w:rsid w:val="006A46F8"/>
    <w:rsid w:val="008E5DEC"/>
    <w:rsid w:val="009E41E9"/>
    <w:rsid w:val="00A25A35"/>
    <w:rsid w:val="00A4377F"/>
    <w:rsid w:val="00BF6B8B"/>
    <w:rsid w:val="00C160D7"/>
    <w:rsid w:val="00EA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pPr>
      <w:jc w:val="center"/>
    </w:pPr>
    <w:rPr>
      <w:b/>
      <w:sz w:val="32"/>
      <w:szCs w:val="22"/>
    </w:rPr>
  </w:style>
  <w:style w:type="paragraph" w:styleId="a4">
    <w:name w:val="Subtitle"/>
    <w:basedOn w:val="a"/>
    <w:pPr>
      <w:jc w:val="center"/>
    </w:pPr>
    <w:rPr>
      <w:sz w:val="32"/>
      <w:szCs w:val="22"/>
    </w:rPr>
  </w:style>
  <w:style w:type="paragraph" w:styleId="2">
    <w:name w:val="Body Text Indent 2"/>
    <w:basedOn w:val="a"/>
    <w:pPr>
      <w:ind w:firstLine="720"/>
      <w:jc w:val="both"/>
    </w:pPr>
    <w:rPr>
      <w:szCs w:val="22"/>
    </w:rPr>
  </w:style>
  <w:style w:type="paragraph" w:customStyle="1" w:styleId="a5">
    <w:name w:val="Знак"/>
    <w:basedOn w:val="a"/>
    <w:pPr>
      <w:spacing w:after="160" w:line="240" w:lineRule="exact"/>
    </w:pPr>
    <w:rPr>
      <w:rFonts w:ascii="Verdana" w:hAnsi="Verdana" w:cs="Verdana"/>
      <w:sz w:val="20"/>
      <w:szCs w:val="20"/>
      <w:lang w:val="en-US" w:eastAsia="en-US"/>
    </w:rPr>
  </w:style>
  <w:style w:type="paragraph" w:customStyle="1" w:styleId="a6">
    <w:name w:val="Знак Знак Знак Знак Знак Знак Знак Знак Знак Знак"/>
    <w:basedOn w:val="a"/>
    <w:rPr>
      <w:rFonts w:ascii="Verdana" w:hAnsi="Verdana" w:cs="Verdana"/>
      <w:sz w:val="20"/>
      <w:szCs w:val="20"/>
      <w:lang w:val="en-US" w:eastAsia="en-US"/>
    </w:rPr>
  </w:style>
  <w:style w:type="paragraph" w:customStyle="1" w:styleId="ConsNormal">
    <w:name w:val="ConsNormal"/>
    <w:pPr>
      <w:suppressAutoHyphens/>
      <w:ind w:firstLine="720"/>
    </w:pPr>
    <w:rPr>
      <w:rFonts w:ascii="Arial" w:hAnsi="Arial"/>
      <w:sz w:val="28"/>
    </w:rPr>
  </w:style>
  <w:style w:type="paragraph" w:styleId="a7">
    <w:name w:val="Plain Text"/>
    <w:basedOn w:val="a"/>
    <w:rPr>
      <w:rFonts w:ascii="Courier New" w:hAnsi="Courier New"/>
      <w:sz w:val="20"/>
      <w:szCs w:val="20"/>
    </w:rPr>
  </w:style>
  <w:style w:type="character" w:customStyle="1" w:styleId="epm">
    <w:name w:val="epm"/>
    <w:basedOn w:val="a0"/>
  </w:style>
  <w:style w:type="character" w:customStyle="1" w:styleId="f">
    <w:name w:val="f"/>
    <w:basedOn w:val="a0"/>
  </w:style>
  <w:style w:type="paragraph" w:customStyle="1" w:styleId="ConsPlusNormal">
    <w:name w:val="ConsPlusNormal"/>
    <w:pPr>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styleId="a9">
    <w:name w:val="header"/>
    <w:basedOn w:val="a"/>
    <w:pPr>
      <w:tabs>
        <w:tab w:val="center" w:pos="4677"/>
        <w:tab w:val="right" w:pos="9355"/>
      </w:tabs>
    </w:pPr>
  </w:style>
  <w:style w:type="character" w:styleId="aa">
    <w:name w:val="page number"/>
    <w:basedOn w:val="a0"/>
  </w:style>
  <w:style w:type="paragraph" w:customStyle="1" w:styleId="20">
    <w:name w:val="Знак2"/>
    <w:basedOn w:val="a"/>
    <w:rPr>
      <w:rFonts w:ascii="Verdana" w:hAnsi="Verdana" w:cs="Verdana"/>
      <w:sz w:val="20"/>
      <w:szCs w:val="20"/>
      <w:lang w:val="en-US" w:eastAsia="en-US"/>
    </w:rPr>
  </w:style>
  <w:style w:type="paragraph" w:customStyle="1" w:styleId="1">
    <w:name w:val="Знак1"/>
    <w:basedOn w:val="a"/>
    <w:pPr>
      <w:spacing w:after="160" w:line="240" w:lineRule="exact"/>
    </w:pPr>
    <w:rPr>
      <w:rFonts w:ascii="Verdana" w:hAnsi="Verdana" w:cs="Verdana"/>
      <w:sz w:val="20"/>
      <w:szCs w:val="20"/>
      <w:lang w:val="en-US" w:eastAsia="en-US"/>
    </w:rPr>
  </w:style>
  <w:style w:type="paragraph" w:customStyle="1" w:styleId="ConsPlusNonformat">
    <w:name w:val="ConsPlusNonformat"/>
    <w:pPr>
      <w:suppressAutoHyphens/>
      <w:autoSpaceDE w:val="0"/>
    </w:pPr>
    <w:rPr>
      <w:rFonts w:ascii="Courier New" w:hAnsi="Courier New" w:cs="Courier New"/>
    </w:rPr>
  </w:style>
  <w:style w:type="paragraph" w:customStyle="1" w:styleId="ConsPlusTitle">
    <w:name w:val="ConsPlusTitle"/>
    <w:pPr>
      <w:suppressAutoHyphens/>
      <w:autoSpaceDE w:val="0"/>
    </w:pPr>
    <w:rPr>
      <w:b/>
      <w:bCs/>
      <w:sz w:val="22"/>
      <w:szCs w:val="22"/>
    </w:rPr>
  </w:style>
  <w:style w:type="paragraph" w:styleId="ab">
    <w:name w:val="footer"/>
    <w:basedOn w:val="a"/>
    <w:pPr>
      <w:tabs>
        <w:tab w:val="center" w:pos="4677"/>
        <w:tab w:val="right" w:pos="9355"/>
      </w:tabs>
    </w:pPr>
  </w:style>
  <w:style w:type="character" w:customStyle="1" w:styleId="ac">
    <w:name w:val="Нижний колонтитул Знак"/>
    <w:rPr>
      <w:sz w:val="24"/>
      <w:szCs w:val="24"/>
    </w:rPr>
  </w:style>
  <w:style w:type="character" w:customStyle="1" w:styleId="ad">
    <w:name w:val="Подзаголовок Знак"/>
    <w:rPr>
      <w:sz w:val="32"/>
      <w:szCs w:val="22"/>
    </w:rPr>
  </w:style>
  <w:style w:type="character" w:customStyle="1" w:styleId="21">
    <w:name w:val="Основной текст с отступом 2 Знак"/>
    <w:rPr>
      <w:sz w:val="24"/>
      <w:szCs w:val="22"/>
    </w:rPr>
  </w:style>
  <w:style w:type="paragraph" w:customStyle="1" w:styleId="ConsNonformat">
    <w:name w:val="ConsNonformat"/>
    <w:pPr>
      <w:widowControl w:val="0"/>
      <w:suppressAutoHyphens/>
    </w:pPr>
    <w:rPr>
      <w:rFonts w:ascii="Courier New" w:hAnsi="Courier New"/>
    </w:rPr>
  </w:style>
  <w:style w:type="paragraph" w:styleId="ae">
    <w:name w:val="List Paragraph"/>
    <w:basedOn w:val="a"/>
    <w:pPr>
      <w:spacing w:after="200" w:line="276" w:lineRule="auto"/>
      <w:ind w:left="720"/>
    </w:pPr>
    <w:rPr>
      <w:rFonts w:ascii="Calibri" w:hAnsi="Calibri" w:cs="Calibri"/>
      <w:sz w:val="22"/>
      <w:szCs w:val="22"/>
    </w:rPr>
  </w:style>
  <w:style w:type="character" w:customStyle="1" w:styleId="af">
    <w:name w:val="Название Знак"/>
    <w:rPr>
      <w:b/>
      <w:sz w:val="32"/>
      <w:szCs w:val="22"/>
    </w:rPr>
  </w:style>
  <w:style w:type="character" w:styleId="af0">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pPr>
      <w:jc w:val="center"/>
    </w:pPr>
    <w:rPr>
      <w:b/>
      <w:sz w:val="32"/>
      <w:szCs w:val="22"/>
    </w:rPr>
  </w:style>
  <w:style w:type="paragraph" w:styleId="a4">
    <w:name w:val="Subtitle"/>
    <w:basedOn w:val="a"/>
    <w:pPr>
      <w:jc w:val="center"/>
    </w:pPr>
    <w:rPr>
      <w:sz w:val="32"/>
      <w:szCs w:val="22"/>
    </w:rPr>
  </w:style>
  <w:style w:type="paragraph" w:styleId="2">
    <w:name w:val="Body Text Indent 2"/>
    <w:basedOn w:val="a"/>
    <w:pPr>
      <w:ind w:firstLine="720"/>
      <w:jc w:val="both"/>
    </w:pPr>
    <w:rPr>
      <w:szCs w:val="22"/>
    </w:rPr>
  </w:style>
  <w:style w:type="paragraph" w:customStyle="1" w:styleId="a5">
    <w:name w:val="Знак"/>
    <w:basedOn w:val="a"/>
    <w:pPr>
      <w:spacing w:after="160" w:line="240" w:lineRule="exact"/>
    </w:pPr>
    <w:rPr>
      <w:rFonts w:ascii="Verdana" w:hAnsi="Verdana" w:cs="Verdana"/>
      <w:sz w:val="20"/>
      <w:szCs w:val="20"/>
      <w:lang w:val="en-US" w:eastAsia="en-US"/>
    </w:rPr>
  </w:style>
  <w:style w:type="paragraph" w:customStyle="1" w:styleId="a6">
    <w:name w:val="Знак Знак Знак Знак Знак Знак Знак Знак Знак Знак"/>
    <w:basedOn w:val="a"/>
    <w:rPr>
      <w:rFonts w:ascii="Verdana" w:hAnsi="Verdana" w:cs="Verdana"/>
      <w:sz w:val="20"/>
      <w:szCs w:val="20"/>
      <w:lang w:val="en-US" w:eastAsia="en-US"/>
    </w:rPr>
  </w:style>
  <w:style w:type="paragraph" w:customStyle="1" w:styleId="ConsNormal">
    <w:name w:val="ConsNormal"/>
    <w:pPr>
      <w:suppressAutoHyphens/>
      <w:ind w:firstLine="720"/>
    </w:pPr>
    <w:rPr>
      <w:rFonts w:ascii="Arial" w:hAnsi="Arial"/>
      <w:sz w:val="28"/>
    </w:rPr>
  </w:style>
  <w:style w:type="paragraph" w:styleId="a7">
    <w:name w:val="Plain Text"/>
    <w:basedOn w:val="a"/>
    <w:rPr>
      <w:rFonts w:ascii="Courier New" w:hAnsi="Courier New"/>
      <w:sz w:val="20"/>
      <w:szCs w:val="20"/>
    </w:rPr>
  </w:style>
  <w:style w:type="character" w:customStyle="1" w:styleId="epm">
    <w:name w:val="epm"/>
    <w:basedOn w:val="a0"/>
  </w:style>
  <w:style w:type="character" w:customStyle="1" w:styleId="f">
    <w:name w:val="f"/>
    <w:basedOn w:val="a0"/>
  </w:style>
  <w:style w:type="paragraph" w:customStyle="1" w:styleId="ConsPlusNormal">
    <w:name w:val="ConsPlusNormal"/>
    <w:pPr>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styleId="a9">
    <w:name w:val="header"/>
    <w:basedOn w:val="a"/>
    <w:pPr>
      <w:tabs>
        <w:tab w:val="center" w:pos="4677"/>
        <w:tab w:val="right" w:pos="9355"/>
      </w:tabs>
    </w:pPr>
  </w:style>
  <w:style w:type="character" w:styleId="aa">
    <w:name w:val="page number"/>
    <w:basedOn w:val="a0"/>
  </w:style>
  <w:style w:type="paragraph" w:customStyle="1" w:styleId="20">
    <w:name w:val="Знак2"/>
    <w:basedOn w:val="a"/>
    <w:rPr>
      <w:rFonts w:ascii="Verdana" w:hAnsi="Verdana" w:cs="Verdana"/>
      <w:sz w:val="20"/>
      <w:szCs w:val="20"/>
      <w:lang w:val="en-US" w:eastAsia="en-US"/>
    </w:rPr>
  </w:style>
  <w:style w:type="paragraph" w:customStyle="1" w:styleId="1">
    <w:name w:val="Знак1"/>
    <w:basedOn w:val="a"/>
    <w:pPr>
      <w:spacing w:after="160" w:line="240" w:lineRule="exact"/>
    </w:pPr>
    <w:rPr>
      <w:rFonts w:ascii="Verdana" w:hAnsi="Verdana" w:cs="Verdana"/>
      <w:sz w:val="20"/>
      <w:szCs w:val="20"/>
      <w:lang w:val="en-US" w:eastAsia="en-US"/>
    </w:rPr>
  </w:style>
  <w:style w:type="paragraph" w:customStyle="1" w:styleId="ConsPlusNonformat">
    <w:name w:val="ConsPlusNonformat"/>
    <w:pPr>
      <w:suppressAutoHyphens/>
      <w:autoSpaceDE w:val="0"/>
    </w:pPr>
    <w:rPr>
      <w:rFonts w:ascii="Courier New" w:hAnsi="Courier New" w:cs="Courier New"/>
    </w:rPr>
  </w:style>
  <w:style w:type="paragraph" w:customStyle="1" w:styleId="ConsPlusTitle">
    <w:name w:val="ConsPlusTitle"/>
    <w:pPr>
      <w:suppressAutoHyphens/>
      <w:autoSpaceDE w:val="0"/>
    </w:pPr>
    <w:rPr>
      <w:b/>
      <w:bCs/>
      <w:sz w:val="22"/>
      <w:szCs w:val="22"/>
    </w:rPr>
  </w:style>
  <w:style w:type="paragraph" w:styleId="ab">
    <w:name w:val="footer"/>
    <w:basedOn w:val="a"/>
    <w:pPr>
      <w:tabs>
        <w:tab w:val="center" w:pos="4677"/>
        <w:tab w:val="right" w:pos="9355"/>
      </w:tabs>
    </w:pPr>
  </w:style>
  <w:style w:type="character" w:customStyle="1" w:styleId="ac">
    <w:name w:val="Нижний колонтитул Знак"/>
    <w:rPr>
      <w:sz w:val="24"/>
      <w:szCs w:val="24"/>
    </w:rPr>
  </w:style>
  <w:style w:type="character" w:customStyle="1" w:styleId="ad">
    <w:name w:val="Подзаголовок Знак"/>
    <w:rPr>
      <w:sz w:val="32"/>
      <w:szCs w:val="22"/>
    </w:rPr>
  </w:style>
  <w:style w:type="character" w:customStyle="1" w:styleId="21">
    <w:name w:val="Основной текст с отступом 2 Знак"/>
    <w:rPr>
      <w:sz w:val="24"/>
      <w:szCs w:val="22"/>
    </w:rPr>
  </w:style>
  <w:style w:type="paragraph" w:customStyle="1" w:styleId="ConsNonformat">
    <w:name w:val="ConsNonformat"/>
    <w:pPr>
      <w:widowControl w:val="0"/>
      <w:suppressAutoHyphens/>
    </w:pPr>
    <w:rPr>
      <w:rFonts w:ascii="Courier New" w:hAnsi="Courier New"/>
    </w:rPr>
  </w:style>
  <w:style w:type="paragraph" w:styleId="ae">
    <w:name w:val="List Paragraph"/>
    <w:basedOn w:val="a"/>
    <w:pPr>
      <w:spacing w:after="200" w:line="276" w:lineRule="auto"/>
      <w:ind w:left="720"/>
    </w:pPr>
    <w:rPr>
      <w:rFonts w:ascii="Calibri" w:hAnsi="Calibri" w:cs="Calibri"/>
      <w:sz w:val="22"/>
      <w:szCs w:val="22"/>
    </w:rPr>
  </w:style>
  <w:style w:type="character" w:customStyle="1" w:styleId="af">
    <w:name w:val="Название Знак"/>
    <w:rPr>
      <w:b/>
      <w:sz w:val="32"/>
      <w:szCs w:val="22"/>
    </w:rPr>
  </w:style>
  <w:style w:type="character" w:styleId="af0">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 к Решению Думы</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Думы</dc:title>
  <dc:creator>Камалтдинова</dc:creator>
  <cp:lastModifiedBy>Polina</cp:lastModifiedBy>
  <cp:revision>6</cp:revision>
  <cp:lastPrinted>2017-12-01T06:23:00Z</cp:lastPrinted>
  <dcterms:created xsi:type="dcterms:W3CDTF">2017-12-12T04:43:00Z</dcterms:created>
  <dcterms:modified xsi:type="dcterms:W3CDTF">2017-12-24T04:20:00Z</dcterms:modified>
</cp:coreProperties>
</file>