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47" w:rsidRPr="00E86747" w:rsidRDefault="00E86747" w:rsidP="00E8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4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86747" w:rsidRPr="00E86747" w:rsidRDefault="00E86747" w:rsidP="00E8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47">
        <w:rPr>
          <w:rFonts w:ascii="Times New Roman" w:hAnsi="Times New Roman" w:cs="Times New Roman"/>
          <w:b/>
          <w:sz w:val="28"/>
          <w:szCs w:val="28"/>
        </w:rPr>
        <w:t>счетной палаты городского округа Верхняя Пышма по результатам проверки законности и результативности (эффективности и экономности) использования средств бюджета городского округа Верхняя Пышма, предоставляемых МАОУ ДО «Детско-юношеская спортивная школа «Лидер» на финансовое обеспечение выполнения им муниципального задания и на иные цели, за 2013 год и истекший период 2014 года.</w:t>
      </w:r>
    </w:p>
    <w:p w:rsidR="00E86747" w:rsidRPr="00E86747" w:rsidRDefault="00E86747" w:rsidP="00DD2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47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Положением о счетной палате городского округа Верхняя Пышма, утвержденным Решением Думы городского округа Верхняя Пышма от 27.10.2011 №41/10.</w:t>
      </w:r>
    </w:p>
    <w:p w:rsidR="00E86747" w:rsidRPr="00E86747" w:rsidRDefault="00E86747" w:rsidP="00DD2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47">
        <w:rPr>
          <w:rFonts w:ascii="Times New Roman" w:hAnsi="Times New Roman" w:cs="Times New Roman"/>
          <w:sz w:val="28"/>
          <w:szCs w:val="28"/>
        </w:rPr>
        <w:t>Счетной палатой городского округа Верхняя Пышма (далее – Счетная палата) проведена проверка законности и результативности (эффективности и экономности) использования средств бюджета городского округа Верхняя Пышма, предоставляемых МАОУ ДО «Детско-юношеская спортивная школа «Лидер» на финансовое обеспечение выполнения им муниципального задания и на иные цели, за 2013 год и истекший период 2014 года.</w:t>
      </w:r>
    </w:p>
    <w:p w:rsidR="00E86747" w:rsidRPr="00E86747" w:rsidRDefault="00E86747" w:rsidP="0081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47">
        <w:rPr>
          <w:rFonts w:ascii="Times New Roman" w:hAnsi="Times New Roman" w:cs="Times New Roman"/>
          <w:sz w:val="28"/>
          <w:szCs w:val="28"/>
        </w:rPr>
        <w:t>Проверяемый период 2013 год – первое полугодие 2014 года.</w:t>
      </w:r>
    </w:p>
    <w:p w:rsidR="00E86747" w:rsidRPr="00E86747" w:rsidRDefault="00E86747" w:rsidP="00812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47">
        <w:rPr>
          <w:rFonts w:ascii="Times New Roman" w:hAnsi="Times New Roman" w:cs="Times New Roman"/>
          <w:sz w:val="28"/>
          <w:szCs w:val="28"/>
        </w:rPr>
        <w:t>По результатам проверки оформлен акт от 07.11.2014 года, в котором отражена следующая информация.</w:t>
      </w:r>
    </w:p>
    <w:p w:rsidR="00F7121D" w:rsidRDefault="00F7121D" w:rsidP="0081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747" w:rsidRPr="00AE618A" w:rsidRDefault="00E86747" w:rsidP="00AE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A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E86747" w:rsidRPr="00812B32" w:rsidRDefault="00E86747" w:rsidP="00617F6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B32">
        <w:rPr>
          <w:rFonts w:ascii="Times New Roman" w:hAnsi="Times New Roman" w:cs="Times New Roman"/>
          <w:i/>
          <w:sz w:val="28"/>
          <w:szCs w:val="28"/>
        </w:rPr>
        <w:t xml:space="preserve">Анализ соответствия </w:t>
      </w:r>
      <w:r w:rsidR="00EB6707" w:rsidRPr="00812B32">
        <w:rPr>
          <w:rFonts w:ascii="Times New Roman" w:hAnsi="Times New Roman" w:cs="Times New Roman"/>
          <w:i/>
          <w:sz w:val="28"/>
          <w:szCs w:val="28"/>
        </w:rPr>
        <w:t>деятельности учреждения</w:t>
      </w:r>
      <w:r w:rsidRPr="00812B32">
        <w:rPr>
          <w:rFonts w:ascii="Times New Roman" w:hAnsi="Times New Roman" w:cs="Times New Roman"/>
          <w:i/>
          <w:sz w:val="28"/>
          <w:szCs w:val="28"/>
        </w:rPr>
        <w:t xml:space="preserve"> нормативным правовым актам </w:t>
      </w:r>
      <w:r w:rsidR="0068184B" w:rsidRPr="00812B32">
        <w:rPr>
          <w:rFonts w:ascii="Times New Roman" w:hAnsi="Times New Roman" w:cs="Times New Roman"/>
          <w:i/>
          <w:sz w:val="28"/>
          <w:szCs w:val="28"/>
        </w:rPr>
        <w:t xml:space="preserve">и документам, регулирующим </w:t>
      </w:r>
      <w:r w:rsidR="00645694" w:rsidRPr="00812B32">
        <w:rPr>
          <w:rFonts w:ascii="Times New Roman" w:hAnsi="Times New Roman" w:cs="Times New Roman"/>
          <w:i/>
          <w:sz w:val="28"/>
          <w:szCs w:val="28"/>
        </w:rPr>
        <w:t>вопросы финансово-хозяйственной деятельности учреждения,</w:t>
      </w:r>
      <w:r w:rsidR="0068184B" w:rsidRPr="00812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B32">
        <w:rPr>
          <w:rFonts w:ascii="Times New Roman" w:hAnsi="Times New Roman" w:cs="Times New Roman"/>
          <w:i/>
          <w:sz w:val="28"/>
          <w:szCs w:val="28"/>
        </w:rPr>
        <w:t>показал следующее</w:t>
      </w:r>
      <w:r w:rsidR="005307A0" w:rsidRPr="00812B32">
        <w:rPr>
          <w:rFonts w:ascii="Times New Roman" w:hAnsi="Times New Roman" w:cs="Times New Roman"/>
          <w:i/>
          <w:sz w:val="28"/>
          <w:szCs w:val="28"/>
        </w:rPr>
        <w:t>.</w:t>
      </w:r>
    </w:p>
    <w:p w:rsidR="0068184B" w:rsidRPr="005307A0" w:rsidRDefault="0068184B" w:rsidP="00530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A0">
        <w:rPr>
          <w:rFonts w:ascii="Times New Roman" w:hAnsi="Times New Roman" w:cs="Times New Roman"/>
          <w:sz w:val="28"/>
          <w:szCs w:val="28"/>
        </w:rPr>
        <w:t>В</w:t>
      </w:r>
      <w:r w:rsidR="00617F60" w:rsidRPr="005307A0">
        <w:rPr>
          <w:rFonts w:ascii="Times New Roman" w:hAnsi="Times New Roman" w:cs="Times New Roman"/>
          <w:sz w:val="28"/>
          <w:szCs w:val="28"/>
        </w:rPr>
        <w:t xml:space="preserve"> нарушение пункта 3 статьи 11Федерального закона от 03.11.2006 № 174-ФЗ «Об автономных учреждениях» (далее – Федеральный закон № 174-ФЗ) </w:t>
      </w:r>
      <w:r w:rsidR="00DD2586" w:rsidRPr="005307A0">
        <w:rPr>
          <w:rFonts w:ascii="Times New Roman" w:hAnsi="Times New Roman" w:cs="Times New Roman"/>
          <w:sz w:val="28"/>
          <w:szCs w:val="28"/>
        </w:rPr>
        <w:t xml:space="preserve">План </w:t>
      </w:r>
      <w:r w:rsidR="00812B3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(далее – план </w:t>
      </w:r>
      <w:r w:rsidR="00DD2586" w:rsidRPr="005307A0">
        <w:rPr>
          <w:rFonts w:ascii="Times New Roman" w:hAnsi="Times New Roman" w:cs="Times New Roman"/>
          <w:sz w:val="28"/>
          <w:szCs w:val="28"/>
        </w:rPr>
        <w:t>ФХД</w:t>
      </w:r>
      <w:r w:rsidR="00812B32">
        <w:rPr>
          <w:rFonts w:ascii="Times New Roman" w:hAnsi="Times New Roman" w:cs="Times New Roman"/>
          <w:sz w:val="28"/>
          <w:szCs w:val="28"/>
        </w:rPr>
        <w:t>)</w:t>
      </w:r>
      <w:r w:rsidR="00DD2586" w:rsidRPr="005307A0">
        <w:rPr>
          <w:rFonts w:ascii="Times New Roman" w:hAnsi="Times New Roman" w:cs="Times New Roman"/>
          <w:sz w:val="28"/>
          <w:szCs w:val="28"/>
        </w:rPr>
        <w:t xml:space="preserve"> </w:t>
      </w:r>
      <w:r w:rsidR="00617F60" w:rsidRPr="005307A0">
        <w:rPr>
          <w:rFonts w:ascii="Times New Roman" w:hAnsi="Times New Roman" w:cs="Times New Roman"/>
          <w:sz w:val="28"/>
          <w:szCs w:val="28"/>
        </w:rPr>
        <w:t xml:space="preserve">на 01.01.2014 и последующие изменения к нему утверждены без согласования с </w:t>
      </w:r>
      <w:r w:rsidR="00DD2586" w:rsidRPr="005307A0">
        <w:rPr>
          <w:rFonts w:ascii="Times New Roman" w:hAnsi="Times New Roman" w:cs="Times New Roman"/>
          <w:sz w:val="28"/>
          <w:szCs w:val="28"/>
        </w:rPr>
        <w:t>н</w:t>
      </w:r>
      <w:r w:rsidR="00617F60" w:rsidRPr="005307A0">
        <w:rPr>
          <w:rFonts w:ascii="Times New Roman" w:hAnsi="Times New Roman" w:cs="Times New Roman"/>
          <w:sz w:val="28"/>
          <w:szCs w:val="28"/>
        </w:rPr>
        <w:t>аблюдательным советом</w:t>
      </w:r>
      <w:r w:rsidRPr="005307A0">
        <w:rPr>
          <w:rFonts w:ascii="Times New Roman" w:hAnsi="Times New Roman" w:cs="Times New Roman"/>
          <w:sz w:val="28"/>
          <w:szCs w:val="28"/>
        </w:rPr>
        <w:t>. Всего за 2014 год подобным образом принято пять решений</w:t>
      </w:r>
      <w:r w:rsidR="00B04223">
        <w:rPr>
          <w:rFonts w:ascii="Times New Roman" w:hAnsi="Times New Roman" w:cs="Times New Roman"/>
          <w:sz w:val="28"/>
          <w:szCs w:val="28"/>
        </w:rPr>
        <w:t>.</w:t>
      </w:r>
    </w:p>
    <w:p w:rsidR="00E86747" w:rsidRPr="005307A0" w:rsidRDefault="0068184B" w:rsidP="00530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A0">
        <w:rPr>
          <w:rFonts w:ascii="Times New Roman" w:hAnsi="Times New Roman" w:cs="Times New Roman"/>
          <w:sz w:val="28"/>
          <w:szCs w:val="28"/>
        </w:rPr>
        <w:t>В нарушение пункта 7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 (далее – Инструкция 33н) бухгалтерская отчетность наблюдательным советом не рассматривалась</w:t>
      </w:r>
      <w:r w:rsidR="00B04223">
        <w:rPr>
          <w:rFonts w:ascii="Times New Roman" w:hAnsi="Times New Roman" w:cs="Times New Roman"/>
          <w:sz w:val="28"/>
          <w:szCs w:val="28"/>
        </w:rPr>
        <w:t>.</w:t>
      </w:r>
    </w:p>
    <w:p w:rsidR="0068184B" w:rsidRPr="005307A0" w:rsidRDefault="00273779" w:rsidP="00530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A0">
        <w:rPr>
          <w:rFonts w:ascii="Times New Roman" w:hAnsi="Times New Roman" w:cs="Times New Roman"/>
          <w:sz w:val="28"/>
          <w:szCs w:val="28"/>
        </w:rPr>
        <w:t xml:space="preserve">В нарушение пункта 3 раздела 1 Порядка составления и утверждения плана ФХД муниципальных учреждений городского округа Верхняя Пышма, утвержденного Постановлением администрации городского округа Верхняя Пышма от 29.08.2011 №1533 (далее – Порядок составления плана ФХД) план </w:t>
      </w:r>
      <w:r w:rsidRPr="005307A0">
        <w:rPr>
          <w:rFonts w:ascii="Times New Roman" w:hAnsi="Times New Roman" w:cs="Times New Roman"/>
          <w:sz w:val="28"/>
          <w:szCs w:val="28"/>
        </w:rPr>
        <w:lastRenderedPageBreak/>
        <w:t xml:space="preserve">ФХД составлен на один финансовый год </w:t>
      </w:r>
      <w:r w:rsidR="00314B7E" w:rsidRPr="005307A0">
        <w:rPr>
          <w:rFonts w:ascii="Times New Roman" w:hAnsi="Times New Roman" w:cs="Times New Roman"/>
          <w:sz w:val="28"/>
          <w:szCs w:val="28"/>
        </w:rPr>
        <w:t xml:space="preserve">(2014 год) </w:t>
      </w:r>
      <w:r w:rsidRPr="005307A0">
        <w:rPr>
          <w:rFonts w:ascii="Times New Roman" w:hAnsi="Times New Roman" w:cs="Times New Roman"/>
          <w:sz w:val="28"/>
          <w:szCs w:val="28"/>
        </w:rPr>
        <w:t xml:space="preserve">при том, что решение о бюджете городского округа Верхняя Пышма </w:t>
      </w:r>
      <w:r w:rsidR="00314B7E" w:rsidRPr="005307A0">
        <w:rPr>
          <w:rFonts w:ascii="Times New Roman" w:hAnsi="Times New Roman" w:cs="Times New Roman"/>
          <w:sz w:val="28"/>
          <w:szCs w:val="28"/>
        </w:rPr>
        <w:t>принято на </w:t>
      </w:r>
      <w:r w:rsidR="00314B7E" w:rsidRPr="005307A0">
        <w:rPr>
          <w:rFonts w:ascii="Times New Roman" w:hAnsi="Times New Roman" w:cs="Times New Roman"/>
          <w:bCs/>
          <w:sz w:val="28"/>
          <w:szCs w:val="28"/>
        </w:rPr>
        <w:t>2014</w:t>
      </w:r>
      <w:r w:rsidR="00314B7E" w:rsidRPr="005307A0">
        <w:rPr>
          <w:rFonts w:ascii="Times New Roman" w:hAnsi="Times New Roman" w:cs="Times New Roman"/>
          <w:sz w:val="28"/>
          <w:szCs w:val="28"/>
        </w:rPr>
        <w:t> год и пл</w:t>
      </w:r>
      <w:r w:rsidR="00B04223">
        <w:rPr>
          <w:rFonts w:ascii="Times New Roman" w:hAnsi="Times New Roman" w:cs="Times New Roman"/>
          <w:sz w:val="28"/>
          <w:szCs w:val="28"/>
        </w:rPr>
        <w:t>ановый период 2015 и 2016 годов.</w:t>
      </w:r>
    </w:p>
    <w:p w:rsidR="008973C0" w:rsidRPr="005307A0" w:rsidRDefault="006933C0" w:rsidP="00530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A0">
        <w:rPr>
          <w:rFonts w:ascii="Times New Roman" w:hAnsi="Times New Roman" w:cs="Times New Roman"/>
          <w:sz w:val="28"/>
          <w:szCs w:val="28"/>
        </w:rPr>
        <w:t xml:space="preserve">В нарушение раздела 1 Приказа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применению» (далее Инструкция №183н) раздел 2 плана ФХД на 01.01.2013, на 01.01.2014 не содержит </w:t>
      </w:r>
      <w:r w:rsidR="008973C0" w:rsidRPr="005307A0">
        <w:rPr>
          <w:rFonts w:ascii="Times New Roman" w:hAnsi="Times New Roman" w:cs="Times New Roman"/>
          <w:sz w:val="28"/>
          <w:szCs w:val="28"/>
        </w:rPr>
        <w:t>достоверной информации</w:t>
      </w:r>
      <w:r w:rsidRPr="005307A0">
        <w:rPr>
          <w:rFonts w:ascii="Times New Roman" w:hAnsi="Times New Roman" w:cs="Times New Roman"/>
          <w:sz w:val="28"/>
          <w:szCs w:val="28"/>
        </w:rPr>
        <w:t xml:space="preserve"> </w:t>
      </w:r>
      <w:r w:rsidR="008973C0" w:rsidRPr="005307A0">
        <w:rPr>
          <w:rFonts w:ascii="Times New Roman" w:hAnsi="Times New Roman" w:cs="Times New Roman"/>
          <w:sz w:val="28"/>
          <w:szCs w:val="28"/>
        </w:rPr>
        <w:t xml:space="preserve">по </w:t>
      </w:r>
      <w:r w:rsidR="00506995" w:rsidRPr="005307A0">
        <w:rPr>
          <w:rFonts w:ascii="Times New Roman" w:hAnsi="Times New Roman" w:cs="Times New Roman"/>
          <w:sz w:val="28"/>
          <w:szCs w:val="28"/>
        </w:rPr>
        <w:t>следующим</w:t>
      </w:r>
      <w:r w:rsidR="008973C0" w:rsidRPr="005307A0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506995" w:rsidRPr="005307A0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8973C0" w:rsidRPr="005307A0">
        <w:rPr>
          <w:rFonts w:ascii="Times New Roman" w:hAnsi="Times New Roman" w:cs="Times New Roman"/>
          <w:sz w:val="28"/>
          <w:szCs w:val="28"/>
        </w:rPr>
        <w:t>:</w:t>
      </w:r>
    </w:p>
    <w:p w:rsidR="00506995" w:rsidRPr="00506995" w:rsidRDefault="00506995" w:rsidP="00506995">
      <w:pPr>
        <w:tabs>
          <w:tab w:val="left" w:pos="5700"/>
          <w:tab w:val="left" w:pos="6345"/>
        </w:tabs>
        <w:spacing w:after="0"/>
        <w:rPr>
          <w:rFonts w:ascii="Times New Roman" w:hAnsi="Times New Roman" w:cs="Times New Roman"/>
        </w:rPr>
      </w:pPr>
      <w:r>
        <w:tab/>
      </w:r>
      <w:r w:rsidRPr="00506995">
        <w:rPr>
          <w:rFonts w:ascii="Times New Roman" w:hAnsi="Times New Roman" w:cs="Times New Roman"/>
        </w:rPr>
        <w:t>Таблица 1, рублей</w:t>
      </w:r>
    </w:p>
    <w:tbl>
      <w:tblPr>
        <w:tblStyle w:val="a4"/>
        <w:tblW w:w="6878" w:type="dxa"/>
        <w:tblInd w:w="804" w:type="dxa"/>
        <w:tblLook w:val="04A0" w:firstRow="1" w:lastRow="0" w:firstColumn="1" w:lastColumn="0" w:noHBand="0" w:noVBand="1"/>
      </w:tblPr>
      <w:tblGrid>
        <w:gridCol w:w="3333"/>
        <w:gridCol w:w="1985"/>
        <w:gridCol w:w="1560"/>
      </w:tblGrid>
      <w:tr w:rsidR="00506995" w:rsidRPr="00506995" w:rsidTr="00506995">
        <w:trPr>
          <w:trHeight w:val="600"/>
        </w:trPr>
        <w:tc>
          <w:tcPr>
            <w:tcW w:w="3333" w:type="dxa"/>
            <w:vMerge w:val="restart"/>
            <w:hideMark/>
          </w:tcPr>
          <w:p w:rsidR="00506995" w:rsidRPr="00506995" w:rsidRDefault="00506995" w:rsidP="00D1476B">
            <w:pPr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Наименование показателя согласно плану ФХД</w:t>
            </w:r>
          </w:p>
        </w:tc>
        <w:tc>
          <w:tcPr>
            <w:tcW w:w="3545" w:type="dxa"/>
            <w:gridSpan w:val="2"/>
            <w:hideMark/>
          </w:tcPr>
          <w:p w:rsidR="00506995" w:rsidRPr="00506995" w:rsidRDefault="00506995" w:rsidP="00D1476B">
            <w:pPr>
              <w:jc w:val="center"/>
              <w:rPr>
                <w:rFonts w:ascii="Times New Roman" w:hAnsi="Times New Roman" w:cs="Times New Roman"/>
              </w:rPr>
            </w:pPr>
            <w:r w:rsidRPr="00DD2586">
              <w:rPr>
                <w:rFonts w:ascii="Times New Roman" w:hAnsi="Times New Roman" w:cs="Times New Roman"/>
                <w:u w:val="single"/>
              </w:rPr>
              <w:t>Отклонение</w:t>
            </w:r>
            <w:r w:rsidRPr="00506995">
              <w:rPr>
                <w:rFonts w:ascii="Times New Roman" w:hAnsi="Times New Roman" w:cs="Times New Roman"/>
              </w:rPr>
              <w:t xml:space="preserve"> от показателей бухгалтерской отчетности</w:t>
            </w:r>
          </w:p>
        </w:tc>
      </w:tr>
      <w:tr w:rsidR="00506995" w:rsidRPr="00506995" w:rsidTr="00506995">
        <w:trPr>
          <w:trHeight w:val="300"/>
        </w:trPr>
        <w:tc>
          <w:tcPr>
            <w:tcW w:w="3333" w:type="dxa"/>
            <w:vMerge/>
            <w:hideMark/>
          </w:tcPr>
          <w:p w:rsidR="00506995" w:rsidRPr="00506995" w:rsidRDefault="00506995" w:rsidP="00D147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hideMark/>
          </w:tcPr>
          <w:p w:rsidR="00506995" w:rsidRPr="00DD2586" w:rsidRDefault="00506995" w:rsidP="00506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86">
              <w:rPr>
                <w:rFonts w:ascii="Times New Roman" w:hAnsi="Times New Roman" w:cs="Times New Roman"/>
                <w:b/>
              </w:rPr>
              <w:t>на 01.01.2013</w:t>
            </w:r>
          </w:p>
        </w:tc>
        <w:tc>
          <w:tcPr>
            <w:tcW w:w="1560" w:type="dxa"/>
            <w:noWrap/>
            <w:hideMark/>
          </w:tcPr>
          <w:p w:rsidR="00506995" w:rsidRPr="00DD2586" w:rsidRDefault="00506995" w:rsidP="00506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86">
              <w:rPr>
                <w:rFonts w:ascii="Times New Roman" w:hAnsi="Times New Roman" w:cs="Times New Roman"/>
                <w:b/>
              </w:rPr>
              <w:t>на 01.01.2014</w:t>
            </w:r>
          </w:p>
        </w:tc>
      </w:tr>
      <w:tr w:rsidR="00506995" w:rsidRPr="00506995" w:rsidTr="00506995">
        <w:trPr>
          <w:trHeight w:val="300"/>
        </w:trPr>
        <w:tc>
          <w:tcPr>
            <w:tcW w:w="3333" w:type="dxa"/>
            <w:noWrap/>
            <w:hideMark/>
          </w:tcPr>
          <w:p w:rsidR="00506995" w:rsidRPr="00506995" w:rsidRDefault="00506995" w:rsidP="00D1476B">
            <w:pPr>
              <w:jc w:val="both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 xml:space="preserve">Нефинансовые активы, всего </w:t>
            </w:r>
          </w:p>
        </w:tc>
        <w:tc>
          <w:tcPr>
            <w:tcW w:w="1985" w:type="dxa"/>
            <w:noWrap/>
            <w:hideMark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16 141 867,36</w:t>
            </w:r>
          </w:p>
        </w:tc>
        <w:tc>
          <w:tcPr>
            <w:tcW w:w="1560" w:type="dxa"/>
            <w:noWrap/>
            <w:hideMark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18 863 779,29</w:t>
            </w:r>
          </w:p>
        </w:tc>
      </w:tr>
      <w:tr w:rsidR="00506995" w:rsidRPr="00506995" w:rsidTr="00506995">
        <w:trPr>
          <w:trHeight w:val="300"/>
        </w:trPr>
        <w:tc>
          <w:tcPr>
            <w:tcW w:w="3333" w:type="dxa"/>
            <w:noWrap/>
            <w:hideMark/>
          </w:tcPr>
          <w:p w:rsidR="00506995" w:rsidRPr="00506995" w:rsidRDefault="00506995" w:rsidP="00D1476B">
            <w:pPr>
              <w:jc w:val="both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 xml:space="preserve">Финансовые активы, всего </w:t>
            </w:r>
          </w:p>
        </w:tc>
        <w:tc>
          <w:tcPr>
            <w:tcW w:w="1985" w:type="dxa"/>
            <w:noWrap/>
            <w:hideMark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212 886,77</w:t>
            </w:r>
          </w:p>
        </w:tc>
        <w:tc>
          <w:tcPr>
            <w:tcW w:w="1560" w:type="dxa"/>
            <w:noWrap/>
            <w:hideMark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830 374,57</w:t>
            </w:r>
          </w:p>
        </w:tc>
      </w:tr>
      <w:tr w:rsidR="00506995" w:rsidRPr="00506995" w:rsidTr="00506995">
        <w:trPr>
          <w:trHeight w:val="300"/>
        </w:trPr>
        <w:tc>
          <w:tcPr>
            <w:tcW w:w="3333" w:type="dxa"/>
            <w:noWrap/>
          </w:tcPr>
          <w:p w:rsidR="00506995" w:rsidRPr="00506995" w:rsidRDefault="00506995" w:rsidP="00D1476B">
            <w:pPr>
              <w:jc w:val="both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Дебиторская задолженность по выданным авансам, за счет средств бюджета</w:t>
            </w:r>
          </w:p>
        </w:tc>
        <w:tc>
          <w:tcPr>
            <w:tcW w:w="1985" w:type="dxa"/>
            <w:noWrap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  <w:noWrap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-</w:t>
            </w:r>
          </w:p>
        </w:tc>
      </w:tr>
      <w:tr w:rsidR="00506995" w:rsidRPr="00506995" w:rsidTr="00506995">
        <w:trPr>
          <w:trHeight w:val="300"/>
        </w:trPr>
        <w:tc>
          <w:tcPr>
            <w:tcW w:w="3333" w:type="dxa"/>
            <w:noWrap/>
            <w:hideMark/>
          </w:tcPr>
          <w:p w:rsidR="00506995" w:rsidRPr="00506995" w:rsidRDefault="00506995" w:rsidP="00D1476B">
            <w:pPr>
              <w:jc w:val="both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 xml:space="preserve">Обязательства, всего </w:t>
            </w:r>
          </w:p>
        </w:tc>
        <w:tc>
          <w:tcPr>
            <w:tcW w:w="1985" w:type="dxa"/>
            <w:noWrap/>
            <w:hideMark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 xml:space="preserve">1 161 896,85 </w:t>
            </w:r>
          </w:p>
        </w:tc>
        <w:tc>
          <w:tcPr>
            <w:tcW w:w="1560" w:type="dxa"/>
            <w:noWrap/>
            <w:hideMark/>
          </w:tcPr>
          <w:p w:rsidR="00506995" w:rsidRPr="00506995" w:rsidRDefault="00506995" w:rsidP="00D1476B">
            <w:pPr>
              <w:jc w:val="right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-</w:t>
            </w:r>
          </w:p>
        </w:tc>
      </w:tr>
    </w:tbl>
    <w:p w:rsidR="009978D0" w:rsidRDefault="009978D0" w:rsidP="00530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3C0" w:rsidRPr="000F203A" w:rsidRDefault="00E10E24" w:rsidP="00530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3A">
        <w:rPr>
          <w:rFonts w:ascii="Times New Roman" w:hAnsi="Times New Roman" w:cs="Times New Roman"/>
          <w:sz w:val="28"/>
          <w:szCs w:val="28"/>
        </w:rPr>
        <w:t xml:space="preserve">В нарушение пункта 6 </w:t>
      </w:r>
      <w:r w:rsidR="000F203A" w:rsidRPr="000F203A">
        <w:rPr>
          <w:rFonts w:ascii="Times New Roman" w:hAnsi="Times New Roman" w:cs="Times New Roman"/>
          <w:bCs/>
          <w:sz w:val="28"/>
          <w:szCs w:val="28"/>
        </w:rPr>
        <w:t>Порядка составления и утверждения плана ФХД муниципальных учреждений городского округа Верхняя Пышма, утвержденного Постановлением администрации городского округа Верхняя Пышма от 29.08.2011 №1533 (далее – Порядок составления плана ФХД)</w:t>
      </w:r>
      <w:r w:rsidRPr="000F203A">
        <w:rPr>
          <w:rFonts w:ascii="Times New Roman" w:hAnsi="Times New Roman" w:cs="Times New Roman"/>
          <w:sz w:val="28"/>
          <w:szCs w:val="28"/>
        </w:rPr>
        <w:t xml:space="preserve"> расчет нормативных затрат за 2013 год, подтверждающий объем необходимых средств</w:t>
      </w:r>
      <w:r w:rsidR="00AB46EE" w:rsidRPr="000F203A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учреждения</w:t>
      </w:r>
      <w:r w:rsidRPr="000F203A">
        <w:rPr>
          <w:rFonts w:ascii="Times New Roman" w:hAnsi="Times New Roman" w:cs="Times New Roman"/>
          <w:sz w:val="28"/>
          <w:szCs w:val="28"/>
        </w:rPr>
        <w:t xml:space="preserve">, представлен по состоянию на 01.01.2013 года и на 31.12.2013 года, при том что изменения в план ФХД </w:t>
      </w:r>
      <w:r w:rsidR="00AB46EE" w:rsidRPr="000F203A">
        <w:rPr>
          <w:rFonts w:ascii="Times New Roman" w:hAnsi="Times New Roman" w:cs="Times New Roman"/>
          <w:sz w:val="28"/>
          <w:szCs w:val="28"/>
        </w:rPr>
        <w:t xml:space="preserve">в течение 2013 года </w:t>
      </w:r>
      <w:r w:rsidRPr="000F203A">
        <w:rPr>
          <w:rFonts w:ascii="Times New Roman" w:hAnsi="Times New Roman" w:cs="Times New Roman"/>
          <w:sz w:val="28"/>
          <w:szCs w:val="28"/>
        </w:rPr>
        <w:t>вносились 7 раз, расчет за проверяемый период 2014 года представлен по состоянию на 01.01.2014 года и на 01.06.2014 года, изменения вносились 4 раза</w:t>
      </w:r>
      <w:r w:rsidR="00B04223" w:rsidRPr="000F203A">
        <w:rPr>
          <w:rFonts w:ascii="Times New Roman" w:hAnsi="Times New Roman" w:cs="Times New Roman"/>
          <w:sz w:val="28"/>
          <w:szCs w:val="28"/>
        </w:rPr>
        <w:t>.</w:t>
      </w:r>
    </w:p>
    <w:p w:rsidR="00B04223" w:rsidRDefault="00603840" w:rsidP="00EE6F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7A0">
        <w:rPr>
          <w:rFonts w:ascii="Times New Roman" w:hAnsi="Times New Roman" w:cs="Times New Roman"/>
          <w:sz w:val="28"/>
          <w:szCs w:val="28"/>
        </w:rPr>
        <w:t xml:space="preserve">В нарушение пункта 1 </w:t>
      </w:r>
      <w:r w:rsidRPr="005307A0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 муниципального задания в отношении муниципальных учреждений городского округа Верхняя Пышма, утвержденного Постановлением администрации городского округа Верхняя Пышма и финансового обеспечения выполнения муниципального задания от 29 апреля 2011 г. № 710 (далее - Порядок №710) в муниципальное задание учреждения в 2013 году включено оказание муниципальных услуг, не соответствующих </w:t>
      </w:r>
      <w:r w:rsidR="00207D7A" w:rsidRPr="005307A0">
        <w:rPr>
          <w:rFonts w:ascii="Times New Roman" w:hAnsi="Times New Roman" w:cs="Times New Roman"/>
          <w:bCs/>
          <w:sz w:val="28"/>
          <w:szCs w:val="28"/>
        </w:rPr>
        <w:t xml:space="preserve">основным видам деятельности согласно </w:t>
      </w:r>
      <w:r w:rsidR="00B04223">
        <w:rPr>
          <w:rFonts w:ascii="Times New Roman" w:hAnsi="Times New Roman" w:cs="Times New Roman"/>
          <w:bCs/>
          <w:sz w:val="28"/>
          <w:szCs w:val="28"/>
        </w:rPr>
        <w:t>Уставу учреждения</w:t>
      </w:r>
      <w:r w:rsidR="00EE6F6B">
        <w:rPr>
          <w:rFonts w:ascii="Times New Roman" w:hAnsi="Times New Roman" w:cs="Times New Roman"/>
          <w:bCs/>
          <w:sz w:val="28"/>
          <w:szCs w:val="28"/>
        </w:rPr>
        <w:t>.</w:t>
      </w:r>
    </w:p>
    <w:p w:rsidR="009978D0" w:rsidRPr="009978D0" w:rsidRDefault="009978D0" w:rsidP="009978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8D0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7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Порядок № 86н) ДЮСШ «Лидер» не размещена информация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соответствующих сайтах </w:t>
      </w:r>
      <w:r w:rsidRPr="009978D0">
        <w:rPr>
          <w:rFonts w:ascii="Times New Roman" w:hAnsi="Times New Roman" w:cs="Times New Roman"/>
          <w:bCs/>
          <w:sz w:val="28"/>
          <w:szCs w:val="28"/>
        </w:rPr>
        <w:t>об операциях с целевыми средствами, информация об изменениях, вносимых в план ФХД размещена частично.</w:t>
      </w:r>
    </w:p>
    <w:p w:rsidR="003F35C4" w:rsidRDefault="003F35C4" w:rsidP="009978D0">
      <w:pPr>
        <w:spacing w:before="24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5C4">
        <w:rPr>
          <w:rFonts w:ascii="Times New Roman" w:hAnsi="Times New Roman" w:cs="Times New Roman"/>
          <w:b/>
          <w:i/>
          <w:sz w:val="28"/>
          <w:szCs w:val="28"/>
        </w:rPr>
        <w:t>Проверка расходования средств бюджета городского округа Верхняя Пышма, выделенных на обеспечение деятельности ДЮСШ «Лидер» установила следующие нарушения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126B" w:rsidRDefault="002F126B" w:rsidP="002F126B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6B">
        <w:rPr>
          <w:rFonts w:ascii="Times New Roman" w:hAnsi="Times New Roman" w:cs="Times New Roman"/>
          <w:b/>
          <w:sz w:val="28"/>
          <w:szCs w:val="28"/>
        </w:rPr>
        <w:t>Нецелевое использование бюджетных средств на сумму 10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126B">
        <w:rPr>
          <w:rFonts w:ascii="Times New Roman" w:hAnsi="Times New Roman" w:cs="Times New Roman"/>
          <w:b/>
          <w:sz w:val="28"/>
          <w:szCs w:val="28"/>
        </w:rPr>
        <w:t>,4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126B" w:rsidRDefault="002F126B" w:rsidP="002F1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6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126B">
        <w:rPr>
          <w:rFonts w:ascii="Times New Roman" w:hAnsi="Times New Roman" w:cs="Times New Roman"/>
          <w:sz w:val="28"/>
          <w:szCs w:val="28"/>
        </w:rPr>
        <w:t>татьи 289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9F">
        <w:rPr>
          <w:rFonts w:ascii="Times New Roman" w:hAnsi="Times New Roman" w:cs="Times New Roman"/>
          <w:sz w:val="28"/>
          <w:szCs w:val="28"/>
        </w:rPr>
        <w:t xml:space="preserve">в </w:t>
      </w:r>
      <w:r w:rsidR="00AE459F" w:rsidRPr="00AE459F">
        <w:rPr>
          <w:rFonts w:ascii="Times New Roman" w:hAnsi="Times New Roman" w:cs="Times New Roman"/>
          <w:sz w:val="28"/>
          <w:szCs w:val="28"/>
        </w:rPr>
        <w:t>течение проверяемого периода произведены расходы на выплату денежных средств судьям при проведении соревнований на общую сумму 108</w:t>
      </w:r>
      <w:r w:rsidR="00812B32">
        <w:rPr>
          <w:rFonts w:ascii="Times New Roman" w:hAnsi="Times New Roman" w:cs="Times New Roman"/>
          <w:sz w:val="28"/>
          <w:szCs w:val="28"/>
        </w:rPr>
        <w:t>,</w:t>
      </w:r>
      <w:r w:rsidR="00AE459F" w:rsidRPr="00AE459F">
        <w:rPr>
          <w:rFonts w:ascii="Times New Roman" w:hAnsi="Times New Roman" w:cs="Times New Roman"/>
          <w:sz w:val="28"/>
          <w:szCs w:val="28"/>
        </w:rPr>
        <w:t>4</w:t>
      </w:r>
      <w:r w:rsidR="00812B32">
        <w:rPr>
          <w:rFonts w:ascii="Times New Roman" w:hAnsi="Times New Roman" w:cs="Times New Roman"/>
          <w:sz w:val="28"/>
          <w:szCs w:val="28"/>
        </w:rPr>
        <w:t xml:space="preserve"> тыс.</w:t>
      </w:r>
      <w:r w:rsidR="00AE459F" w:rsidRPr="00AE459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459F">
        <w:rPr>
          <w:rFonts w:ascii="Times New Roman" w:hAnsi="Times New Roman" w:cs="Times New Roman"/>
          <w:sz w:val="28"/>
          <w:szCs w:val="28"/>
        </w:rPr>
        <w:t xml:space="preserve">. </w:t>
      </w:r>
      <w:r w:rsidR="00AE459F" w:rsidRPr="00AE459F">
        <w:rPr>
          <w:rFonts w:ascii="Times New Roman" w:hAnsi="Times New Roman" w:cs="Times New Roman"/>
          <w:sz w:val="28"/>
          <w:szCs w:val="28"/>
        </w:rPr>
        <w:t>Данные расходы не утверждены нормативными правовыми документами учреждения и не предусмотрены представленным к проверке расчетом нормативных затрат муниципальных услуг</w:t>
      </w:r>
      <w:r w:rsidR="00AE459F">
        <w:rPr>
          <w:rFonts w:ascii="Times New Roman" w:hAnsi="Times New Roman" w:cs="Times New Roman"/>
          <w:sz w:val="28"/>
          <w:szCs w:val="28"/>
        </w:rPr>
        <w:t>.</w:t>
      </w:r>
    </w:p>
    <w:p w:rsidR="00F91168" w:rsidRPr="00F91168" w:rsidRDefault="009645B2" w:rsidP="00F91168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Несоблюдение порядка ведения кассовых операций. </w:t>
      </w:r>
      <w:r w:rsidR="00F91168" w:rsidRPr="00F91168">
        <w:rPr>
          <w:rFonts w:ascii="Times New Roman" w:hAnsi="Times New Roman" w:cs="Times New Roman"/>
          <w:b/>
          <w:sz w:val="28"/>
          <w:szCs w:val="28"/>
        </w:rPr>
        <w:t>Превышение лимита остатка кассы на сумму 61,6 тыс. рублей.</w:t>
      </w:r>
    </w:p>
    <w:p w:rsidR="00F91168" w:rsidRDefault="00F91168" w:rsidP="00F911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68">
        <w:rPr>
          <w:rFonts w:ascii="Times New Roman" w:hAnsi="Times New Roman" w:cs="Times New Roman"/>
          <w:sz w:val="28"/>
          <w:szCs w:val="28"/>
        </w:rPr>
        <w:t xml:space="preserve">В нарушение пункта 1.4 </w:t>
      </w:r>
      <w:r w:rsidR="009F0496" w:rsidRPr="009F0496">
        <w:rPr>
          <w:rFonts w:ascii="Times New Roman" w:hAnsi="Times New Roman" w:cs="Times New Roman"/>
          <w:sz w:val="28"/>
          <w:szCs w:val="28"/>
        </w:rPr>
        <w:t>Положения о порядке ведения кассовых операций с банкнотами и монетой банка России на территории Российской Федерации от 12.10.2011 №373-П (далее – Порядок №373-П)</w:t>
      </w:r>
      <w:r w:rsidRPr="00F91168">
        <w:rPr>
          <w:rFonts w:ascii="Times New Roman" w:hAnsi="Times New Roman" w:cs="Times New Roman"/>
          <w:sz w:val="28"/>
          <w:szCs w:val="28"/>
        </w:rPr>
        <w:t>, согласно кассовым операциям за 01.09.2013 установлено наличие средств в кассе сверх установленного лимита остатка на конец операционного дня</w:t>
      </w:r>
      <w:r w:rsidR="003E1636">
        <w:rPr>
          <w:rFonts w:ascii="Times New Roman" w:hAnsi="Times New Roman" w:cs="Times New Roman"/>
          <w:sz w:val="28"/>
          <w:szCs w:val="28"/>
        </w:rPr>
        <w:t xml:space="preserve"> на сумму 61,6 </w:t>
      </w:r>
      <w:proofErr w:type="spellStart"/>
      <w:r w:rsidR="003E16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91168">
        <w:rPr>
          <w:rFonts w:ascii="Times New Roman" w:hAnsi="Times New Roman" w:cs="Times New Roman"/>
          <w:sz w:val="28"/>
          <w:szCs w:val="28"/>
        </w:rPr>
        <w:t>.</w:t>
      </w:r>
    </w:p>
    <w:p w:rsidR="009645B2" w:rsidRPr="009645B2" w:rsidRDefault="009645B2" w:rsidP="00964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B2">
        <w:rPr>
          <w:rFonts w:ascii="Times New Roman" w:hAnsi="Times New Roman" w:cs="Times New Roman"/>
          <w:sz w:val="28"/>
          <w:szCs w:val="28"/>
        </w:rPr>
        <w:t>В нарушение пункта 3.2 Порядка №373-П, пункта 5.1 Указаний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 марта 2014 № 3210-У (далее – Порядок №3210-У) при оформлении поступления наличных денежных средств в кассу учреждения квитанции к приходным кассовым ордерам на руки сотрудникам не выданы и подшиты в журнале операций по счету «Касса»;</w:t>
      </w:r>
    </w:p>
    <w:p w:rsidR="009645B2" w:rsidRDefault="009645B2" w:rsidP="00964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B2">
        <w:rPr>
          <w:rFonts w:ascii="Times New Roman" w:hAnsi="Times New Roman" w:cs="Times New Roman"/>
          <w:sz w:val="28"/>
          <w:szCs w:val="28"/>
        </w:rPr>
        <w:t>В нарушение пункта 4.7 Порядка №3210-У при формировании кассовых операций за период с апреля по июнь 2014 года имеют место исправления нумерации расходных кассовых ордеров.</w:t>
      </w:r>
    </w:p>
    <w:p w:rsidR="009332FA" w:rsidRPr="009332FA" w:rsidRDefault="009332FA" w:rsidP="009332F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FA">
        <w:rPr>
          <w:rFonts w:ascii="Times New Roman" w:hAnsi="Times New Roman" w:cs="Times New Roman"/>
          <w:b/>
          <w:sz w:val="28"/>
          <w:szCs w:val="28"/>
        </w:rPr>
        <w:tab/>
        <w:t xml:space="preserve">Несоответствие бюджетного учета действующему законодательству на сумму 158,4 тыс. рублей. </w:t>
      </w:r>
    </w:p>
    <w:p w:rsidR="009332FA" w:rsidRDefault="009332FA" w:rsidP="00933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 xml:space="preserve"> В нарушение пункта 90 Инструкции №183н, согласно представленным к проверке отчетам кассира от 09.09.2013 и 01.11.2013 произведена выдача денежных документов, лицам, не состоящим в штате учреждения, без заключения договоров гражданско-правового характера.</w:t>
      </w:r>
    </w:p>
    <w:p w:rsidR="009332FA" w:rsidRPr="009332FA" w:rsidRDefault="009332FA" w:rsidP="009332F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FA">
        <w:rPr>
          <w:rFonts w:ascii="Times New Roman" w:hAnsi="Times New Roman" w:cs="Times New Roman"/>
          <w:b/>
          <w:sz w:val="28"/>
          <w:szCs w:val="28"/>
        </w:rPr>
        <w:tab/>
        <w:t>Ненадлежащее оформление первичных учетных документов на сумму 173,6 тыс. рублей.</w:t>
      </w:r>
    </w:p>
    <w:p w:rsidR="009332FA" w:rsidRPr="009645B2" w:rsidRDefault="009332FA" w:rsidP="00933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 xml:space="preserve">В нарушение пункта 1 статьи 10 Федерального закона № 402-ФЗ в течение проверяемого периода, согласно кассовым операциям, в кассу </w:t>
      </w:r>
      <w:r w:rsidRPr="009332FA">
        <w:rPr>
          <w:rFonts w:ascii="Times New Roman" w:hAnsi="Times New Roman" w:cs="Times New Roman"/>
          <w:sz w:val="28"/>
          <w:szCs w:val="28"/>
        </w:rPr>
        <w:lastRenderedPageBreak/>
        <w:t>учреждения возвращены подотчетные средства на сумму 173,6 тыс. рублей без отражения сведений о внесении остатка, погашении перерасхода подотчетных сумм в первичной документации.</w:t>
      </w:r>
    </w:p>
    <w:p w:rsidR="009645B2" w:rsidRPr="009645B2" w:rsidRDefault="009645B2" w:rsidP="009645B2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5B2">
        <w:rPr>
          <w:rFonts w:ascii="Times New Roman" w:hAnsi="Times New Roman" w:cs="Times New Roman"/>
          <w:sz w:val="28"/>
          <w:szCs w:val="28"/>
        </w:rPr>
        <w:tab/>
      </w:r>
      <w:r w:rsidRPr="009645B2">
        <w:rPr>
          <w:rFonts w:ascii="Times New Roman" w:hAnsi="Times New Roman" w:cs="Times New Roman"/>
          <w:b/>
          <w:sz w:val="28"/>
          <w:szCs w:val="28"/>
        </w:rPr>
        <w:t xml:space="preserve">Расходование денежных средств без подтверждения первичной документацией на сумму 710,3 тыс. рублей. </w:t>
      </w:r>
    </w:p>
    <w:p w:rsidR="009645B2" w:rsidRPr="009645B2" w:rsidRDefault="009645B2" w:rsidP="00964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B2">
        <w:rPr>
          <w:rFonts w:ascii="Times New Roman" w:hAnsi="Times New Roman" w:cs="Times New Roman"/>
          <w:sz w:val="28"/>
          <w:szCs w:val="28"/>
        </w:rPr>
        <w:t>В нарушение пункта 2.1. Порядка №373-П, пункта 6.3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5B2">
        <w:rPr>
          <w:rFonts w:ascii="Times New Roman" w:hAnsi="Times New Roman" w:cs="Times New Roman"/>
          <w:sz w:val="28"/>
          <w:szCs w:val="28"/>
        </w:rPr>
        <w:t xml:space="preserve"> №3210-У в проверяемом периоде при выдаче денежных средств из кассы учреждения отсутствуют подтверждающие расход документы на сумму 359,6 тыс. рублей.</w:t>
      </w:r>
    </w:p>
    <w:p w:rsidR="009645B2" w:rsidRDefault="009645B2" w:rsidP="00964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B2">
        <w:rPr>
          <w:rFonts w:ascii="Times New Roman" w:hAnsi="Times New Roman" w:cs="Times New Roman"/>
          <w:sz w:val="28"/>
          <w:szCs w:val="28"/>
        </w:rPr>
        <w:t>В нарушение части 1 статьи 166 Трудового кодекса Российской Федерации, пунктов 3,6,7,26 Положения об особенностях направления работников в служебные командировки, утвержденным Постановлением Правительства Российской Федерации от 13 октября 2008 г. № 749 (далее – Положение о командировках №749) установлены факты направления сотрудников в командировку без приказа руководителя, командировочного удостоверения, служебного задания для направления в командировку, отсутствия отчетов о выполненной работе в командировке на общую сумму 350,7 тыс. рублей.</w:t>
      </w:r>
    </w:p>
    <w:p w:rsidR="00C93516" w:rsidRDefault="00C93516" w:rsidP="00C93516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93516">
        <w:rPr>
          <w:rFonts w:ascii="Times New Roman" w:hAnsi="Times New Roman" w:cs="Times New Roman"/>
          <w:b/>
          <w:sz w:val="28"/>
          <w:szCs w:val="28"/>
        </w:rPr>
        <w:t>еобоснованно произведенны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93516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93516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094A56">
        <w:rPr>
          <w:rFonts w:ascii="Times New Roman" w:hAnsi="Times New Roman" w:cs="Times New Roman"/>
          <w:b/>
          <w:sz w:val="28"/>
          <w:szCs w:val="28"/>
        </w:rPr>
        <w:t>28,7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C9351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332FA">
        <w:rPr>
          <w:rFonts w:ascii="Times New Roman" w:hAnsi="Times New Roman" w:cs="Times New Roman"/>
          <w:b/>
          <w:sz w:val="28"/>
          <w:szCs w:val="28"/>
        </w:rPr>
        <w:t xml:space="preserve"> Несоблюдение порядка выдачи денежных средств под отчет.</w:t>
      </w:r>
    </w:p>
    <w:p w:rsidR="00C93516" w:rsidRDefault="00C93516" w:rsidP="00785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16">
        <w:rPr>
          <w:rFonts w:ascii="Times New Roman" w:hAnsi="Times New Roman" w:cs="Times New Roman"/>
          <w:sz w:val="28"/>
          <w:szCs w:val="28"/>
        </w:rPr>
        <w:t xml:space="preserve">В нарушение пункта 1 статьи 9 Федерального </w:t>
      </w:r>
      <w:r w:rsidR="009332FA" w:rsidRPr="00C9351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332FA" w:rsidRPr="00812B32">
        <w:rPr>
          <w:rFonts w:ascii="Times New Roman" w:hAnsi="Times New Roman" w:cs="Times New Roman"/>
          <w:sz w:val="28"/>
          <w:szCs w:val="28"/>
        </w:rPr>
        <w:t>от</w:t>
      </w:r>
      <w:r w:rsidR="00812B32" w:rsidRPr="00812B32">
        <w:rPr>
          <w:rFonts w:ascii="Times New Roman" w:hAnsi="Times New Roman" w:cs="Times New Roman"/>
          <w:sz w:val="28"/>
          <w:szCs w:val="28"/>
        </w:rPr>
        <w:t xml:space="preserve"> </w:t>
      </w:r>
      <w:r w:rsidR="00812B32">
        <w:rPr>
          <w:rFonts w:ascii="Times New Roman" w:hAnsi="Times New Roman" w:cs="Times New Roman"/>
          <w:sz w:val="28"/>
          <w:szCs w:val="28"/>
        </w:rPr>
        <w:t>0</w:t>
      </w:r>
      <w:r w:rsidR="00812B32" w:rsidRPr="00812B32">
        <w:rPr>
          <w:rFonts w:ascii="Times New Roman" w:hAnsi="Times New Roman" w:cs="Times New Roman"/>
          <w:sz w:val="28"/>
          <w:szCs w:val="28"/>
        </w:rPr>
        <w:t>6</w:t>
      </w:r>
      <w:r w:rsidR="00812B32">
        <w:rPr>
          <w:rFonts w:ascii="Times New Roman" w:hAnsi="Times New Roman" w:cs="Times New Roman"/>
          <w:sz w:val="28"/>
          <w:szCs w:val="28"/>
        </w:rPr>
        <w:t>.12.</w:t>
      </w:r>
      <w:r w:rsidR="00812B32" w:rsidRPr="00812B32">
        <w:rPr>
          <w:rFonts w:ascii="Times New Roman" w:hAnsi="Times New Roman" w:cs="Times New Roman"/>
          <w:sz w:val="28"/>
          <w:szCs w:val="28"/>
        </w:rPr>
        <w:t>2011</w:t>
      </w:r>
      <w:r w:rsidR="00812B32">
        <w:rPr>
          <w:rFonts w:ascii="Times New Roman" w:hAnsi="Times New Roman" w:cs="Times New Roman"/>
          <w:sz w:val="28"/>
          <w:szCs w:val="28"/>
        </w:rPr>
        <w:t xml:space="preserve"> </w:t>
      </w:r>
      <w:r w:rsidRPr="00C93516">
        <w:rPr>
          <w:rFonts w:ascii="Times New Roman" w:hAnsi="Times New Roman" w:cs="Times New Roman"/>
          <w:sz w:val="28"/>
          <w:szCs w:val="28"/>
        </w:rPr>
        <w:t>№ 402-</w:t>
      </w:r>
      <w:r w:rsidR="0078506F" w:rsidRPr="00C93516">
        <w:rPr>
          <w:rFonts w:ascii="Times New Roman" w:hAnsi="Times New Roman" w:cs="Times New Roman"/>
          <w:sz w:val="28"/>
          <w:szCs w:val="28"/>
        </w:rPr>
        <w:t>ФЗ</w:t>
      </w:r>
      <w:r w:rsidR="00812B32">
        <w:rPr>
          <w:rFonts w:ascii="Times New Roman" w:hAnsi="Times New Roman" w:cs="Times New Roman"/>
          <w:sz w:val="28"/>
          <w:szCs w:val="28"/>
        </w:rPr>
        <w:t xml:space="preserve"> «</w:t>
      </w:r>
      <w:r w:rsidR="00812B32" w:rsidRPr="00812B32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812B32">
        <w:rPr>
          <w:rFonts w:ascii="Times New Roman" w:hAnsi="Times New Roman" w:cs="Times New Roman"/>
          <w:sz w:val="28"/>
          <w:szCs w:val="28"/>
        </w:rPr>
        <w:t>»</w:t>
      </w:r>
      <w:r w:rsidR="0078506F">
        <w:rPr>
          <w:rFonts w:ascii="Times New Roman" w:hAnsi="Times New Roman" w:cs="Times New Roman"/>
          <w:sz w:val="28"/>
          <w:szCs w:val="28"/>
        </w:rPr>
        <w:t>, пункта</w:t>
      </w:r>
      <w:r w:rsidR="0078506F" w:rsidRPr="0078506F">
        <w:rPr>
          <w:rFonts w:ascii="Times New Roman" w:hAnsi="Times New Roman" w:cs="Times New Roman"/>
          <w:sz w:val="28"/>
          <w:szCs w:val="28"/>
        </w:rPr>
        <w:t xml:space="preserve"> 12 Положения о командировках №749, пункта 1 Приложения №9 Учетной политики на 2013 год</w:t>
      </w:r>
      <w:r w:rsidR="0078506F">
        <w:rPr>
          <w:rFonts w:ascii="Times New Roman" w:hAnsi="Times New Roman" w:cs="Times New Roman"/>
          <w:sz w:val="28"/>
          <w:szCs w:val="28"/>
        </w:rPr>
        <w:t xml:space="preserve"> к учету приняты расходы на возмещение сумм по авансовым отчетам без подтверждающих расход документов</w:t>
      </w:r>
      <w:r w:rsidR="003E1636">
        <w:rPr>
          <w:rFonts w:ascii="Times New Roman" w:hAnsi="Times New Roman" w:cs="Times New Roman"/>
          <w:sz w:val="28"/>
          <w:szCs w:val="28"/>
        </w:rPr>
        <w:t xml:space="preserve"> на сумму 28,7 тыс. рублей</w:t>
      </w:r>
      <w:r w:rsidR="00785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2FA" w:rsidRPr="009332FA" w:rsidRDefault="009332FA" w:rsidP="00933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>В нарушение пункта 4.4 Порядка 373-П, пункта 6.3 Порядка № 3210-У проверки установлены факты:</w:t>
      </w:r>
    </w:p>
    <w:p w:rsidR="009332FA" w:rsidRPr="009332FA" w:rsidRDefault="009332FA" w:rsidP="009332F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>выдачи наличных денег под отчет при несоблюдении условия полного погашения ранее полученных подотчетных сумм;</w:t>
      </w:r>
    </w:p>
    <w:p w:rsidR="009332FA" w:rsidRPr="009332FA" w:rsidRDefault="009332FA" w:rsidP="009332F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>передачи выданных под отчет средств от одного лица другому.</w:t>
      </w:r>
    </w:p>
    <w:p w:rsidR="000E7085" w:rsidRPr="002F4340" w:rsidRDefault="000E7085" w:rsidP="002F4340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40">
        <w:rPr>
          <w:rFonts w:ascii="Times New Roman" w:hAnsi="Times New Roman" w:cs="Times New Roman"/>
          <w:b/>
          <w:sz w:val="28"/>
          <w:szCs w:val="28"/>
        </w:rPr>
        <w:t xml:space="preserve">Нарушения бюджетного учета на общую сумму </w:t>
      </w:r>
      <w:r w:rsidR="0039709A" w:rsidRPr="002F4340">
        <w:rPr>
          <w:rFonts w:ascii="Times New Roman" w:hAnsi="Times New Roman" w:cs="Times New Roman"/>
          <w:b/>
          <w:sz w:val="28"/>
          <w:szCs w:val="28"/>
        </w:rPr>
        <w:t>57,1</w:t>
      </w:r>
      <w:r w:rsidRPr="002F4340">
        <w:rPr>
          <w:rFonts w:ascii="Times New Roman" w:hAnsi="Times New Roman" w:cs="Times New Roman"/>
          <w:b/>
          <w:sz w:val="28"/>
          <w:szCs w:val="28"/>
        </w:rPr>
        <w:t xml:space="preserve"> тыс. рублей ввиду неверного применения статей классификации операций сектора государственного управления (далее - КОСГУ), установленных Указаниями о порядке применения бюджетной классификации (далее - Указания), в том числе:</w:t>
      </w:r>
    </w:p>
    <w:p w:rsidR="000E7085" w:rsidRDefault="00735B9E" w:rsidP="00735B9E">
      <w:pPr>
        <w:pStyle w:val="a3"/>
        <w:numPr>
          <w:ilvl w:val="0"/>
          <w:numId w:val="7"/>
        </w:numPr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5B9E">
        <w:rPr>
          <w:rFonts w:ascii="Times New Roman" w:hAnsi="Times New Roman" w:cs="Times New Roman"/>
          <w:sz w:val="28"/>
          <w:szCs w:val="28"/>
        </w:rPr>
        <w:t xml:space="preserve"> учету приняты расходы по авансовым отчетам </w:t>
      </w:r>
      <w:r w:rsidR="00341355" w:rsidRPr="00341355">
        <w:rPr>
          <w:rFonts w:ascii="Times New Roman" w:hAnsi="Times New Roman" w:cs="Times New Roman"/>
          <w:sz w:val="28"/>
          <w:szCs w:val="28"/>
        </w:rPr>
        <w:t>на возмещение расходов на прохождение медицинского осмотра</w:t>
      </w:r>
      <w:r w:rsidRPr="00735B9E">
        <w:rPr>
          <w:rFonts w:ascii="Times New Roman" w:hAnsi="Times New Roman" w:cs="Times New Roman"/>
          <w:sz w:val="28"/>
          <w:szCs w:val="28"/>
        </w:rPr>
        <w:t xml:space="preserve"> </w:t>
      </w:r>
      <w:r w:rsidR="00645BDC">
        <w:rPr>
          <w:rFonts w:ascii="Times New Roman" w:hAnsi="Times New Roman" w:cs="Times New Roman"/>
          <w:sz w:val="28"/>
          <w:szCs w:val="28"/>
        </w:rPr>
        <w:t xml:space="preserve">на общую сумму 3,2 тыс. рублей </w:t>
      </w:r>
      <w:r w:rsidRPr="00735B9E">
        <w:rPr>
          <w:rFonts w:ascii="Times New Roman" w:hAnsi="Times New Roman" w:cs="Times New Roman"/>
          <w:sz w:val="28"/>
          <w:szCs w:val="28"/>
        </w:rPr>
        <w:t>по статье КОСГУ 226 «Прочие работы, услуги»</w:t>
      </w:r>
      <w:r>
        <w:rPr>
          <w:rFonts w:ascii="Times New Roman" w:hAnsi="Times New Roman" w:cs="Times New Roman"/>
          <w:sz w:val="28"/>
          <w:szCs w:val="28"/>
        </w:rPr>
        <w:t xml:space="preserve">. Данные расходы </w:t>
      </w:r>
      <w:r w:rsidRPr="00735B9E">
        <w:rPr>
          <w:rFonts w:ascii="Times New Roman" w:hAnsi="Times New Roman" w:cs="Times New Roman"/>
          <w:sz w:val="28"/>
          <w:szCs w:val="28"/>
        </w:rPr>
        <w:t>необходимо отражать по ст</w:t>
      </w:r>
      <w:r>
        <w:rPr>
          <w:rFonts w:ascii="Times New Roman" w:hAnsi="Times New Roman" w:cs="Times New Roman"/>
          <w:sz w:val="28"/>
          <w:szCs w:val="28"/>
        </w:rPr>
        <w:t>атье КОСГУ 212 «Прочие выплаты»;</w:t>
      </w:r>
      <w:r w:rsidR="00391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9E" w:rsidRDefault="00735B9E" w:rsidP="00F87F6D">
      <w:pPr>
        <w:pStyle w:val="a3"/>
        <w:numPr>
          <w:ilvl w:val="0"/>
          <w:numId w:val="7"/>
        </w:numPr>
        <w:spacing w:after="0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735B9E">
        <w:rPr>
          <w:rFonts w:ascii="Times New Roman" w:hAnsi="Times New Roman" w:cs="Times New Roman"/>
          <w:sz w:val="28"/>
          <w:szCs w:val="28"/>
        </w:rPr>
        <w:t xml:space="preserve">к учету приняты расходы по авансовым отчетам </w:t>
      </w:r>
      <w:r w:rsidR="003916AC" w:rsidRPr="003916AC">
        <w:rPr>
          <w:rFonts w:ascii="Times New Roman" w:hAnsi="Times New Roman" w:cs="Times New Roman"/>
          <w:sz w:val="28"/>
          <w:szCs w:val="28"/>
        </w:rPr>
        <w:t>за оказание услуг, работ по организации и проведению разного рода мероприятий, услуг по подготовке и переподготовке специалистов</w:t>
      </w:r>
      <w:r w:rsidR="0039709A">
        <w:rPr>
          <w:rFonts w:ascii="Times New Roman" w:hAnsi="Times New Roman" w:cs="Times New Roman"/>
          <w:sz w:val="28"/>
          <w:szCs w:val="28"/>
        </w:rPr>
        <w:t xml:space="preserve"> на общую сумму 53,9 тыс. рублей </w:t>
      </w:r>
      <w:r w:rsidR="00894F58" w:rsidRPr="00894F58">
        <w:rPr>
          <w:rFonts w:ascii="Times New Roman" w:hAnsi="Times New Roman" w:cs="Times New Roman"/>
          <w:sz w:val="28"/>
          <w:szCs w:val="28"/>
        </w:rPr>
        <w:t>по статье КОСГУ 290 «Прочие расходы»</w:t>
      </w:r>
      <w:r w:rsidR="00894F58">
        <w:rPr>
          <w:rFonts w:ascii="Times New Roman" w:hAnsi="Times New Roman" w:cs="Times New Roman"/>
          <w:sz w:val="28"/>
          <w:szCs w:val="28"/>
        </w:rPr>
        <w:t>. Данные расходы</w:t>
      </w:r>
      <w:r w:rsidR="00894F58" w:rsidRPr="00894F58">
        <w:rPr>
          <w:rFonts w:ascii="Times New Roman" w:hAnsi="Times New Roman" w:cs="Times New Roman"/>
          <w:sz w:val="28"/>
          <w:szCs w:val="28"/>
        </w:rPr>
        <w:t xml:space="preserve"> необходимо отражать по статье КОСГУ 226 «Прочие работы, услуги»</w:t>
      </w:r>
      <w:r w:rsidR="00894F58">
        <w:rPr>
          <w:rFonts w:ascii="Times New Roman" w:hAnsi="Times New Roman" w:cs="Times New Roman"/>
          <w:sz w:val="28"/>
          <w:szCs w:val="28"/>
        </w:rPr>
        <w:t>.</w:t>
      </w:r>
    </w:p>
    <w:p w:rsidR="0014351E" w:rsidRPr="00A005F9" w:rsidRDefault="0014351E" w:rsidP="0014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показала проверка в</w:t>
      </w:r>
      <w:r w:rsidRPr="00A005F9">
        <w:rPr>
          <w:rFonts w:ascii="Times New Roman" w:hAnsi="Times New Roman" w:cs="Times New Roman"/>
          <w:sz w:val="28"/>
          <w:szCs w:val="28"/>
        </w:rPr>
        <w:t xml:space="preserve"> нарушение Указаний о порядке применения бюджетной классификации Российской Федерации на 2013 год и плановый период 2014 и 2015 годов Приказом Министерства финансов РФ от 21.12.2012 № 171н (далее – Порядок № 171н), Указаний о порядке применения бюджетной классификации Российской Федерации на 2014 год и плановый период 2015 и 2016 годов, утвержденных Приказом Министерства финансов РФ от 01.07.2013 № 65н (далее – Порядок № 65н)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5F9">
        <w:rPr>
          <w:rFonts w:ascii="Times New Roman" w:hAnsi="Times New Roman" w:cs="Times New Roman"/>
          <w:sz w:val="28"/>
          <w:szCs w:val="28"/>
        </w:rPr>
        <w:t>при направлении тренеров – преподавателей в командировки подотчетные суммы включали расходы по выплате суточных, оплате проезда, услуг по организации питания и проживания, выплате денежных средств на питание</w:t>
      </w:r>
      <w:r w:rsidRPr="00A005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05F9">
        <w:rPr>
          <w:rFonts w:ascii="Times New Roman" w:hAnsi="Times New Roman" w:cs="Times New Roman"/>
          <w:sz w:val="28"/>
          <w:szCs w:val="28"/>
        </w:rPr>
        <w:t>Данные расходы отражены в учете по статье КОСГУ 290 «Прочие расходы». Указания предусматривают отражение расходов в следующем порядке:</w:t>
      </w:r>
    </w:p>
    <w:p w:rsidR="0014351E" w:rsidRPr="00A005F9" w:rsidRDefault="0014351E" w:rsidP="0014351E">
      <w:pPr>
        <w:numPr>
          <w:ilvl w:val="0"/>
          <w:numId w:val="8"/>
        </w:numPr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>статья КОСГУ 212 «Прочие выплаты» - суточные при служебных командировках;</w:t>
      </w:r>
    </w:p>
    <w:p w:rsidR="0014351E" w:rsidRPr="00A005F9" w:rsidRDefault="0014351E" w:rsidP="0014351E">
      <w:pPr>
        <w:numPr>
          <w:ilvl w:val="0"/>
          <w:numId w:val="8"/>
        </w:numPr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>статья КОСГУ 222 «Транспортные услуги» - расходы по оплате проезда;</w:t>
      </w:r>
    </w:p>
    <w:p w:rsidR="0014351E" w:rsidRPr="00A005F9" w:rsidRDefault="0014351E" w:rsidP="0014351E">
      <w:pPr>
        <w:numPr>
          <w:ilvl w:val="0"/>
          <w:numId w:val="8"/>
        </w:numPr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>статья КОСГУ 226 «Прочие работы, услуги» - оплата услуг по организации питания и проживания;</w:t>
      </w:r>
    </w:p>
    <w:p w:rsidR="0014351E" w:rsidRPr="00A005F9" w:rsidRDefault="0014351E" w:rsidP="0014351E">
      <w:pPr>
        <w:numPr>
          <w:ilvl w:val="0"/>
          <w:numId w:val="8"/>
        </w:numPr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>статья КОСГУ 290 «Прочие расходы» - выплата денежных средств на питание (при невозможности приобретения услуг по его организации).</w:t>
      </w:r>
    </w:p>
    <w:p w:rsidR="0014351E" w:rsidRDefault="0014351E" w:rsidP="0014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</w:t>
      </w:r>
      <w:r w:rsidRPr="0020517C">
        <w:rPr>
          <w:rFonts w:ascii="Times New Roman" w:hAnsi="Times New Roman" w:cs="Times New Roman"/>
          <w:sz w:val="28"/>
          <w:szCs w:val="28"/>
        </w:rPr>
        <w:t>ункта 3 статьи 8 Федерального закона № 402-ФЗ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7C">
        <w:rPr>
          <w:rFonts w:ascii="Times New Roman" w:hAnsi="Times New Roman" w:cs="Times New Roman"/>
          <w:sz w:val="28"/>
          <w:szCs w:val="28"/>
        </w:rPr>
        <w:t>подотчетные суммы перечислялись на карты сотрудников, выданных в рамках «зарплатных» проектов</w:t>
      </w:r>
      <w:r>
        <w:rPr>
          <w:rFonts w:ascii="Times New Roman" w:hAnsi="Times New Roman" w:cs="Times New Roman"/>
          <w:sz w:val="28"/>
          <w:szCs w:val="28"/>
        </w:rPr>
        <w:t xml:space="preserve">, без определения </w:t>
      </w:r>
      <w:r w:rsidRPr="0020517C">
        <w:rPr>
          <w:rFonts w:ascii="Times New Roman" w:hAnsi="Times New Roman" w:cs="Times New Roman"/>
          <w:sz w:val="28"/>
          <w:szCs w:val="28"/>
        </w:rPr>
        <w:t>выдачи денег под отчет в безналичном порядке в Учетной политике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51E" w:rsidRDefault="0014351E" w:rsidP="0014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</w:t>
      </w:r>
      <w:r w:rsidRPr="00773669">
        <w:rPr>
          <w:rFonts w:ascii="Times New Roman" w:hAnsi="Times New Roman" w:cs="Times New Roman"/>
          <w:sz w:val="28"/>
          <w:szCs w:val="28"/>
        </w:rPr>
        <w:t>ункта 26 Положения о командировках №749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факты </w:t>
      </w:r>
      <w:r w:rsidRPr="00773669">
        <w:rPr>
          <w:rFonts w:ascii="Times New Roman" w:hAnsi="Times New Roman" w:cs="Times New Roman"/>
          <w:sz w:val="28"/>
          <w:szCs w:val="28"/>
        </w:rPr>
        <w:t>несвоевременност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669">
        <w:rPr>
          <w:rFonts w:ascii="Times New Roman" w:hAnsi="Times New Roman" w:cs="Times New Roman"/>
          <w:sz w:val="28"/>
          <w:szCs w:val="28"/>
        </w:rPr>
        <w:t xml:space="preserve"> представления подотчетными лицами авансовых отчетов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51E" w:rsidRDefault="0014351E" w:rsidP="0014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</w:t>
      </w:r>
      <w:r w:rsidRPr="0072528B">
        <w:rPr>
          <w:rFonts w:ascii="Times New Roman" w:hAnsi="Times New Roman" w:cs="Times New Roman"/>
          <w:sz w:val="28"/>
          <w:szCs w:val="28"/>
        </w:rPr>
        <w:t>ункта 9.2, 9.5</w:t>
      </w:r>
      <w:r>
        <w:rPr>
          <w:rFonts w:ascii="Times New Roman" w:hAnsi="Times New Roman" w:cs="Times New Roman"/>
          <w:sz w:val="28"/>
          <w:szCs w:val="28"/>
        </w:rPr>
        <w:t xml:space="preserve"> Учетной политики на 2013 год </w:t>
      </w:r>
      <w:r w:rsidRPr="0072528B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28B">
        <w:rPr>
          <w:rFonts w:ascii="Times New Roman" w:hAnsi="Times New Roman" w:cs="Times New Roman"/>
          <w:sz w:val="28"/>
          <w:szCs w:val="28"/>
        </w:rPr>
        <w:t xml:space="preserve"> подотчетных сумм на хозяйственные нужды и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72528B">
        <w:rPr>
          <w:rFonts w:ascii="Times New Roman" w:hAnsi="Times New Roman" w:cs="Times New Roman"/>
          <w:sz w:val="28"/>
          <w:szCs w:val="28"/>
        </w:rPr>
        <w:t xml:space="preserve"> учебно-спортивной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сотрудникам не определенным перечнем Учетной политики.</w:t>
      </w:r>
    </w:p>
    <w:p w:rsidR="00BA2FF9" w:rsidRPr="00BA2FF9" w:rsidRDefault="00BA2FF9" w:rsidP="00BA2FF9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F9">
        <w:rPr>
          <w:rFonts w:ascii="Times New Roman" w:hAnsi="Times New Roman" w:cs="Times New Roman"/>
          <w:b/>
          <w:sz w:val="28"/>
          <w:szCs w:val="28"/>
        </w:rPr>
        <w:t>Несоблюдение порядка осуществления авансовых платежей по договорам (контрактам) на поставку товаров (работ,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A1517">
        <w:rPr>
          <w:rFonts w:ascii="Times New Roman" w:hAnsi="Times New Roman" w:cs="Times New Roman"/>
          <w:b/>
          <w:sz w:val="28"/>
          <w:szCs w:val="28"/>
        </w:rPr>
        <w:t>сумму 303,1 тыс. рублей.</w:t>
      </w:r>
    </w:p>
    <w:p w:rsidR="00BA2FF9" w:rsidRDefault="008A1517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Pr="008A15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1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51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Верхняя Пышма от 31.12.2013 №3348 «О мерах по реализации решения </w:t>
      </w:r>
      <w:r w:rsidR="00542700">
        <w:rPr>
          <w:rFonts w:ascii="Times New Roman" w:hAnsi="Times New Roman" w:cs="Times New Roman"/>
          <w:sz w:val="28"/>
          <w:szCs w:val="28"/>
        </w:rPr>
        <w:t>Д</w:t>
      </w:r>
      <w:r w:rsidRPr="008A1517">
        <w:rPr>
          <w:rFonts w:ascii="Times New Roman" w:hAnsi="Times New Roman" w:cs="Times New Roman"/>
          <w:sz w:val="28"/>
          <w:szCs w:val="28"/>
        </w:rPr>
        <w:t>умы городского округа Верхняя Пышма «О бюджете городского округа Верхняя Пышма на 2014 год и плановый период 2015 и 2016 годов» (далее – Постановление от 31.12.2013 №3348)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17">
        <w:rPr>
          <w:rFonts w:ascii="Times New Roman" w:hAnsi="Times New Roman" w:cs="Times New Roman"/>
          <w:sz w:val="28"/>
          <w:szCs w:val="28"/>
        </w:rPr>
        <w:t>в 2014 году произведена 100 процентная оплата по договорам на оказание автотранспортных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FF9" w:rsidRDefault="00BE0268" w:rsidP="00BE0268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268">
        <w:rPr>
          <w:rFonts w:ascii="Times New Roman" w:hAnsi="Times New Roman" w:cs="Times New Roman"/>
          <w:b/>
          <w:sz w:val="28"/>
          <w:szCs w:val="28"/>
        </w:rPr>
        <w:t>Несоблюдение порядка проведения конкурсов на размещение заказов</w:t>
      </w:r>
      <w:r w:rsidR="00061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1AA0">
        <w:rPr>
          <w:rFonts w:ascii="Times New Roman" w:hAnsi="Times New Roman" w:cs="Times New Roman"/>
          <w:b/>
          <w:sz w:val="28"/>
          <w:szCs w:val="28"/>
        </w:rPr>
        <w:t>По результатам проверки сумма нарушений составила 835,8 тыс. рублей.</w:t>
      </w:r>
    </w:p>
    <w:p w:rsidR="00BE0268" w:rsidRDefault="00BE0268" w:rsidP="004F5CF1">
      <w:pPr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5CF1">
        <w:rPr>
          <w:rFonts w:ascii="Times New Roman" w:hAnsi="Times New Roman" w:cs="Times New Roman"/>
          <w:sz w:val="28"/>
          <w:szCs w:val="28"/>
        </w:rPr>
        <w:lastRenderedPageBreak/>
        <w:t>В нарушение пункта 1 статьи 1, пункта 2 статьи 3</w:t>
      </w:r>
      <w:r w:rsidR="004F5CF1" w:rsidRPr="004F5CF1">
        <w:rPr>
          <w:rFonts w:ascii="Times New Roman" w:hAnsi="Times New Roman" w:cs="Times New Roman"/>
          <w:sz w:val="28"/>
          <w:szCs w:val="28"/>
        </w:rPr>
        <w:t xml:space="preserve">, статьи 55 </w:t>
      </w:r>
      <w:r w:rsidRPr="004F5CF1">
        <w:rPr>
          <w:rFonts w:ascii="Times New Roman" w:hAnsi="Times New Roman" w:cs="Times New Roman"/>
          <w:sz w:val="28"/>
          <w:szCs w:val="28"/>
        </w:rPr>
        <w:t>Федерального закона «О размещении заказов на поставки товаров, выполнение работ, оказание услуг для государственных и муниципальных нужд»</w:t>
      </w:r>
      <w:r w:rsidR="00542700" w:rsidRPr="00542700">
        <w:rPr>
          <w:rFonts w:ascii="Times New Roman" w:hAnsi="Times New Roman" w:cs="Times New Roman"/>
          <w:sz w:val="28"/>
          <w:szCs w:val="28"/>
        </w:rPr>
        <w:t xml:space="preserve"> от 21.07.2005 №94-ФЗ </w:t>
      </w:r>
      <w:r w:rsidRPr="004F5CF1">
        <w:rPr>
          <w:rFonts w:ascii="Times New Roman" w:hAnsi="Times New Roman" w:cs="Times New Roman"/>
          <w:sz w:val="28"/>
          <w:szCs w:val="28"/>
        </w:rPr>
        <w:t>(далее – Закон № 94-ФЗ)</w:t>
      </w:r>
      <w:r w:rsidR="004F5CF1">
        <w:rPr>
          <w:rFonts w:ascii="Times New Roman" w:hAnsi="Times New Roman" w:cs="Times New Roman"/>
          <w:sz w:val="28"/>
          <w:szCs w:val="28"/>
        </w:rPr>
        <w:t xml:space="preserve"> </w:t>
      </w:r>
      <w:r w:rsidR="004F5CF1" w:rsidRPr="004F5CF1">
        <w:rPr>
          <w:rFonts w:ascii="Times New Roman" w:hAnsi="Times New Roman" w:cs="Times New Roman"/>
          <w:sz w:val="28"/>
          <w:szCs w:val="28"/>
        </w:rPr>
        <w:t xml:space="preserve">в течение 2013 года </w:t>
      </w:r>
      <w:r w:rsidR="00812B3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F5CF1" w:rsidRPr="004F5CF1">
        <w:rPr>
          <w:rFonts w:ascii="Times New Roman" w:hAnsi="Times New Roman" w:cs="Times New Roman"/>
          <w:sz w:val="28"/>
          <w:szCs w:val="28"/>
        </w:rPr>
        <w:t>заключал</w:t>
      </w:r>
      <w:r w:rsidR="00812B32">
        <w:rPr>
          <w:rFonts w:ascii="Times New Roman" w:hAnsi="Times New Roman" w:cs="Times New Roman"/>
          <w:sz w:val="28"/>
          <w:szCs w:val="28"/>
        </w:rPr>
        <w:t>о</w:t>
      </w:r>
      <w:r w:rsidR="004F5CF1" w:rsidRPr="004F5CF1">
        <w:rPr>
          <w:rFonts w:ascii="Times New Roman" w:hAnsi="Times New Roman" w:cs="Times New Roman"/>
          <w:sz w:val="28"/>
          <w:szCs w:val="28"/>
        </w:rPr>
        <w:t xml:space="preserve"> договоры, общая сумм</w:t>
      </w:r>
      <w:r w:rsidR="004D4405">
        <w:rPr>
          <w:rFonts w:ascii="Times New Roman" w:hAnsi="Times New Roman" w:cs="Times New Roman"/>
          <w:sz w:val="28"/>
          <w:szCs w:val="28"/>
        </w:rPr>
        <w:t>ы</w:t>
      </w:r>
      <w:r w:rsidR="004F5CF1" w:rsidRPr="004F5CF1">
        <w:rPr>
          <w:rFonts w:ascii="Times New Roman" w:hAnsi="Times New Roman" w:cs="Times New Roman"/>
          <w:sz w:val="28"/>
          <w:szCs w:val="28"/>
        </w:rPr>
        <w:t xml:space="preserve"> которых превыша</w:t>
      </w:r>
      <w:r w:rsidR="00812B32">
        <w:rPr>
          <w:rFonts w:ascii="Times New Roman" w:hAnsi="Times New Roman" w:cs="Times New Roman"/>
          <w:sz w:val="28"/>
          <w:szCs w:val="28"/>
        </w:rPr>
        <w:t>е</w:t>
      </w:r>
      <w:r w:rsidR="004F5CF1" w:rsidRPr="004F5CF1">
        <w:rPr>
          <w:rFonts w:ascii="Times New Roman" w:hAnsi="Times New Roman" w:cs="Times New Roman"/>
          <w:sz w:val="28"/>
          <w:szCs w:val="28"/>
        </w:rPr>
        <w:t>т предельный размер расчетов наличными деньгами в Российской Федерации между юридическими лицами</w:t>
      </w:r>
      <w:r w:rsidR="004F5CF1">
        <w:rPr>
          <w:rFonts w:ascii="Times New Roman" w:hAnsi="Times New Roman" w:cs="Times New Roman"/>
          <w:sz w:val="28"/>
          <w:szCs w:val="28"/>
        </w:rPr>
        <w:t xml:space="preserve"> (</w:t>
      </w:r>
      <w:r w:rsidR="004F5CF1" w:rsidRPr="004F5CF1">
        <w:rPr>
          <w:rFonts w:ascii="Times New Roman" w:hAnsi="Times New Roman" w:cs="Times New Roman"/>
          <w:sz w:val="28"/>
          <w:szCs w:val="28"/>
        </w:rPr>
        <w:t>с 20.07.2007 в размере, не превышающем 100 тыс. рублей</w:t>
      </w:r>
      <w:r w:rsidR="004F5CF1">
        <w:rPr>
          <w:rFonts w:ascii="Times New Roman" w:hAnsi="Times New Roman" w:cs="Times New Roman"/>
          <w:sz w:val="28"/>
          <w:szCs w:val="28"/>
        </w:rPr>
        <w:t>)</w:t>
      </w:r>
      <w:r w:rsidR="004D4405">
        <w:rPr>
          <w:rFonts w:ascii="Times New Roman" w:hAnsi="Times New Roman" w:cs="Times New Roman"/>
          <w:sz w:val="28"/>
          <w:szCs w:val="28"/>
        </w:rPr>
        <w:t xml:space="preserve">. </w:t>
      </w:r>
      <w:r w:rsidR="00812B32">
        <w:rPr>
          <w:rFonts w:ascii="Times New Roman" w:hAnsi="Times New Roman" w:cs="Times New Roman"/>
          <w:sz w:val="28"/>
          <w:szCs w:val="28"/>
        </w:rPr>
        <w:t xml:space="preserve">Сведения о размерах </w:t>
      </w:r>
      <w:r w:rsidR="004D4405">
        <w:rPr>
          <w:rFonts w:ascii="Times New Roman" w:hAnsi="Times New Roman" w:cs="Times New Roman"/>
          <w:sz w:val="28"/>
          <w:szCs w:val="28"/>
        </w:rPr>
        <w:t xml:space="preserve">превышений </w:t>
      </w:r>
      <w:r w:rsidR="00AF2D61">
        <w:rPr>
          <w:rFonts w:ascii="Times New Roman" w:hAnsi="Times New Roman" w:cs="Times New Roman"/>
          <w:sz w:val="28"/>
          <w:szCs w:val="28"/>
        </w:rPr>
        <w:t xml:space="preserve">предельного размера расчетов </w:t>
      </w:r>
      <w:r w:rsidR="004D4405">
        <w:rPr>
          <w:rFonts w:ascii="Times New Roman" w:hAnsi="Times New Roman" w:cs="Times New Roman"/>
          <w:sz w:val="28"/>
          <w:szCs w:val="28"/>
        </w:rPr>
        <w:t>представлены в таблице 2.</w:t>
      </w:r>
    </w:p>
    <w:p w:rsidR="004D4405" w:rsidRPr="004D4405" w:rsidRDefault="004D4405" w:rsidP="004D4405">
      <w:pPr>
        <w:spacing w:after="0" w:line="240" w:lineRule="auto"/>
        <w:ind w:firstLine="1072"/>
        <w:jc w:val="center"/>
        <w:rPr>
          <w:rFonts w:ascii="Times New Roman" w:hAnsi="Times New Roman" w:cs="Times New Roman"/>
        </w:rPr>
      </w:pPr>
      <w:r w:rsidRPr="004D440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</w:t>
      </w:r>
      <w:r w:rsidRPr="004D4405">
        <w:rPr>
          <w:rFonts w:ascii="Times New Roman" w:hAnsi="Times New Roman" w:cs="Times New Roman"/>
        </w:rPr>
        <w:t xml:space="preserve">    Таблица 2, тыс. рублей</w:t>
      </w:r>
    </w:p>
    <w:tbl>
      <w:tblPr>
        <w:tblStyle w:val="a4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1400"/>
        <w:gridCol w:w="4149"/>
      </w:tblGrid>
      <w:tr w:rsidR="004D4405" w:rsidRPr="004D4405" w:rsidTr="004D4405">
        <w:trPr>
          <w:trHeight w:val="735"/>
        </w:trPr>
        <w:tc>
          <w:tcPr>
            <w:tcW w:w="1400" w:type="dxa"/>
            <w:noWrap/>
            <w:hideMark/>
          </w:tcPr>
          <w:p w:rsidR="004D4405" w:rsidRDefault="004D4405" w:rsidP="004D4405">
            <w:pPr>
              <w:jc w:val="both"/>
              <w:rPr>
                <w:rFonts w:ascii="Times New Roman" w:hAnsi="Times New Roman" w:cs="Times New Roman"/>
              </w:rPr>
            </w:pPr>
          </w:p>
          <w:p w:rsidR="004D4405" w:rsidRPr="004D4405" w:rsidRDefault="004D4405" w:rsidP="004D4405">
            <w:pPr>
              <w:jc w:val="both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4149" w:type="dxa"/>
            <w:hideMark/>
          </w:tcPr>
          <w:p w:rsidR="004D4405" w:rsidRPr="004D4405" w:rsidRDefault="004D4405" w:rsidP="00812B32">
            <w:pPr>
              <w:jc w:val="both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>Суммы, превышающие 100 тыс. рублей, в течени</w:t>
            </w:r>
            <w:r w:rsidR="00812B32">
              <w:rPr>
                <w:rFonts w:ascii="Times New Roman" w:hAnsi="Times New Roman" w:cs="Times New Roman"/>
              </w:rPr>
              <w:t>е</w:t>
            </w:r>
            <w:r w:rsidRPr="004D4405">
              <w:rPr>
                <w:rFonts w:ascii="Times New Roman" w:hAnsi="Times New Roman" w:cs="Times New Roman"/>
              </w:rPr>
              <w:t xml:space="preserve"> квартала</w:t>
            </w:r>
          </w:p>
        </w:tc>
      </w:tr>
      <w:tr w:rsidR="004D4405" w:rsidRPr="004D4405" w:rsidTr="004D4405">
        <w:trPr>
          <w:trHeight w:val="289"/>
        </w:trPr>
        <w:tc>
          <w:tcPr>
            <w:tcW w:w="1400" w:type="dxa"/>
            <w:noWrap/>
            <w:hideMark/>
          </w:tcPr>
          <w:p w:rsidR="004D4405" w:rsidRPr="004D4405" w:rsidRDefault="004D4405" w:rsidP="004D4405">
            <w:pPr>
              <w:jc w:val="both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 xml:space="preserve">1 квартал </w:t>
            </w:r>
          </w:p>
        </w:tc>
        <w:tc>
          <w:tcPr>
            <w:tcW w:w="4149" w:type="dxa"/>
            <w:noWrap/>
            <w:hideMark/>
          </w:tcPr>
          <w:p w:rsidR="004D4405" w:rsidRPr="004D4405" w:rsidRDefault="004D4405" w:rsidP="004D4405">
            <w:pPr>
              <w:jc w:val="right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,2</w:t>
            </w:r>
            <w:r w:rsidRPr="004D440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D4405" w:rsidRPr="004D4405" w:rsidTr="004D4405">
        <w:trPr>
          <w:trHeight w:val="300"/>
        </w:trPr>
        <w:tc>
          <w:tcPr>
            <w:tcW w:w="1400" w:type="dxa"/>
            <w:noWrap/>
            <w:hideMark/>
          </w:tcPr>
          <w:p w:rsidR="004D4405" w:rsidRPr="004D4405" w:rsidRDefault="004D4405" w:rsidP="004D4405">
            <w:pPr>
              <w:jc w:val="both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 xml:space="preserve">2 квартал </w:t>
            </w:r>
          </w:p>
        </w:tc>
        <w:tc>
          <w:tcPr>
            <w:tcW w:w="4149" w:type="dxa"/>
            <w:noWrap/>
            <w:hideMark/>
          </w:tcPr>
          <w:p w:rsidR="004D4405" w:rsidRPr="004D4405" w:rsidRDefault="004D4405" w:rsidP="004D4405">
            <w:pPr>
              <w:jc w:val="right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,1</w:t>
            </w:r>
            <w:r w:rsidRPr="004D440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D4405" w:rsidRPr="004D4405" w:rsidTr="004D4405">
        <w:trPr>
          <w:trHeight w:val="300"/>
        </w:trPr>
        <w:tc>
          <w:tcPr>
            <w:tcW w:w="1400" w:type="dxa"/>
            <w:noWrap/>
            <w:hideMark/>
          </w:tcPr>
          <w:p w:rsidR="004D4405" w:rsidRPr="004D4405" w:rsidRDefault="004D4405" w:rsidP="004D4405">
            <w:pPr>
              <w:jc w:val="both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 xml:space="preserve">3 квартал </w:t>
            </w:r>
          </w:p>
        </w:tc>
        <w:tc>
          <w:tcPr>
            <w:tcW w:w="4149" w:type="dxa"/>
            <w:noWrap/>
            <w:hideMark/>
          </w:tcPr>
          <w:p w:rsidR="004D4405" w:rsidRPr="004D4405" w:rsidRDefault="004D4405" w:rsidP="004D4405">
            <w:pPr>
              <w:jc w:val="right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,6</w:t>
            </w:r>
            <w:r w:rsidRPr="004D440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D4405" w:rsidRPr="004D4405" w:rsidTr="004D4405">
        <w:trPr>
          <w:trHeight w:val="300"/>
        </w:trPr>
        <w:tc>
          <w:tcPr>
            <w:tcW w:w="1400" w:type="dxa"/>
            <w:noWrap/>
            <w:hideMark/>
          </w:tcPr>
          <w:p w:rsidR="004D4405" w:rsidRPr="004D4405" w:rsidRDefault="004D4405" w:rsidP="004D4405">
            <w:pPr>
              <w:jc w:val="both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4149" w:type="dxa"/>
            <w:noWrap/>
            <w:hideMark/>
          </w:tcPr>
          <w:p w:rsidR="004D4405" w:rsidRPr="004D4405" w:rsidRDefault="004D4405" w:rsidP="004D4405">
            <w:pPr>
              <w:jc w:val="right"/>
              <w:rPr>
                <w:rFonts w:ascii="Times New Roman" w:hAnsi="Times New Roman" w:cs="Times New Roman"/>
              </w:rPr>
            </w:pPr>
            <w:r w:rsidRPr="004D4405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,4</w:t>
            </w:r>
            <w:r w:rsidRPr="004D440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D4405" w:rsidRPr="004D4405" w:rsidTr="004D4405">
        <w:trPr>
          <w:trHeight w:val="300"/>
        </w:trPr>
        <w:tc>
          <w:tcPr>
            <w:tcW w:w="1400" w:type="dxa"/>
            <w:noWrap/>
            <w:hideMark/>
          </w:tcPr>
          <w:p w:rsidR="004D4405" w:rsidRPr="004D4405" w:rsidRDefault="004D4405" w:rsidP="004D44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4405">
              <w:rPr>
                <w:rFonts w:ascii="Times New Roman" w:hAnsi="Times New Roman" w:cs="Times New Roman"/>
                <w:b/>
                <w:bCs/>
              </w:rPr>
              <w:t xml:space="preserve">Всего: </w:t>
            </w:r>
          </w:p>
        </w:tc>
        <w:tc>
          <w:tcPr>
            <w:tcW w:w="4149" w:type="dxa"/>
            <w:noWrap/>
            <w:hideMark/>
          </w:tcPr>
          <w:p w:rsidR="004D4405" w:rsidRPr="004D4405" w:rsidRDefault="004D4405" w:rsidP="004D44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4405">
              <w:rPr>
                <w:rFonts w:ascii="Times New Roman" w:hAnsi="Times New Roman" w:cs="Times New Roman"/>
                <w:b/>
                <w:bCs/>
              </w:rPr>
              <w:t>638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D4405">
              <w:rPr>
                <w:rFonts w:ascii="Times New Roman" w:hAnsi="Times New Roman" w:cs="Times New Roman"/>
                <w:b/>
                <w:bCs/>
              </w:rPr>
              <w:t xml:space="preserve">3   </w:t>
            </w:r>
          </w:p>
        </w:tc>
      </w:tr>
    </w:tbl>
    <w:p w:rsidR="004D4405" w:rsidRDefault="004D4405" w:rsidP="00186FDE">
      <w:pPr>
        <w:spacing w:after="0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D4405" w:rsidRDefault="004D4405" w:rsidP="00186FDE">
      <w:pPr>
        <w:spacing w:after="0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9B6B50" w:rsidRDefault="009B6B50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B50" w:rsidRDefault="009B6B50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8D0" w:rsidRDefault="009978D0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8D0" w:rsidRDefault="009978D0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8D0" w:rsidRDefault="009978D0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D1" w:rsidRDefault="00625E2A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2A">
        <w:rPr>
          <w:rFonts w:ascii="Times New Roman" w:hAnsi="Times New Roman" w:cs="Times New Roman"/>
          <w:sz w:val="28"/>
          <w:szCs w:val="28"/>
        </w:rPr>
        <w:t xml:space="preserve">В нарушение пункта 15 статьи 4 Федерального </w:t>
      </w:r>
      <w:hyperlink r:id="rId7" w:history="1">
        <w:r w:rsidRPr="00625E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25E2A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 (далее – Закон №223-ФЗ), подпункта 1.4.10 пункта 1.4 Положения о закупке товаров, работ, услуг для нужд учреждения (далее – Положение о закупках учреждения)</w:t>
      </w:r>
      <w:r w:rsidR="00877F24">
        <w:rPr>
          <w:rFonts w:ascii="Times New Roman" w:hAnsi="Times New Roman" w:cs="Times New Roman"/>
          <w:sz w:val="28"/>
          <w:szCs w:val="28"/>
        </w:rPr>
        <w:t xml:space="preserve">, </w:t>
      </w:r>
      <w:r w:rsidR="00877F24" w:rsidRPr="00CA055F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="0076675D" w:rsidRPr="0076675D">
        <w:rPr>
          <w:rFonts w:ascii="Times New Roman" w:hAnsi="Times New Roman" w:cs="Times New Roman"/>
          <w:sz w:val="28"/>
          <w:szCs w:val="28"/>
        </w:rPr>
        <w:t xml:space="preserve">на оказание транспортных услуг </w:t>
      </w:r>
      <w:r w:rsidR="00877F24" w:rsidRPr="00CA055F">
        <w:rPr>
          <w:rFonts w:ascii="Times New Roman" w:hAnsi="Times New Roman" w:cs="Times New Roman"/>
          <w:sz w:val="28"/>
          <w:szCs w:val="28"/>
        </w:rPr>
        <w:t xml:space="preserve">от 02.04.2014 №658 с ИП </w:t>
      </w:r>
      <w:proofErr w:type="spellStart"/>
      <w:r w:rsidR="00877F24" w:rsidRPr="00CA055F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877F24" w:rsidRPr="00CA055F">
        <w:rPr>
          <w:rFonts w:ascii="Times New Roman" w:hAnsi="Times New Roman" w:cs="Times New Roman"/>
          <w:sz w:val="28"/>
          <w:szCs w:val="28"/>
        </w:rPr>
        <w:t xml:space="preserve"> Николай Валентинович на сумму 197</w:t>
      </w:r>
      <w:r w:rsidR="00156364">
        <w:rPr>
          <w:rFonts w:ascii="Times New Roman" w:hAnsi="Times New Roman" w:cs="Times New Roman"/>
          <w:sz w:val="28"/>
          <w:szCs w:val="28"/>
        </w:rPr>
        <w:t>,</w:t>
      </w:r>
      <w:r w:rsidR="00877F24" w:rsidRPr="00CA055F">
        <w:rPr>
          <w:rFonts w:ascii="Times New Roman" w:hAnsi="Times New Roman" w:cs="Times New Roman"/>
          <w:sz w:val="28"/>
          <w:szCs w:val="28"/>
        </w:rPr>
        <w:t>5</w:t>
      </w:r>
      <w:r w:rsidR="00156364">
        <w:rPr>
          <w:rFonts w:ascii="Times New Roman" w:hAnsi="Times New Roman" w:cs="Times New Roman"/>
          <w:sz w:val="28"/>
          <w:szCs w:val="28"/>
        </w:rPr>
        <w:t xml:space="preserve"> тыс.</w:t>
      </w:r>
      <w:r w:rsidR="00877F24" w:rsidRPr="00CA055F">
        <w:rPr>
          <w:rFonts w:ascii="Times New Roman" w:hAnsi="Times New Roman" w:cs="Times New Roman"/>
          <w:sz w:val="28"/>
          <w:szCs w:val="28"/>
        </w:rPr>
        <w:t xml:space="preserve"> рублей без размещения в единой информационной системе сведени</w:t>
      </w:r>
      <w:r w:rsidR="00CA055F" w:rsidRPr="00CA055F">
        <w:rPr>
          <w:rFonts w:ascii="Times New Roman" w:hAnsi="Times New Roman" w:cs="Times New Roman"/>
          <w:sz w:val="28"/>
          <w:szCs w:val="28"/>
        </w:rPr>
        <w:t>й</w:t>
      </w:r>
      <w:r w:rsidR="00877F24" w:rsidRPr="00CA055F">
        <w:rPr>
          <w:rFonts w:ascii="Times New Roman" w:hAnsi="Times New Roman" w:cs="Times New Roman"/>
          <w:sz w:val="28"/>
          <w:szCs w:val="28"/>
        </w:rPr>
        <w:t xml:space="preserve"> об осуществлении закупки</w:t>
      </w:r>
      <w:r w:rsidR="00CA055F">
        <w:rPr>
          <w:rFonts w:ascii="Times New Roman" w:hAnsi="Times New Roman" w:cs="Times New Roman"/>
          <w:sz w:val="28"/>
          <w:szCs w:val="28"/>
        </w:rPr>
        <w:t>.</w:t>
      </w:r>
    </w:p>
    <w:p w:rsidR="0068685C" w:rsidRPr="0068685C" w:rsidRDefault="0068685C" w:rsidP="0068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5C">
        <w:rPr>
          <w:rFonts w:ascii="Times New Roman" w:hAnsi="Times New Roman" w:cs="Times New Roman"/>
          <w:sz w:val="28"/>
          <w:szCs w:val="28"/>
        </w:rPr>
        <w:t xml:space="preserve">В ходе проверки также выявлены нарушения вышеуказанных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при </w:t>
      </w:r>
      <w:r w:rsidRPr="0068685C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8685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685C">
        <w:rPr>
          <w:rFonts w:ascii="Times New Roman" w:hAnsi="Times New Roman" w:cs="Times New Roman"/>
          <w:sz w:val="28"/>
          <w:szCs w:val="28"/>
        </w:rPr>
        <w:t xml:space="preserve"> с МАУ «Ледовая арена имени Александра </w:t>
      </w:r>
      <w:proofErr w:type="spellStart"/>
      <w:r w:rsidRPr="0068685C">
        <w:rPr>
          <w:rFonts w:ascii="Times New Roman" w:hAnsi="Times New Roman" w:cs="Times New Roman"/>
          <w:sz w:val="28"/>
          <w:szCs w:val="28"/>
        </w:rPr>
        <w:t>Козицина</w:t>
      </w:r>
      <w:proofErr w:type="spellEnd"/>
      <w:r w:rsidRPr="0068685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68685C">
        <w:rPr>
          <w:rFonts w:ascii="Times New Roman" w:hAnsi="Times New Roman" w:cs="Times New Roman"/>
          <w:sz w:val="28"/>
          <w:szCs w:val="28"/>
        </w:rPr>
        <w:t>Уралэлектромедь</w:t>
      </w:r>
      <w:proofErr w:type="spellEnd"/>
      <w:r w:rsidRPr="0068685C">
        <w:rPr>
          <w:rFonts w:ascii="Times New Roman" w:hAnsi="Times New Roman" w:cs="Times New Roman"/>
          <w:sz w:val="28"/>
          <w:szCs w:val="28"/>
        </w:rPr>
        <w:t>», суммы которых превышают предельный размер расчетов наличными деньгами в Российской Федерации между юридическими лицами (с 20.07.2007 в размере, не превышающем 100 тыс. рублей) без размещения в единой информационной системе сведений об осуществлении закупки.</w:t>
      </w:r>
    </w:p>
    <w:p w:rsidR="00BA1AA0" w:rsidRPr="00BA1AA0" w:rsidRDefault="00230CBA" w:rsidP="00F44DE6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BA1AA0">
        <w:rPr>
          <w:rFonts w:ascii="Times New Roman" w:hAnsi="Times New Roman" w:cs="Times New Roman"/>
          <w:b/>
          <w:sz w:val="28"/>
          <w:szCs w:val="28"/>
        </w:rPr>
        <w:t>обоснованность</w:t>
      </w:r>
      <w:r w:rsidR="0006158A" w:rsidRPr="00BA1AA0">
        <w:rPr>
          <w:rFonts w:ascii="Times New Roman" w:hAnsi="Times New Roman" w:cs="Times New Roman"/>
          <w:b/>
          <w:sz w:val="28"/>
          <w:szCs w:val="28"/>
        </w:rPr>
        <w:t xml:space="preserve"> расчетов по оплате труда</w:t>
      </w:r>
      <w:r w:rsidR="00BA1AA0" w:rsidRPr="00BA1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1AA0" w:rsidRPr="00BA1AA0">
        <w:rPr>
          <w:rFonts w:ascii="Times New Roman" w:hAnsi="Times New Roman" w:cs="Times New Roman"/>
          <w:b/>
          <w:sz w:val="28"/>
          <w:szCs w:val="28"/>
        </w:rPr>
        <w:t>сумм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A1AA0" w:rsidRPr="00BA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68" w:rsidRPr="00947D68">
        <w:rPr>
          <w:rFonts w:ascii="Times New Roman" w:hAnsi="Times New Roman" w:cs="Times New Roman"/>
          <w:b/>
          <w:sz w:val="28"/>
          <w:szCs w:val="28"/>
        </w:rPr>
        <w:t>304,1</w:t>
      </w:r>
      <w:r w:rsidR="00BA1AA0" w:rsidRPr="00947D6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BA1AA0" w:rsidRPr="00BA1AA0">
        <w:rPr>
          <w:rFonts w:ascii="Times New Roman" w:hAnsi="Times New Roman" w:cs="Times New Roman"/>
          <w:b/>
          <w:sz w:val="28"/>
          <w:szCs w:val="28"/>
        </w:rPr>
        <w:t>. рублей.</w:t>
      </w:r>
      <w:r w:rsidR="00036223">
        <w:rPr>
          <w:rFonts w:ascii="Times New Roman" w:hAnsi="Times New Roman" w:cs="Times New Roman"/>
          <w:b/>
          <w:sz w:val="28"/>
          <w:szCs w:val="28"/>
        </w:rPr>
        <w:t xml:space="preserve"> Несоответствие штатного расписания локальным нормативным актам.</w:t>
      </w:r>
    </w:p>
    <w:p w:rsidR="0006158A" w:rsidRPr="00BA1AA0" w:rsidRDefault="00BA1AA0" w:rsidP="00F4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</w:t>
      </w:r>
      <w:r w:rsidRPr="00BA1AA0">
        <w:rPr>
          <w:rFonts w:ascii="Times New Roman" w:hAnsi="Times New Roman" w:cs="Times New Roman"/>
          <w:sz w:val="28"/>
          <w:szCs w:val="28"/>
        </w:rPr>
        <w:t>ункта 14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1AA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Верхняя Пышма от 22.11.2010 №2339 «Об утверждении положения об оплате труда работников муниципальных образовательных учреждений дополнительного образования детей, находящихся в ведении Управления образования администрации городского округа Верхняя Пышма» (далее – Положение об оплате труда №2339), пункта 14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1AA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ДЮСШ «Лидер» от 02.02.2012 (далее – Положение ДЮСШ «Лидер»)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AA0">
        <w:rPr>
          <w:rFonts w:ascii="Times New Roman" w:hAnsi="Times New Roman" w:cs="Times New Roman"/>
          <w:sz w:val="28"/>
          <w:szCs w:val="28"/>
        </w:rPr>
        <w:t>в штатно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AA0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AA0">
        <w:rPr>
          <w:rFonts w:ascii="Times New Roman" w:hAnsi="Times New Roman" w:cs="Times New Roman"/>
          <w:sz w:val="28"/>
          <w:szCs w:val="28"/>
        </w:rPr>
        <w:t xml:space="preserve"> учреждения от 01.05.2014 по должност</w:t>
      </w:r>
      <w:r w:rsidR="00FB7397">
        <w:rPr>
          <w:rFonts w:ascii="Times New Roman" w:hAnsi="Times New Roman" w:cs="Times New Roman"/>
          <w:sz w:val="28"/>
          <w:szCs w:val="28"/>
        </w:rPr>
        <w:t>ям</w:t>
      </w:r>
      <w:r w:rsidRPr="00BA1AA0">
        <w:rPr>
          <w:rFonts w:ascii="Times New Roman" w:hAnsi="Times New Roman" w:cs="Times New Roman"/>
          <w:sz w:val="28"/>
          <w:szCs w:val="28"/>
        </w:rPr>
        <w:t xml:space="preserve"> </w:t>
      </w:r>
      <w:r w:rsidRPr="00BA1AA0">
        <w:rPr>
          <w:rFonts w:ascii="Times New Roman" w:hAnsi="Times New Roman" w:cs="Times New Roman"/>
          <w:sz w:val="28"/>
          <w:szCs w:val="28"/>
        </w:rPr>
        <w:lastRenderedPageBreak/>
        <w:t xml:space="preserve">Тренер – преподаватель сумма оклада с повышающим </w:t>
      </w:r>
      <w:r w:rsidR="003261E7">
        <w:rPr>
          <w:rFonts w:ascii="Times New Roman" w:hAnsi="Times New Roman" w:cs="Times New Roman"/>
          <w:sz w:val="28"/>
          <w:szCs w:val="28"/>
        </w:rPr>
        <w:t xml:space="preserve">размер оклада </w:t>
      </w:r>
      <w:r w:rsidRPr="00BA1AA0">
        <w:rPr>
          <w:rFonts w:ascii="Times New Roman" w:hAnsi="Times New Roman" w:cs="Times New Roman"/>
          <w:sz w:val="28"/>
          <w:szCs w:val="28"/>
        </w:rPr>
        <w:t xml:space="preserve">коэффициентом </w:t>
      </w:r>
      <w:r w:rsidR="003261E7">
        <w:rPr>
          <w:rFonts w:ascii="Times New Roman" w:hAnsi="Times New Roman" w:cs="Times New Roman"/>
          <w:sz w:val="28"/>
          <w:szCs w:val="28"/>
        </w:rPr>
        <w:t xml:space="preserve">сотрудникам, осуществляющим работу в сельских населенных пунктах на </w:t>
      </w:r>
      <w:r w:rsidRPr="00BA1AA0">
        <w:rPr>
          <w:rFonts w:ascii="Times New Roman" w:hAnsi="Times New Roman" w:cs="Times New Roman"/>
          <w:sz w:val="28"/>
          <w:szCs w:val="28"/>
        </w:rPr>
        <w:t xml:space="preserve">25% </w:t>
      </w:r>
      <w:r w:rsidR="003261E7">
        <w:rPr>
          <w:rFonts w:ascii="Times New Roman" w:hAnsi="Times New Roman" w:cs="Times New Roman"/>
          <w:sz w:val="28"/>
          <w:szCs w:val="28"/>
        </w:rPr>
        <w:t xml:space="preserve">(далее – повышающий оклад коэффициент) </w:t>
      </w:r>
      <w:r w:rsidRPr="00BA1AA0">
        <w:rPr>
          <w:rFonts w:ascii="Times New Roman" w:hAnsi="Times New Roman" w:cs="Times New Roman"/>
          <w:sz w:val="28"/>
          <w:szCs w:val="28"/>
        </w:rPr>
        <w:t xml:space="preserve"> </w:t>
      </w:r>
      <w:r w:rsidR="003261E7">
        <w:rPr>
          <w:rFonts w:ascii="Times New Roman" w:hAnsi="Times New Roman" w:cs="Times New Roman"/>
          <w:sz w:val="28"/>
          <w:szCs w:val="28"/>
        </w:rPr>
        <w:t xml:space="preserve">утвержден в размере </w:t>
      </w:r>
      <w:r w:rsidRPr="00BA1AA0">
        <w:rPr>
          <w:rFonts w:ascii="Times New Roman" w:hAnsi="Times New Roman" w:cs="Times New Roman"/>
          <w:sz w:val="28"/>
          <w:szCs w:val="28"/>
        </w:rPr>
        <w:t>627</w:t>
      </w:r>
      <w:r w:rsidR="00CC4F32">
        <w:rPr>
          <w:rFonts w:ascii="Times New Roman" w:hAnsi="Times New Roman" w:cs="Times New Roman"/>
          <w:sz w:val="28"/>
          <w:szCs w:val="28"/>
        </w:rPr>
        <w:t>,7 тыс.</w:t>
      </w:r>
      <w:r w:rsidRPr="00BA1A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261E7">
        <w:rPr>
          <w:rFonts w:ascii="Times New Roman" w:hAnsi="Times New Roman" w:cs="Times New Roman"/>
          <w:sz w:val="28"/>
          <w:szCs w:val="28"/>
        </w:rPr>
        <w:t>, что составляет 52,0%</w:t>
      </w:r>
      <w:r w:rsidRPr="00BA1AA0">
        <w:rPr>
          <w:rFonts w:ascii="Times New Roman" w:hAnsi="Times New Roman" w:cs="Times New Roman"/>
          <w:sz w:val="28"/>
          <w:szCs w:val="28"/>
        </w:rPr>
        <w:t xml:space="preserve"> от установленн</w:t>
      </w:r>
      <w:r w:rsidR="003261E7">
        <w:rPr>
          <w:rFonts w:ascii="Times New Roman" w:hAnsi="Times New Roman" w:cs="Times New Roman"/>
          <w:sz w:val="28"/>
          <w:szCs w:val="28"/>
        </w:rPr>
        <w:t>ых</w:t>
      </w:r>
      <w:r w:rsidRPr="00BA1AA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261E7">
        <w:rPr>
          <w:rFonts w:ascii="Times New Roman" w:hAnsi="Times New Roman" w:cs="Times New Roman"/>
          <w:sz w:val="28"/>
          <w:szCs w:val="28"/>
        </w:rPr>
        <w:t>ов</w:t>
      </w:r>
      <w:r w:rsidRPr="00BA1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1AA0">
        <w:rPr>
          <w:rFonts w:ascii="Times New Roman" w:hAnsi="Times New Roman" w:cs="Times New Roman"/>
          <w:sz w:val="28"/>
          <w:szCs w:val="28"/>
        </w:rPr>
        <w:t>онд оплаты труда завышен на сумму 219</w:t>
      </w:r>
      <w:r w:rsidR="00CC4F32">
        <w:rPr>
          <w:rFonts w:ascii="Times New Roman" w:hAnsi="Times New Roman" w:cs="Times New Roman"/>
          <w:sz w:val="28"/>
          <w:szCs w:val="28"/>
        </w:rPr>
        <w:t>,</w:t>
      </w:r>
      <w:r w:rsidRPr="00BA1AA0">
        <w:rPr>
          <w:rFonts w:ascii="Times New Roman" w:hAnsi="Times New Roman" w:cs="Times New Roman"/>
          <w:sz w:val="28"/>
          <w:szCs w:val="28"/>
        </w:rPr>
        <w:t>7</w:t>
      </w:r>
      <w:r w:rsidR="00CC4F3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A1AA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C4F32">
        <w:rPr>
          <w:rFonts w:ascii="Times New Roman" w:hAnsi="Times New Roman" w:cs="Times New Roman"/>
          <w:sz w:val="28"/>
          <w:szCs w:val="28"/>
        </w:rPr>
        <w:t>(</w:t>
      </w:r>
      <w:r w:rsidRPr="00BA1AA0">
        <w:rPr>
          <w:rFonts w:ascii="Times New Roman" w:hAnsi="Times New Roman" w:cs="Times New Roman"/>
          <w:sz w:val="28"/>
          <w:szCs w:val="28"/>
        </w:rPr>
        <w:t>на 27%</w:t>
      </w:r>
      <w:r w:rsidR="00CC4F32">
        <w:rPr>
          <w:rFonts w:ascii="Times New Roman" w:hAnsi="Times New Roman" w:cs="Times New Roman"/>
          <w:sz w:val="28"/>
          <w:szCs w:val="28"/>
        </w:rPr>
        <w:t>)</w:t>
      </w:r>
      <w:r w:rsidRPr="00BA1AA0">
        <w:rPr>
          <w:rFonts w:ascii="Times New Roman" w:hAnsi="Times New Roman" w:cs="Times New Roman"/>
          <w:sz w:val="28"/>
          <w:szCs w:val="28"/>
        </w:rPr>
        <w:t>.</w:t>
      </w:r>
    </w:p>
    <w:p w:rsidR="00BB7128" w:rsidRPr="00D67FEE" w:rsidRDefault="0001309F" w:rsidP="00BB7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9F">
        <w:rPr>
          <w:rFonts w:ascii="Times New Roman" w:hAnsi="Times New Roman" w:cs="Times New Roman"/>
          <w:sz w:val="28"/>
          <w:szCs w:val="28"/>
        </w:rPr>
        <w:t>В нарушение Положения об оплате труда №2339,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от 26.08.2010 №761н (далее – Единый квалификационный справочник) по данным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28">
        <w:rPr>
          <w:rFonts w:ascii="Times New Roman" w:hAnsi="Times New Roman" w:cs="Times New Roman"/>
          <w:sz w:val="28"/>
          <w:szCs w:val="28"/>
        </w:rPr>
        <w:t>в мае, июне 2014 года произведены начисления и выплаты сумм повышающего оклад коэффициента</w:t>
      </w:r>
      <w:r w:rsidR="00D67FEE">
        <w:rPr>
          <w:rFonts w:ascii="Times New Roman" w:hAnsi="Times New Roman" w:cs="Times New Roman"/>
          <w:sz w:val="28"/>
          <w:szCs w:val="28"/>
        </w:rPr>
        <w:t xml:space="preserve"> по должностям не предусмотренным вышеуказанными нормативными правовыми документами</w:t>
      </w:r>
      <w:r w:rsidR="00334CFB">
        <w:rPr>
          <w:rFonts w:ascii="Times New Roman" w:hAnsi="Times New Roman" w:cs="Times New Roman"/>
          <w:sz w:val="28"/>
          <w:szCs w:val="28"/>
        </w:rPr>
        <w:t>.</w:t>
      </w:r>
      <w:r w:rsidR="00BB7128">
        <w:rPr>
          <w:rFonts w:ascii="Times New Roman" w:hAnsi="Times New Roman" w:cs="Times New Roman"/>
          <w:sz w:val="28"/>
          <w:szCs w:val="28"/>
        </w:rPr>
        <w:t xml:space="preserve"> </w:t>
      </w:r>
      <w:r w:rsidR="00BB7128" w:rsidRPr="00D67FEE">
        <w:rPr>
          <w:rFonts w:ascii="Times New Roman" w:hAnsi="Times New Roman" w:cs="Times New Roman"/>
          <w:sz w:val="28"/>
          <w:szCs w:val="28"/>
        </w:rPr>
        <w:t>Необоснованные выплаты составили 28,1 тыс. рублей</w:t>
      </w:r>
      <w:r w:rsidR="00D67FEE" w:rsidRPr="00D67FEE">
        <w:rPr>
          <w:rFonts w:ascii="Times New Roman" w:hAnsi="Times New Roman" w:cs="Times New Roman"/>
          <w:sz w:val="28"/>
          <w:szCs w:val="28"/>
        </w:rPr>
        <w:t>.</w:t>
      </w:r>
    </w:p>
    <w:p w:rsidR="000D6DD1" w:rsidRPr="0001309F" w:rsidRDefault="007862C8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862C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62C8">
        <w:rPr>
          <w:rFonts w:ascii="Times New Roman" w:hAnsi="Times New Roman" w:cs="Times New Roman"/>
          <w:sz w:val="28"/>
          <w:szCs w:val="28"/>
        </w:rPr>
        <w:t xml:space="preserve"> №6 Положения об оплате труда работников ДЮСШ «Лидер»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8">
        <w:rPr>
          <w:rFonts w:ascii="Times New Roman" w:hAnsi="Times New Roman" w:cs="Times New Roman"/>
          <w:sz w:val="28"/>
          <w:szCs w:val="28"/>
        </w:rPr>
        <w:t>инженеру – программисту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8">
        <w:rPr>
          <w:rFonts w:ascii="Times New Roman" w:hAnsi="Times New Roman" w:cs="Times New Roman"/>
          <w:sz w:val="28"/>
          <w:szCs w:val="28"/>
        </w:rPr>
        <w:t>производил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2C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8">
        <w:rPr>
          <w:rFonts w:ascii="Times New Roman" w:hAnsi="Times New Roman" w:cs="Times New Roman"/>
          <w:sz w:val="28"/>
          <w:szCs w:val="28"/>
        </w:rPr>
        <w:t>начислени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7862C8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надбавки</w:t>
      </w:r>
      <w:r w:rsidRPr="007862C8">
        <w:rPr>
          <w:rFonts w:ascii="Times New Roman" w:hAnsi="Times New Roman" w:cs="Times New Roman"/>
          <w:sz w:val="28"/>
          <w:szCs w:val="28"/>
        </w:rPr>
        <w:t xml:space="preserve"> за ненормированный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F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умма необоснованных выплат за 2014 год составила 13,0 тыс. рублей.</w:t>
      </w:r>
    </w:p>
    <w:p w:rsidR="00684B78" w:rsidRDefault="00684B78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78">
        <w:rPr>
          <w:rFonts w:ascii="Times New Roman" w:hAnsi="Times New Roman" w:cs="Times New Roman"/>
          <w:sz w:val="28"/>
          <w:szCs w:val="28"/>
        </w:rPr>
        <w:t>В нарушение Пункта 7 Положения о премировании работников ДЮСШ «Лидер» от 26.02.2014 (далее – Положение о премировании от 26.02.2014) выборочной проверкой установлено: начисления за март 2014 года премиальных выплат директору учреждения составили 30,0 тыс. рублей - Положением о премировании от 26.02.2014 не предусмотрены, главному бухгалтеру 25,0 тыс. рублей - Положением о премировании от 26.02.2014 предусмотрены в размере не более 30% от оклада (11,7 тыс. рублей). Сумма необоснованных выплат составила 43,3 тыс. рублей.</w:t>
      </w:r>
    </w:p>
    <w:p w:rsidR="00036223" w:rsidRPr="00036223" w:rsidRDefault="00036223" w:rsidP="00036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23">
        <w:rPr>
          <w:rFonts w:ascii="Times New Roman" w:hAnsi="Times New Roman" w:cs="Times New Roman"/>
          <w:sz w:val="28"/>
          <w:szCs w:val="28"/>
        </w:rPr>
        <w:t>В нарушение пункта 81 Положения об оплате труда №2339, пункта 70 Положения ДЮСШ «Лидер» штатным расписанием учреждения не предусмотрены выплаты за выслугу лет.</w:t>
      </w:r>
    </w:p>
    <w:p w:rsidR="00036223" w:rsidRPr="00036223" w:rsidRDefault="00036223" w:rsidP="00036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23">
        <w:rPr>
          <w:rFonts w:ascii="Times New Roman" w:hAnsi="Times New Roman" w:cs="Times New Roman"/>
          <w:sz w:val="28"/>
          <w:szCs w:val="28"/>
        </w:rPr>
        <w:t>В нарушение пунктов 21,24,31,36,41,44 Положения ДЮСШ «Лидер» в штатное расписание от 01.05.2014 включены должности, не предусмотренные вышеуказанным положением:</w:t>
      </w:r>
    </w:p>
    <w:p w:rsidR="00036223" w:rsidRPr="00036223" w:rsidRDefault="00036223" w:rsidP="0003622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23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обслуживанию;</w:t>
      </w:r>
    </w:p>
    <w:p w:rsidR="00036223" w:rsidRPr="00036223" w:rsidRDefault="00036223" w:rsidP="0003622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23">
        <w:rPr>
          <w:rFonts w:ascii="Times New Roman" w:hAnsi="Times New Roman" w:cs="Times New Roman"/>
          <w:sz w:val="28"/>
          <w:szCs w:val="28"/>
        </w:rPr>
        <w:t>Слесарь – сантехник;</w:t>
      </w:r>
    </w:p>
    <w:p w:rsidR="00036223" w:rsidRPr="00036223" w:rsidRDefault="00036223" w:rsidP="0003622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23">
        <w:rPr>
          <w:rFonts w:ascii="Times New Roman" w:hAnsi="Times New Roman" w:cs="Times New Roman"/>
          <w:sz w:val="28"/>
          <w:szCs w:val="28"/>
        </w:rPr>
        <w:t>Плотник.</w:t>
      </w:r>
    </w:p>
    <w:p w:rsidR="00935191" w:rsidRDefault="00935191" w:rsidP="00186FDE">
      <w:pPr>
        <w:spacing w:after="0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3C7671" w:rsidRPr="0020517C" w:rsidRDefault="003C7671" w:rsidP="0093519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17C">
        <w:rPr>
          <w:rFonts w:ascii="Times New Roman" w:hAnsi="Times New Roman" w:cs="Times New Roman"/>
          <w:b/>
          <w:i/>
          <w:sz w:val="28"/>
          <w:szCs w:val="28"/>
        </w:rPr>
        <w:t>Прочие нарушения:</w:t>
      </w:r>
    </w:p>
    <w:p w:rsidR="00BA2FF9" w:rsidRPr="00935191" w:rsidRDefault="00BA2FF9" w:rsidP="0093519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0DD9" w:rsidRPr="004E37BD" w:rsidRDefault="00883309" w:rsidP="00883309">
      <w:pPr>
        <w:pStyle w:val="a3"/>
        <w:numPr>
          <w:ilvl w:val="0"/>
          <w:numId w:val="13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BD">
        <w:rPr>
          <w:rFonts w:ascii="Times New Roman" w:hAnsi="Times New Roman" w:cs="Times New Roman"/>
          <w:b/>
          <w:sz w:val="28"/>
          <w:szCs w:val="28"/>
        </w:rPr>
        <w:t>Искажение показателей годовой бухгалтерской отчетности.</w:t>
      </w:r>
    </w:p>
    <w:p w:rsidR="003418C0" w:rsidRPr="004E37BD" w:rsidRDefault="00883309" w:rsidP="00341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BD">
        <w:rPr>
          <w:rFonts w:ascii="Times New Roman" w:hAnsi="Times New Roman" w:cs="Times New Roman"/>
          <w:sz w:val="28"/>
          <w:szCs w:val="28"/>
        </w:rPr>
        <w:t xml:space="preserve">В нарушение пункта 38 Инструкции №33н, </w:t>
      </w:r>
      <w:r w:rsidR="00BD05FC" w:rsidRPr="004E37BD">
        <w:rPr>
          <w:rFonts w:ascii="Times New Roman" w:hAnsi="Times New Roman" w:cs="Times New Roman"/>
          <w:sz w:val="28"/>
          <w:szCs w:val="28"/>
        </w:rPr>
        <w:t>в Главн</w:t>
      </w:r>
      <w:r w:rsidR="00BD05FC">
        <w:rPr>
          <w:rFonts w:ascii="Times New Roman" w:hAnsi="Times New Roman" w:cs="Times New Roman"/>
          <w:sz w:val="28"/>
          <w:szCs w:val="28"/>
        </w:rPr>
        <w:t>ой</w:t>
      </w:r>
      <w:r w:rsidR="00BD05FC" w:rsidRPr="004E37BD">
        <w:rPr>
          <w:rFonts w:ascii="Times New Roman" w:hAnsi="Times New Roman" w:cs="Times New Roman"/>
          <w:sz w:val="28"/>
          <w:szCs w:val="28"/>
        </w:rPr>
        <w:t xml:space="preserve"> книг</w:t>
      </w:r>
      <w:r w:rsidR="00BD05FC">
        <w:rPr>
          <w:rFonts w:ascii="Times New Roman" w:hAnsi="Times New Roman" w:cs="Times New Roman"/>
          <w:sz w:val="28"/>
          <w:szCs w:val="28"/>
        </w:rPr>
        <w:t>е</w:t>
      </w:r>
      <w:r w:rsidRPr="004E37BD">
        <w:rPr>
          <w:rFonts w:ascii="Times New Roman" w:hAnsi="Times New Roman" w:cs="Times New Roman"/>
          <w:sz w:val="28"/>
          <w:szCs w:val="28"/>
        </w:rPr>
        <w:t xml:space="preserve"> (ф. 0504072) на 01.01.2013 по счету 550410000 «Сметные (плановые) назначения текущего </w:t>
      </w:r>
      <w:r w:rsidRPr="004E37BD">
        <w:rPr>
          <w:rFonts w:ascii="Times New Roman" w:hAnsi="Times New Roman" w:cs="Times New Roman"/>
          <w:sz w:val="28"/>
          <w:szCs w:val="28"/>
        </w:rPr>
        <w:lastRenderedPageBreak/>
        <w:t>финансового года» числится дебетовый остаток в размере 4</w:t>
      </w:r>
      <w:r w:rsidR="003418C0" w:rsidRPr="004E37BD">
        <w:rPr>
          <w:rFonts w:ascii="Times New Roman" w:hAnsi="Times New Roman" w:cs="Times New Roman"/>
          <w:sz w:val="28"/>
          <w:szCs w:val="28"/>
        </w:rPr>
        <w:t>,</w:t>
      </w:r>
      <w:r w:rsidRPr="004E37BD">
        <w:rPr>
          <w:rFonts w:ascii="Times New Roman" w:hAnsi="Times New Roman" w:cs="Times New Roman"/>
          <w:sz w:val="28"/>
          <w:szCs w:val="28"/>
        </w:rPr>
        <w:t>4</w:t>
      </w:r>
      <w:r w:rsidR="003418C0" w:rsidRPr="004E37B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E37B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418C0" w:rsidRPr="004E37BD">
        <w:rPr>
          <w:rFonts w:ascii="Times New Roman" w:hAnsi="Times New Roman" w:cs="Times New Roman"/>
          <w:sz w:val="28"/>
          <w:szCs w:val="28"/>
        </w:rPr>
        <w:t xml:space="preserve"> По завершении текущего финансового года показатели (остатки) по счетам учета утвержденных сметных (плановых) назначений по расходам (выплатам) текущего финансового года на следующий год не переносятся. Вышеуказанное нарушение привело к искажению показателей годовой бухгалтерской отчетности на 01.01.2014, в частности, раздела 2 «Расходы учреждения» Отчета ф.0503737.</w:t>
      </w:r>
    </w:p>
    <w:p w:rsidR="00093B8F" w:rsidRPr="004E37BD" w:rsidRDefault="00093B8F" w:rsidP="00093B8F">
      <w:pPr>
        <w:pStyle w:val="a3"/>
        <w:numPr>
          <w:ilvl w:val="0"/>
          <w:numId w:val="13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BD">
        <w:rPr>
          <w:rFonts w:ascii="Times New Roman" w:hAnsi="Times New Roman" w:cs="Times New Roman"/>
          <w:b/>
          <w:sz w:val="28"/>
          <w:szCs w:val="28"/>
        </w:rPr>
        <w:t>Недостоверность показателей стоимости имущества учреждения.</w:t>
      </w:r>
    </w:p>
    <w:p w:rsidR="00093B8F" w:rsidRPr="004E37BD" w:rsidRDefault="00093B8F" w:rsidP="0009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BD">
        <w:rPr>
          <w:rFonts w:ascii="Times New Roman" w:hAnsi="Times New Roman" w:cs="Times New Roman"/>
          <w:sz w:val="28"/>
          <w:szCs w:val="28"/>
        </w:rPr>
        <w:t>В таблице 3 представлены показатели закрепленного за учреждением имущества на основании различных источников.</w:t>
      </w:r>
    </w:p>
    <w:p w:rsidR="00093B8F" w:rsidRPr="004E37BD" w:rsidRDefault="00093B8F" w:rsidP="00093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7BD">
        <w:rPr>
          <w:rFonts w:ascii="Times New Roman" w:hAnsi="Times New Roman" w:cs="Times New Roman"/>
          <w:sz w:val="24"/>
          <w:szCs w:val="24"/>
        </w:rPr>
        <w:t>Таблица 3,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93B8F" w:rsidRPr="004E37BD" w:rsidTr="006C4CE2">
        <w:tc>
          <w:tcPr>
            <w:tcW w:w="5607" w:type="dxa"/>
            <w:gridSpan w:val="3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Балансовая стоимость имущества на 01.01.2014</w:t>
            </w:r>
          </w:p>
        </w:tc>
        <w:tc>
          <w:tcPr>
            <w:tcW w:w="3738" w:type="dxa"/>
            <w:gridSpan w:val="2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Отклонение от показателей баланса (ф. 0503730)</w:t>
            </w:r>
          </w:p>
        </w:tc>
      </w:tr>
      <w:tr w:rsidR="00093B8F" w:rsidRPr="004E37BD" w:rsidTr="006C4CE2"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Согласно перечню Комитета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Согласно показателей баланса (ф.0503730)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Согласно показателей Плана ФХД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</w:p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гр.2 - гр.1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</w:p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гр.2 - гр.3</w:t>
            </w:r>
          </w:p>
        </w:tc>
      </w:tr>
      <w:tr w:rsidR="00093B8F" w:rsidRPr="004E37BD" w:rsidTr="006C4CE2"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center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5</w:t>
            </w:r>
          </w:p>
        </w:tc>
      </w:tr>
      <w:tr w:rsidR="004E37BD" w:rsidRPr="004E37BD" w:rsidTr="006C4CE2">
        <w:tc>
          <w:tcPr>
            <w:tcW w:w="1869" w:type="dxa"/>
          </w:tcPr>
          <w:p w:rsidR="00093B8F" w:rsidRPr="004E37BD" w:rsidRDefault="00093B8F" w:rsidP="006C4CE2">
            <w:pPr>
              <w:jc w:val="both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145 103 265,77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both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146 309 089,45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both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130 119 182,88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both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- 1 205 823,68</w:t>
            </w:r>
          </w:p>
        </w:tc>
        <w:tc>
          <w:tcPr>
            <w:tcW w:w="1869" w:type="dxa"/>
          </w:tcPr>
          <w:p w:rsidR="00093B8F" w:rsidRPr="004E37BD" w:rsidRDefault="00093B8F" w:rsidP="006C4CE2">
            <w:pPr>
              <w:jc w:val="both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</w:rPr>
              <w:t>- 16 189 906,57</w:t>
            </w:r>
          </w:p>
        </w:tc>
      </w:tr>
    </w:tbl>
    <w:p w:rsidR="00093B8F" w:rsidRPr="004E37BD" w:rsidRDefault="00093B8F" w:rsidP="00341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2B9" w:rsidRPr="00C24AA2" w:rsidRDefault="00C24AA2" w:rsidP="005B52B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A2">
        <w:rPr>
          <w:rFonts w:ascii="Times New Roman" w:hAnsi="Times New Roman" w:cs="Times New Roman"/>
          <w:b/>
          <w:sz w:val="28"/>
          <w:szCs w:val="28"/>
        </w:rPr>
        <w:t>Ненадлежащее оформление принятых к учету документов.</w:t>
      </w:r>
    </w:p>
    <w:p w:rsidR="00A119E2" w:rsidRPr="003A1526" w:rsidRDefault="003A1526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26">
        <w:rPr>
          <w:rFonts w:ascii="Times New Roman" w:hAnsi="Times New Roman" w:cs="Times New Roman"/>
          <w:sz w:val="28"/>
          <w:szCs w:val="28"/>
        </w:rPr>
        <w:t>В нарушение Приказа 173н при учете расчетов по оплате труда своды начислений, удержаний и выплат по оплате труда не заверены руководителем и главным бухгалтером, оригиналы Табелей использования рабочего времени отсутствуют. Операции по начислению сумм согласно заключенным договорам учтены в Журнале операций расчетов по оплате труда (ф. 0504071), что влечет нарушение вышеуказанного приказа.</w:t>
      </w:r>
    </w:p>
    <w:p w:rsidR="003A1526" w:rsidRPr="005A283B" w:rsidRDefault="005A283B" w:rsidP="0018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3B">
        <w:rPr>
          <w:rFonts w:ascii="Times New Roman" w:hAnsi="Times New Roman" w:cs="Times New Roman"/>
          <w:sz w:val="28"/>
          <w:szCs w:val="28"/>
        </w:rPr>
        <w:t>В нарушение пункта 1.3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 49, пункта 2 приложения 5 Приказа №173н в инвентаризации за 2013 год отсутствуют:</w:t>
      </w:r>
    </w:p>
    <w:p w:rsidR="005A283B" w:rsidRPr="005A283B" w:rsidRDefault="005A283B" w:rsidP="005A283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3B">
        <w:rPr>
          <w:rFonts w:ascii="Times New Roman" w:hAnsi="Times New Roman" w:cs="Times New Roman"/>
          <w:sz w:val="28"/>
          <w:szCs w:val="28"/>
        </w:rPr>
        <w:t>Акт о результатах инвентаризации (ф. 0504835);</w:t>
      </w:r>
    </w:p>
    <w:p w:rsidR="005A283B" w:rsidRPr="005A283B" w:rsidRDefault="005A283B" w:rsidP="005A283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3B">
        <w:rPr>
          <w:rFonts w:ascii="Times New Roman" w:hAnsi="Times New Roman" w:cs="Times New Roman"/>
          <w:sz w:val="28"/>
          <w:szCs w:val="28"/>
        </w:rPr>
        <w:t>Ведомость расхождений по результатам инвентаризации (ф.0504092);</w:t>
      </w:r>
    </w:p>
    <w:p w:rsidR="005A283B" w:rsidRPr="005A283B" w:rsidRDefault="005A283B" w:rsidP="00F7121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3B">
        <w:rPr>
          <w:rFonts w:ascii="Times New Roman" w:hAnsi="Times New Roman" w:cs="Times New Roman"/>
          <w:sz w:val="28"/>
          <w:szCs w:val="28"/>
        </w:rPr>
        <w:t>Инвентаризационная опись (сличительная ведомость) бланков строгой отчетности и денежных документов (</w:t>
      </w:r>
      <w:hyperlink r:id="rId8" w:history="1">
        <w:r w:rsidRPr="005A28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ф. 0504086</w:t>
        </w:r>
      </w:hyperlink>
      <w:r w:rsidRPr="005A283B">
        <w:rPr>
          <w:rFonts w:ascii="Times New Roman" w:hAnsi="Times New Roman" w:cs="Times New Roman"/>
          <w:sz w:val="28"/>
          <w:szCs w:val="28"/>
        </w:rPr>
        <w:t>).</w:t>
      </w:r>
    </w:p>
    <w:p w:rsidR="00F7121D" w:rsidRPr="00F7121D" w:rsidRDefault="00F7121D" w:rsidP="00F7121D">
      <w:pPr>
        <w:tabs>
          <w:tab w:val="left" w:pos="1155"/>
        </w:tabs>
        <w:spacing w:after="0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27241" w:rsidRDefault="00933E32" w:rsidP="00F7121D">
      <w:pPr>
        <w:tabs>
          <w:tab w:val="left" w:pos="115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установленных проверкой нарушений норм действующего законодательства в части, определяющей нормативно-правовую сторону, финансово-хозяйственную деятельность учреждения, порядк</w:t>
      </w:r>
      <w:r w:rsidR="007977F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расходования бюджетных средств</w:t>
      </w:r>
      <w:r w:rsidR="009262F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7F9">
        <w:rPr>
          <w:rFonts w:ascii="Times New Roman" w:hAnsi="Times New Roman" w:cs="Times New Roman"/>
          <w:i/>
          <w:sz w:val="28"/>
          <w:szCs w:val="28"/>
        </w:rPr>
        <w:t xml:space="preserve">денежные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средства в размере </w:t>
      </w:r>
      <w:r w:rsidR="00D65600">
        <w:rPr>
          <w:rFonts w:ascii="Times New Roman" w:hAnsi="Times New Roman" w:cs="Times New Roman"/>
          <w:i/>
          <w:sz w:val="28"/>
          <w:szCs w:val="28"/>
        </w:rPr>
        <w:t>137113,47 рублей подлежат возврату в бюджет городского округа Верхняя Пышма.</w:t>
      </w:r>
      <w:r w:rsidR="009262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1CDB" w:rsidRDefault="00BF1CDB" w:rsidP="009E72EC">
      <w:pPr>
        <w:tabs>
          <w:tab w:val="left" w:pos="115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CDB">
        <w:rPr>
          <w:rFonts w:ascii="Times New Roman" w:hAnsi="Times New Roman" w:cs="Times New Roman"/>
          <w:i/>
          <w:sz w:val="28"/>
          <w:szCs w:val="28"/>
        </w:rPr>
        <w:t xml:space="preserve">Возражения по акту проверки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F1CDB">
        <w:rPr>
          <w:rFonts w:ascii="Times New Roman" w:hAnsi="Times New Roman" w:cs="Times New Roman"/>
          <w:i/>
          <w:sz w:val="28"/>
          <w:szCs w:val="28"/>
        </w:rPr>
        <w:t xml:space="preserve">омитетом по социальной политике администрации городского округа Верхняя Пышма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72EC" w:rsidRPr="009E72EC">
        <w:rPr>
          <w:rFonts w:ascii="Times New Roman" w:hAnsi="Times New Roman" w:cs="Times New Roman"/>
          <w:i/>
          <w:sz w:val="28"/>
          <w:szCs w:val="28"/>
        </w:rPr>
        <w:t>МАОУ ДО «Детско-юношеская спортивная школа «Лидер»</w:t>
      </w:r>
      <w:r w:rsidR="009E7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CDB">
        <w:rPr>
          <w:rFonts w:ascii="Times New Roman" w:hAnsi="Times New Roman" w:cs="Times New Roman"/>
          <w:i/>
          <w:sz w:val="28"/>
          <w:szCs w:val="28"/>
        </w:rPr>
        <w:t>не представлены.</w:t>
      </w:r>
    </w:p>
    <w:p w:rsidR="00BF1CDB" w:rsidRPr="00BF1CDB" w:rsidRDefault="00BF1CDB" w:rsidP="009E72EC">
      <w:pPr>
        <w:tabs>
          <w:tab w:val="left" w:pos="115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C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Представление для принятия мер по устранению нарушений, выявленных при проверке </w:t>
      </w:r>
      <w:r w:rsidR="009E72EC" w:rsidRPr="009E72EC">
        <w:rPr>
          <w:rFonts w:ascii="Times New Roman" w:hAnsi="Times New Roman" w:cs="Times New Roman"/>
          <w:i/>
          <w:sz w:val="28"/>
          <w:szCs w:val="28"/>
        </w:rPr>
        <w:t>использования средств бюджета городского округа Верхняя Пышма, предоставляемых МАОУ ДО «Детско-юношеская спортивная школа «Лидер» на финансовое обеспечение выполнения им муниципального задания и на иные цели, за 2013 год и истекший период 2014 года</w:t>
      </w:r>
      <w:r w:rsidR="009E7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CDB">
        <w:rPr>
          <w:rFonts w:ascii="Times New Roman" w:hAnsi="Times New Roman" w:cs="Times New Roman"/>
          <w:i/>
          <w:sz w:val="28"/>
          <w:szCs w:val="28"/>
        </w:rPr>
        <w:t>вынесено 1</w:t>
      </w:r>
      <w:r w:rsidR="009E72EC">
        <w:rPr>
          <w:rFonts w:ascii="Times New Roman" w:hAnsi="Times New Roman" w:cs="Times New Roman"/>
          <w:i/>
          <w:sz w:val="28"/>
          <w:szCs w:val="28"/>
        </w:rPr>
        <w:t>7.11</w:t>
      </w:r>
      <w:r w:rsidRPr="00BF1CDB">
        <w:rPr>
          <w:rFonts w:ascii="Times New Roman" w:hAnsi="Times New Roman" w:cs="Times New Roman"/>
          <w:i/>
          <w:sz w:val="28"/>
          <w:szCs w:val="28"/>
        </w:rPr>
        <w:t>.201</w:t>
      </w:r>
      <w:r w:rsidR="009E72EC">
        <w:rPr>
          <w:rFonts w:ascii="Times New Roman" w:hAnsi="Times New Roman" w:cs="Times New Roman"/>
          <w:i/>
          <w:sz w:val="28"/>
          <w:szCs w:val="28"/>
        </w:rPr>
        <w:t>4</w:t>
      </w:r>
      <w:r w:rsidRPr="00BF1C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399F" w:rsidRPr="00207D7A" w:rsidRDefault="003C399F" w:rsidP="00207D7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3C399F" w:rsidRPr="00207D7A" w:rsidSect="00812B32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BC" w:rsidRDefault="007522BC" w:rsidP="009B6B50">
      <w:pPr>
        <w:spacing w:after="0" w:line="240" w:lineRule="auto"/>
      </w:pPr>
      <w:r>
        <w:separator/>
      </w:r>
    </w:p>
  </w:endnote>
  <w:endnote w:type="continuationSeparator" w:id="0">
    <w:p w:rsidR="007522BC" w:rsidRDefault="007522BC" w:rsidP="009B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704872"/>
      <w:docPartObj>
        <w:docPartGallery w:val="Page Numbers (Bottom of Page)"/>
        <w:docPartUnique/>
      </w:docPartObj>
    </w:sdtPr>
    <w:sdtEndPr/>
    <w:sdtContent>
      <w:p w:rsidR="009B6B50" w:rsidRDefault="009B6B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13">
          <w:rPr>
            <w:noProof/>
          </w:rPr>
          <w:t>9</w:t>
        </w:r>
        <w:r>
          <w:fldChar w:fldCharType="end"/>
        </w:r>
      </w:p>
    </w:sdtContent>
  </w:sdt>
  <w:p w:rsidR="009B6B50" w:rsidRDefault="009B6B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BC" w:rsidRDefault="007522BC" w:rsidP="009B6B50">
      <w:pPr>
        <w:spacing w:after="0" w:line="240" w:lineRule="auto"/>
      </w:pPr>
      <w:r>
        <w:separator/>
      </w:r>
    </w:p>
  </w:footnote>
  <w:footnote w:type="continuationSeparator" w:id="0">
    <w:p w:rsidR="007522BC" w:rsidRDefault="007522BC" w:rsidP="009B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5BCA"/>
    <w:multiLevelType w:val="hybridMultilevel"/>
    <w:tmpl w:val="AC302E6E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E18B9"/>
    <w:multiLevelType w:val="multilevel"/>
    <w:tmpl w:val="D7B02B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HAnsi" w:cstheme="minorBidi" w:hint="default"/>
        <w:b/>
      </w:rPr>
    </w:lvl>
  </w:abstractNum>
  <w:abstractNum w:abstractNumId="2">
    <w:nsid w:val="27CE4E9B"/>
    <w:multiLevelType w:val="hybridMultilevel"/>
    <w:tmpl w:val="BA247EAE"/>
    <w:lvl w:ilvl="0" w:tplc="DA6AB5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ED0E4E"/>
    <w:multiLevelType w:val="hybridMultilevel"/>
    <w:tmpl w:val="D1AAF790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D565FC"/>
    <w:multiLevelType w:val="hybridMultilevel"/>
    <w:tmpl w:val="9CD03EDA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F408CD"/>
    <w:multiLevelType w:val="hybridMultilevel"/>
    <w:tmpl w:val="A920E0CE"/>
    <w:lvl w:ilvl="0" w:tplc="DA6AB5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8495DFD"/>
    <w:multiLevelType w:val="hybridMultilevel"/>
    <w:tmpl w:val="FE2C794E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A162A1"/>
    <w:multiLevelType w:val="hybridMultilevel"/>
    <w:tmpl w:val="1758EA0C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3167C9"/>
    <w:multiLevelType w:val="hybridMultilevel"/>
    <w:tmpl w:val="955C9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736C2F"/>
    <w:multiLevelType w:val="hybridMultilevel"/>
    <w:tmpl w:val="96048FB4"/>
    <w:lvl w:ilvl="0" w:tplc="DA6AB5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59FB3A17"/>
    <w:multiLevelType w:val="hybridMultilevel"/>
    <w:tmpl w:val="11D45DD8"/>
    <w:lvl w:ilvl="0" w:tplc="FD601A4C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2E2440"/>
    <w:multiLevelType w:val="hybridMultilevel"/>
    <w:tmpl w:val="ACEC6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915B7"/>
    <w:multiLevelType w:val="hybridMultilevel"/>
    <w:tmpl w:val="B19A00D2"/>
    <w:lvl w:ilvl="0" w:tplc="DA6AB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543DA8"/>
    <w:multiLevelType w:val="hybridMultilevel"/>
    <w:tmpl w:val="31FAB380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9E0A6B"/>
    <w:multiLevelType w:val="hybridMultilevel"/>
    <w:tmpl w:val="C6043EA4"/>
    <w:lvl w:ilvl="0" w:tplc="DA6AB5C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4FC3562"/>
    <w:multiLevelType w:val="hybridMultilevel"/>
    <w:tmpl w:val="6016B49A"/>
    <w:lvl w:ilvl="0" w:tplc="25E4F1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487055"/>
    <w:multiLevelType w:val="hybridMultilevel"/>
    <w:tmpl w:val="7AFC7C08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810E11"/>
    <w:multiLevelType w:val="hybridMultilevel"/>
    <w:tmpl w:val="7890C1E2"/>
    <w:lvl w:ilvl="0" w:tplc="DA6AB5C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7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6"/>
  </w:num>
  <w:num w:numId="13">
    <w:abstractNumId w:val="15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7"/>
    <w:rsid w:val="0001309F"/>
    <w:rsid w:val="00036223"/>
    <w:rsid w:val="0006158A"/>
    <w:rsid w:val="00093B8F"/>
    <w:rsid w:val="00094A56"/>
    <w:rsid w:val="000D6DD1"/>
    <w:rsid w:val="000E7085"/>
    <w:rsid w:val="000F203A"/>
    <w:rsid w:val="0010146C"/>
    <w:rsid w:val="0014351E"/>
    <w:rsid w:val="00156364"/>
    <w:rsid w:val="001614C4"/>
    <w:rsid w:val="00172CCC"/>
    <w:rsid w:val="00186FDE"/>
    <w:rsid w:val="00197FA4"/>
    <w:rsid w:val="001B1816"/>
    <w:rsid w:val="001B2725"/>
    <w:rsid w:val="001F101C"/>
    <w:rsid w:val="0020517C"/>
    <w:rsid w:val="00207D7A"/>
    <w:rsid w:val="00230CBA"/>
    <w:rsid w:val="002562E3"/>
    <w:rsid w:val="00273779"/>
    <w:rsid w:val="002871F8"/>
    <w:rsid w:val="002C6661"/>
    <w:rsid w:val="002E0765"/>
    <w:rsid w:val="002E6138"/>
    <w:rsid w:val="002F126B"/>
    <w:rsid w:val="002F4340"/>
    <w:rsid w:val="00311CDE"/>
    <w:rsid w:val="00314B7E"/>
    <w:rsid w:val="003261E7"/>
    <w:rsid w:val="00327241"/>
    <w:rsid w:val="00334CFB"/>
    <w:rsid w:val="003400EE"/>
    <w:rsid w:val="00341355"/>
    <w:rsid w:val="003418C0"/>
    <w:rsid w:val="003726FC"/>
    <w:rsid w:val="003916AC"/>
    <w:rsid w:val="0039709A"/>
    <w:rsid w:val="003A1526"/>
    <w:rsid w:val="003A5409"/>
    <w:rsid w:val="003C399F"/>
    <w:rsid w:val="003C7671"/>
    <w:rsid w:val="003E1636"/>
    <w:rsid w:val="003F35C4"/>
    <w:rsid w:val="0046403C"/>
    <w:rsid w:val="00470045"/>
    <w:rsid w:val="00497127"/>
    <w:rsid w:val="004D4405"/>
    <w:rsid w:val="004E37BD"/>
    <w:rsid w:val="004F5CF1"/>
    <w:rsid w:val="00506995"/>
    <w:rsid w:val="005114F7"/>
    <w:rsid w:val="0052328A"/>
    <w:rsid w:val="005307A0"/>
    <w:rsid w:val="00535317"/>
    <w:rsid w:val="00537F0C"/>
    <w:rsid w:val="00542700"/>
    <w:rsid w:val="00546FE2"/>
    <w:rsid w:val="005A283B"/>
    <w:rsid w:val="005B52B9"/>
    <w:rsid w:val="00603840"/>
    <w:rsid w:val="00617F60"/>
    <w:rsid w:val="00625E2A"/>
    <w:rsid w:val="00645694"/>
    <w:rsid w:val="00645BDC"/>
    <w:rsid w:val="00660556"/>
    <w:rsid w:val="00666365"/>
    <w:rsid w:val="0068184B"/>
    <w:rsid w:val="00684B78"/>
    <w:rsid w:val="0068685C"/>
    <w:rsid w:val="006933C0"/>
    <w:rsid w:val="006949F9"/>
    <w:rsid w:val="006C5DE8"/>
    <w:rsid w:val="006D72BC"/>
    <w:rsid w:val="0072528B"/>
    <w:rsid w:val="00735B9E"/>
    <w:rsid w:val="007522BC"/>
    <w:rsid w:val="0076675D"/>
    <w:rsid w:val="00773669"/>
    <w:rsid w:val="007830EE"/>
    <w:rsid w:val="0078506F"/>
    <w:rsid w:val="007862C8"/>
    <w:rsid w:val="007977F9"/>
    <w:rsid w:val="00812B32"/>
    <w:rsid w:val="00834247"/>
    <w:rsid w:val="00877F24"/>
    <w:rsid w:val="00883309"/>
    <w:rsid w:val="00894F58"/>
    <w:rsid w:val="008973C0"/>
    <w:rsid w:val="008A1517"/>
    <w:rsid w:val="008C2947"/>
    <w:rsid w:val="008C43D9"/>
    <w:rsid w:val="008E10B8"/>
    <w:rsid w:val="0091511A"/>
    <w:rsid w:val="009262F7"/>
    <w:rsid w:val="009332FA"/>
    <w:rsid w:val="00933E32"/>
    <w:rsid w:val="00935191"/>
    <w:rsid w:val="00947D68"/>
    <w:rsid w:val="00957342"/>
    <w:rsid w:val="009645B2"/>
    <w:rsid w:val="0098257E"/>
    <w:rsid w:val="009978D0"/>
    <w:rsid w:val="009A0F17"/>
    <w:rsid w:val="009B6B50"/>
    <w:rsid w:val="009E72EC"/>
    <w:rsid w:val="009F0496"/>
    <w:rsid w:val="00A005F9"/>
    <w:rsid w:val="00A119E2"/>
    <w:rsid w:val="00A31192"/>
    <w:rsid w:val="00AA6457"/>
    <w:rsid w:val="00AB46EE"/>
    <w:rsid w:val="00AC1A1C"/>
    <w:rsid w:val="00AE459F"/>
    <w:rsid w:val="00AE618A"/>
    <w:rsid w:val="00AF2D61"/>
    <w:rsid w:val="00B04223"/>
    <w:rsid w:val="00B06CE3"/>
    <w:rsid w:val="00BA1AA0"/>
    <w:rsid w:val="00BA2FF9"/>
    <w:rsid w:val="00BB0DD9"/>
    <w:rsid w:val="00BB7128"/>
    <w:rsid w:val="00BD05FC"/>
    <w:rsid w:val="00BE0268"/>
    <w:rsid w:val="00BF1CDB"/>
    <w:rsid w:val="00BF767D"/>
    <w:rsid w:val="00C24AA2"/>
    <w:rsid w:val="00C26CE7"/>
    <w:rsid w:val="00C66017"/>
    <w:rsid w:val="00C93516"/>
    <w:rsid w:val="00CA055F"/>
    <w:rsid w:val="00CC4F32"/>
    <w:rsid w:val="00D65600"/>
    <w:rsid w:val="00D67FEE"/>
    <w:rsid w:val="00DA7C5E"/>
    <w:rsid w:val="00DC6113"/>
    <w:rsid w:val="00DD06DD"/>
    <w:rsid w:val="00DD2586"/>
    <w:rsid w:val="00E10E24"/>
    <w:rsid w:val="00E86747"/>
    <w:rsid w:val="00EB5F1F"/>
    <w:rsid w:val="00EB6707"/>
    <w:rsid w:val="00EC4455"/>
    <w:rsid w:val="00EE6F6B"/>
    <w:rsid w:val="00F44DE6"/>
    <w:rsid w:val="00F7121D"/>
    <w:rsid w:val="00F87F6D"/>
    <w:rsid w:val="00F91168"/>
    <w:rsid w:val="00FB7397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1507-8EBA-4B62-A736-17DF63E5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47"/>
    <w:pPr>
      <w:ind w:left="720"/>
      <w:contextualSpacing/>
    </w:pPr>
  </w:style>
  <w:style w:type="table" w:styleId="a4">
    <w:name w:val="Table Grid"/>
    <w:basedOn w:val="a1"/>
    <w:uiPriority w:val="39"/>
    <w:rsid w:val="0089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101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B50"/>
  </w:style>
  <w:style w:type="paragraph" w:styleId="a8">
    <w:name w:val="footer"/>
    <w:basedOn w:val="a"/>
    <w:link w:val="a9"/>
    <w:uiPriority w:val="99"/>
    <w:unhideWhenUsed/>
    <w:rsid w:val="009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B50"/>
  </w:style>
  <w:style w:type="paragraph" w:styleId="aa">
    <w:name w:val="Balloon Text"/>
    <w:basedOn w:val="a"/>
    <w:link w:val="ab"/>
    <w:uiPriority w:val="99"/>
    <w:semiHidden/>
    <w:unhideWhenUsed/>
    <w:rsid w:val="0094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DFA738D42EACDD6D6E7A732A35EBB5DE45EB65698FFC3D82F0102A31FFD942895931CB0437BF7X1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63BCAE70B4429C706D60B524DB57424BA68A88A7ABC677F1DA3718E6P9n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9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Инспектор2 Счетная палата</dc:creator>
  <cp:keywords/>
  <dc:description/>
  <cp:lastModifiedBy>Инспектор2 Счетная палата</cp:lastModifiedBy>
  <cp:revision>69</cp:revision>
  <cp:lastPrinted>2014-11-18T05:38:00Z</cp:lastPrinted>
  <dcterms:created xsi:type="dcterms:W3CDTF">2014-11-11T03:31:00Z</dcterms:created>
  <dcterms:modified xsi:type="dcterms:W3CDTF">2014-12-18T12:21:00Z</dcterms:modified>
</cp:coreProperties>
</file>