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>Федерального закона от 25 декабря 2008 года 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11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организаций, созданных в целях выполнения задач, поставленных перед Правительством РФ (можно сказать подведомственных 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 в этих организациях, замещение которых налагает обязанность представлять сведения о доходах, расходах, имуществе 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>по разработке и принятию организациями мер 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946611">
        <w:rPr>
          <w:b w:val="0"/>
        </w:rPr>
        <w:t xml:space="preserve"> 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>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должностей, выполнение обязанностей по которым связано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план по минимизации установленных коррупционных рисков 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общие антикоррупционные обязанности работников организации и специальные обязанности для лиц, замещающих должности с коррупционными </w:t>
      </w:r>
      <w:r>
        <w:rPr>
          <w:b w:val="0"/>
        </w:rPr>
        <w:lastRenderedPageBreak/>
        <w:t>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Все указанные выше локальные акты должным быть утверждены 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в интересах Российской Федерации, обратился в суд с исковым заявлением 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12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5002B5" w:rsidRPr="006B43FD">
        <w:rPr>
          <w:b w:val="0"/>
        </w:rPr>
        <w:t xml:space="preserve"> 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5002B5" w:rsidRPr="00E61FF8" w:rsidRDefault="005002B5" w:rsidP="005002B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B5" w:rsidRPr="00837119" w:rsidRDefault="005002B5" w:rsidP="0050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lastRenderedPageBreak/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 знаками делового 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конфликта интересов в устной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5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lastRenderedPageBreak/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6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7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8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9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20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21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22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3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4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5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F7" w:rsidRDefault="000C73F7" w:rsidP="00FD11A5">
      <w:pPr>
        <w:spacing w:after="0" w:line="240" w:lineRule="auto"/>
      </w:pPr>
      <w:r>
        <w:separator/>
      </w:r>
    </w:p>
  </w:endnote>
  <w:endnote w:type="continuationSeparator" w:id="0">
    <w:p w:rsidR="000C73F7" w:rsidRDefault="000C73F7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F7" w:rsidRDefault="000C73F7" w:rsidP="00FD11A5">
      <w:pPr>
        <w:spacing w:after="0" w:line="240" w:lineRule="auto"/>
      </w:pPr>
      <w:r>
        <w:separator/>
      </w:r>
    </w:p>
  </w:footnote>
  <w:footnote w:type="continuationSeparator" w:id="0">
    <w:p w:rsidR="000C73F7" w:rsidRDefault="000C73F7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CCF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86A93"/>
    <w:rsid w:val="000C685E"/>
    <w:rsid w:val="000C73F7"/>
    <w:rsid w:val="000D1023"/>
    <w:rsid w:val="000E166B"/>
    <w:rsid w:val="000F5CC7"/>
    <w:rsid w:val="001034E0"/>
    <w:rsid w:val="0011305F"/>
    <w:rsid w:val="0012232C"/>
    <w:rsid w:val="00124663"/>
    <w:rsid w:val="00185FB9"/>
    <w:rsid w:val="00187B09"/>
    <w:rsid w:val="001D0CCF"/>
    <w:rsid w:val="001F1A64"/>
    <w:rsid w:val="001F5079"/>
    <w:rsid w:val="00203C3B"/>
    <w:rsid w:val="0021632B"/>
    <w:rsid w:val="00222982"/>
    <w:rsid w:val="002A218C"/>
    <w:rsid w:val="002C46E0"/>
    <w:rsid w:val="002F33D5"/>
    <w:rsid w:val="00337D15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0C754EA1F13E07949A878410C9405597A0765E2E1652690B20AB0407BA424031F369776F96349C3DBcDK" TargetMode="External"/><Relationship Id="rId18" Type="http://schemas.openxmlformats.org/officeDocument/2006/relationships/hyperlink" Target="consultantplus://offline/ref=B5382B125F572205EB785D58FD0BDDC4EBA2C77B7300A4F853ABF6n7c8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44FD8EE140CB828A342C30398ED0FCACF36D10096DAD5C47FF12A07BD46CE48357B5ECEABD465D14x0dB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24C39F7F5D0F0BBB56DDD9BB74336C1DB0664AE3BBC529E2AFE2A663C17s0K" TargetMode="External"/><Relationship Id="rId17" Type="http://schemas.openxmlformats.org/officeDocument/2006/relationships/hyperlink" Target="consultantplus://offline/ref=B5382B125F572205EB785D58FD0BDDC4E8ACC5767050F3FA02FEF87D1551982AA45BDB9078B25D24n0cFK" TargetMode="External"/><Relationship Id="rId25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0C754EA1F13E07949A878410C9405597A0563E5ED642690B20AB0407BDAc4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E4421C224C7B7EED4712A32834D2C21EEE831BA2862B341D9F9978BA3o1y4K" TargetMode="External"/><Relationship Id="rId24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E0C754EA1F13E07949A878410C9405597A0764E0E7622690B20AB0407BDAc4K" TargetMode="External"/><Relationship Id="rId23" Type="http://schemas.openxmlformats.org/officeDocument/2006/relationships/hyperlink" Target="consultantplus://offline/ref=44FD8EE140CB828A342C30398ED0FCACF36D10096DAD5C47FF12A07BD4x6dC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E0C754EA1F13E07949A878410C9405597A0764E0E7622690B20AB0407BA424031F369776F96349C8DBc0K" TargetMode="External"/><Relationship Id="rId22" Type="http://schemas.openxmlformats.org/officeDocument/2006/relationships/hyperlink" Target="consultantplus://offline/ref=44FD8EE140CB828A342C30398ED0FCACF36D10096DAD5C47FF12A07BD4x6d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778D-D5CC-4A4D-8590-48EBC828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C6D7B-5151-4CB4-AD6B-69691EA2D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EB2B-3DF8-4862-8926-3D1C1B814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CF006-DBD1-4086-80B8-4588DA6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11139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Snedkova</cp:lastModifiedBy>
  <cp:revision>2</cp:revision>
  <cp:lastPrinted>2015-12-25T10:14:00Z</cp:lastPrinted>
  <dcterms:created xsi:type="dcterms:W3CDTF">2016-05-30T10:58:00Z</dcterms:created>
  <dcterms:modified xsi:type="dcterms:W3CDTF">2016-05-30T10:58:00Z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