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96" w:rsidRPr="009D7496" w:rsidRDefault="00165E76" w:rsidP="00165E76">
      <w:pPr>
        <w:jc w:val="center"/>
        <w:rPr>
          <w:b/>
          <w:sz w:val="28"/>
          <w:szCs w:val="28"/>
        </w:rPr>
      </w:pPr>
      <w:r w:rsidRPr="009D7496">
        <w:rPr>
          <w:b/>
          <w:sz w:val="28"/>
          <w:szCs w:val="28"/>
        </w:rPr>
        <w:t xml:space="preserve">Выявленные нарушения, принятые меры, </w:t>
      </w:r>
    </w:p>
    <w:p w:rsidR="00165E76" w:rsidRPr="009D7496" w:rsidRDefault="00165E76" w:rsidP="00165E76">
      <w:pPr>
        <w:jc w:val="center"/>
        <w:rPr>
          <w:b/>
          <w:sz w:val="28"/>
          <w:szCs w:val="28"/>
        </w:rPr>
      </w:pPr>
      <w:r w:rsidRPr="009D7496">
        <w:rPr>
          <w:b/>
          <w:sz w:val="28"/>
          <w:szCs w:val="28"/>
        </w:rPr>
        <w:t>устранение выявленных нарушений</w:t>
      </w:r>
      <w:r w:rsidR="000D2708" w:rsidRPr="009D7496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9D7496" w:rsidRPr="009D7496" w:rsidRDefault="00165E76" w:rsidP="00165E76">
      <w:pPr>
        <w:jc w:val="center"/>
        <w:rPr>
          <w:b/>
          <w:sz w:val="28"/>
          <w:szCs w:val="28"/>
        </w:rPr>
      </w:pPr>
      <w:r w:rsidRPr="009D7496">
        <w:rPr>
          <w:b/>
          <w:sz w:val="28"/>
          <w:szCs w:val="28"/>
        </w:rPr>
        <w:t xml:space="preserve"> в результате мероприятий финансового контроля</w:t>
      </w:r>
      <w:r w:rsidR="00B16847" w:rsidRPr="009D7496">
        <w:rPr>
          <w:b/>
          <w:sz w:val="28"/>
          <w:szCs w:val="28"/>
        </w:rPr>
        <w:t xml:space="preserve"> </w:t>
      </w:r>
    </w:p>
    <w:p w:rsidR="00165E76" w:rsidRPr="009D7496" w:rsidRDefault="00B16847" w:rsidP="00165E76">
      <w:pPr>
        <w:jc w:val="center"/>
        <w:rPr>
          <w:b/>
          <w:sz w:val="28"/>
          <w:szCs w:val="28"/>
        </w:rPr>
      </w:pPr>
      <w:r w:rsidRPr="009D7496">
        <w:rPr>
          <w:b/>
          <w:sz w:val="28"/>
          <w:szCs w:val="28"/>
        </w:rPr>
        <w:t xml:space="preserve">за </w:t>
      </w:r>
      <w:r w:rsidR="00E30C33">
        <w:rPr>
          <w:b/>
          <w:sz w:val="28"/>
          <w:szCs w:val="28"/>
        </w:rPr>
        <w:t>4</w:t>
      </w:r>
      <w:r w:rsidR="009D7496" w:rsidRPr="009D7496">
        <w:rPr>
          <w:b/>
          <w:sz w:val="28"/>
          <w:szCs w:val="28"/>
        </w:rPr>
        <w:t xml:space="preserve"> квартал </w:t>
      </w:r>
      <w:r w:rsidRPr="009D7496">
        <w:rPr>
          <w:b/>
          <w:sz w:val="28"/>
          <w:szCs w:val="28"/>
        </w:rPr>
        <w:t>201</w:t>
      </w:r>
      <w:r w:rsidR="006E6DDA">
        <w:rPr>
          <w:b/>
          <w:sz w:val="28"/>
          <w:szCs w:val="28"/>
        </w:rPr>
        <w:t>7</w:t>
      </w:r>
      <w:r w:rsidRPr="009D7496">
        <w:rPr>
          <w:b/>
          <w:sz w:val="28"/>
          <w:szCs w:val="28"/>
        </w:rPr>
        <w:t xml:space="preserve"> год</w:t>
      </w:r>
      <w:r w:rsidR="009D7496" w:rsidRPr="009D7496">
        <w:rPr>
          <w:b/>
          <w:sz w:val="28"/>
          <w:szCs w:val="28"/>
        </w:rPr>
        <w:t>а</w:t>
      </w:r>
    </w:p>
    <w:p w:rsidR="000D2708" w:rsidRDefault="000D2708" w:rsidP="00165E76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005"/>
        <w:gridCol w:w="1701"/>
        <w:gridCol w:w="7088"/>
        <w:gridCol w:w="2551"/>
        <w:gridCol w:w="1843"/>
      </w:tblGrid>
      <w:tr w:rsidR="00815F7D" w:rsidRPr="00AE7422" w:rsidTr="002B600F">
        <w:trPr>
          <w:trHeight w:val="1362"/>
        </w:trPr>
        <w:tc>
          <w:tcPr>
            <w:tcW w:w="513" w:type="dxa"/>
          </w:tcPr>
          <w:p w:rsidR="00815F7D" w:rsidRPr="009314C8" w:rsidRDefault="00815F7D" w:rsidP="00AE7422">
            <w:pPr>
              <w:jc w:val="center"/>
              <w:rPr>
                <w:b/>
              </w:rPr>
            </w:pPr>
            <w:r w:rsidRPr="009314C8">
              <w:rPr>
                <w:b/>
              </w:rPr>
              <w:t>№ п/п</w:t>
            </w:r>
          </w:p>
        </w:tc>
        <w:tc>
          <w:tcPr>
            <w:tcW w:w="2005" w:type="dxa"/>
          </w:tcPr>
          <w:p w:rsidR="00815F7D" w:rsidRPr="009314C8" w:rsidRDefault="00815F7D" w:rsidP="00AE7422">
            <w:pPr>
              <w:jc w:val="center"/>
              <w:rPr>
                <w:b/>
              </w:rPr>
            </w:pPr>
            <w:r w:rsidRPr="009314C8">
              <w:rPr>
                <w:b/>
              </w:rPr>
              <w:t>Наименование учреждения, предприятия, органа местного самоуправления</w:t>
            </w:r>
          </w:p>
        </w:tc>
        <w:tc>
          <w:tcPr>
            <w:tcW w:w="1701" w:type="dxa"/>
          </w:tcPr>
          <w:p w:rsidR="00815F7D" w:rsidRPr="009314C8" w:rsidRDefault="00815F7D" w:rsidP="00AE7422">
            <w:pPr>
              <w:jc w:val="center"/>
              <w:rPr>
                <w:b/>
              </w:rPr>
            </w:pPr>
            <w:r w:rsidRPr="009314C8">
              <w:rPr>
                <w:b/>
              </w:rPr>
              <w:t>Период ревизии</w:t>
            </w:r>
          </w:p>
        </w:tc>
        <w:tc>
          <w:tcPr>
            <w:tcW w:w="7088" w:type="dxa"/>
          </w:tcPr>
          <w:p w:rsidR="00815F7D" w:rsidRPr="009314C8" w:rsidRDefault="00815F7D" w:rsidP="00AE7422">
            <w:pPr>
              <w:jc w:val="center"/>
              <w:rPr>
                <w:b/>
              </w:rPr>
            </w:pPr>
            <w:r w:rsidRPr="009314C8">
              <w:rPr>
                <w:b/>
              </w:rPr>
              <w:t>Выявленные нарушения финансовой дисциплины</w:t>
            </w:r>
          </w:p>
        </w:tc>
        <w:tc>
          <w:tcPr>
            <w:tcW w:w="2551" w:type="dxa"/>
          </w:tcPr>
          <w:p w:rsidR="00815F7D" w:rsidRPr="009314C8" w:rsidRDefault="00815F7D" w:rsidP="00AE7422">
            <w:pPr>
              <w:jc w:val="center"/>
              <w:rPr>
                <w:b/>
              </w:rPr>
            </w:pPr>
            <w:r w:rsidRPr="009314C8">
              <w:rPr>
                <w:b/>
              </w:rPr>
              <w:t>Принятые меры</w:t>
            </w:r>
          </w:p>
        </w:tc>
        <w:tc>
          <w:tcPr>
            <w:tcW w:w="1843" w:type="dxa"/>
          </w:tcPr>
          <w:p w:rsidR="00815F7D" w:rsidRPr="009314C8" w:rsidRDefault="00815F7D" w:rsidP="00AE7422">
            <w:pPr>
              <w:jc w:val="center"/>
              <w:rPr>
                <w:b/>
              </w:rPr>
            </w:pPr>
            <w:r w:rsidRPr="009314C8">
              <w:rPr>
                <w:b/>
              </w:rPr>
              <w:t>Устранены выявленные нарушения</w:t>
            </w:r>
          </w:p>
        </w:tc>
      </w:tr>
      <w:tr w:rsidR="00664511" w:rsidRPr="005811AE" w:rsidTr="002B600F">
        <w:trPr>
          <w:trHeight w:val="840"/>
        </w:trPr>
        <w:tc>
          <w:tcPr>
            <w:tcW w:w="513" w:type="dxa"/>
          </w:tcPr>
          <w:p w:rsidR="00664511" w:rsidRPr="005811AE" w:rsidRDefault="00664511" w:rsidP="00BC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664511" w:rsidRPr="005811AE" w:rsidRDefault="00664511" w:rsidP="00BC7E74">
            <w:pPr>
              <w:jc w:val="center"/>
              <w:rPr>
                <w:sz w:val="24"/>
                <w:szCs w:val="24"/>
              </w:rPr>
            </w:pPr>
            <w:r w:rsidRPr="005811AE">
              <w:rPr>
                <w:sz w:val="24"/>
                <w:szCs w:val="24"/>
              </w:rPr>
              <w:t>Администрация Вытегорского муниципального района</w:t>
            </w:r>
          </w:p>
        </w:tc>
        <w:tc>
          <w:tcPr>
            <w:tcW w:w="1701" w:type="dxa"/>
          </w:tcPr>
          <w:p w:rsidR="00664511" w:rsidRDefault="002C5E8E" w:rsidP="002C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05.09.2017-18.09</w:t>
            </w:r>
            <w:r w:rsidR="00664511">
              <w:rPr>
                <w:sz w:val="24"/>
                <w:szCs w:val="24"/>
              </w:rPr>
              <w:t>.2017</w:t>
            </w:r>
          </w:p>
        </w:tc>
        <w:tc>
          <w:tcPr>
            <w:tcW w:w="7088" w:type="dxa"/>
          </w:tcPr>
          <w:p w:rsidR="002C5E8E" w:rsidRPr="00C30E01" w:rsidRDefault="00C30E01" w:rsidP="00C30E0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C5E8E" w:rsidRPr="00C30E01">
              <w:rPr>
                <w:sz w:val="24"/>
                <w:szCs w:val="24"/>
                <w:shd w:val="clear" w:color="auto" w:fill="FFFFFF"/>
              </w:rPr>
              <w:t xml:space="preserve">В результате контрольного мероприятия </w:t>
            </w:r>
            <w:r w:rsidRPr="00C30E01">
              <w:rPr>
                <w:sz w:val="24"/>
                <w:szCs w:val="24"/>
                <w:shd w:val="clear" w:color="auto" w:fill="FFFFFF"/>
              </w:rPr>
              <w:t>по вопросам ц</w:t>
            </w:r>
            <w:r w:rsidRPr="00C30E01">
              <w:rPr>
                <w:sz w:val="24"/>
                <w:szCs w:val="24"/>
              </w:rPr>
              <w:t>елевого использование финансовых средств (межбюджетных трансфертов), предоставляемых из бюджета Администрации сельского поселения Анненское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  <w:r>
              <w:rPr>
                <w:sz w:val="28"/>
                <w:szCs w:val="28"/>
              </w:rPr>
              <w:t xml:space="preserve"> </w:t>
            </w:r>
            <w:r w:rsidR="002C5E8E" w:rsidRPr="002C5E8E">
              <w:rPr>
                <w:sz w:val="24"/>
                <w:szCs w:val="24"/>
                <w:shd w:val="clear" w:color="auto" w:fill="FFFFFF"/>
              </w:rPr>
              <w:t>проверено расходование средств в сумме 1 400 100 руб. 00 коп.</w:t>
            </w:r>
            <w:r w:rsidR="002C5E8E" w:rsidRPr="002C5E8E">
              <w:rPr>
                <w:sz w:val="24"/>
                <w:szCs w:val="24"/>
              </w:rPr>
              <w:t xml:space="preserve"> Установлено нарушений на сумму 399 854 руб. 45 коп. </w:t>
            </w:r>
          </w:p>
          <w:p w:rsidR="002C5E8E" w:rsidRPr="002C5E8E" w:rsidRDefault="002C5E8E" w:rsidP="002C5E8E">
            <w:pPr>
              <w:jc w:val="both"/>
              <w:rPr>
                <w:sz w:val="24"/>
                <w:szCs w:val="24"/>
              </w:rPr>
            </w:pPr>
            <w:r w:rsidRPr="002C5E8E">
              <w:rPr>
                <w:sz w:val="24"/>
                <w:szCs w:val="24"/>
              </w:rPr>
              <w:t xml:space="preserve"> Отчет по исполнению полномочий в сфере культуры за 4 квартал 2016 года с внесенными изменениями в приложение 1 представлен без указания отметки о получении его Администрацией поселения. </w:t>
            </w:r>
          </w:p>
          <w:p w:rsidR="002C5E8E" w:rsidRPr="002C5E8E" w:rsidRDefault="002C5E8E" w:rsidP="002C5E8E">
            <w:pPr>
              <w:jc w:val="both"/>
              <w:rPr>
                <w:sz w:val="24"/>
                <w:szCs w:val="24"/>
              </w:rPr>
            </w:pPr>
            <w:r w:rsidRPr="002C5E8E">
              <w:rPr>
                <w:sz w:val="24"/>
                <w:szCs w:val="24"/>
              </w:rPr>
              <w:t>В нарушение подпункта 2.4.4 пункта 2.4 о передаче полномочий от 31 декабря 2015 года в отчетах о ходе исполнения полномочий, использовании межбюджетного трансферта и Имущества не представлена информация о расходовании денежных средств на сумму 399 854 руб. 45 коп. перечисленных Администрацией  поселения.</w:t>
            </w:r>
          </w:p>
          <w:p w:rsidR="002C5E8E" w:rsidRDefault="002C5E8E" w:rsidP="002C5E8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64511" w:rsidRPr="005811AE" w:rsidRDefault="00664511" w:rsidP="002C5E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4511" w:rsidRPr="005811AE" w:rsidRDefault="007E5A87" w:rsidP="002B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</w:t>
            </w:r>
            <w:r w:rsidR="002C5E8E">
              <w:rPr>
                <w:sz w:val="24"/>
                <w:szCs w:val="24"/>
              </w:rPr>
              <w:t xml:space="preserve">а комиссия Администрации сельского </w:t>
            </w:r>
            <w:r w:rsidR="00C30E01">
              <w:rPr>
                <w:sz w:val="24"/>
                <w:szCs w:val="24"/>
              </w:rPr>
              <w:t>поселения Анненское по рассмотрению письменных пояснений и замечаний объектов внутреннего муниципального финансового контроля по актам проверок</w:t>
            </w:r>
            <w:r w:rsidR="00664511" w:rsidRPr="005811AE">
              <w:rPr>
                <w:sz w:val="24"/>
                <w:szCs w:val="24"/>
              </w:rPr>
              <w:t>.</w:t>
            </w:r>
          </w:p>
          <w:p w:rsidR="00664511" w:rsidRPr="005811AE" w:rsidRDefault="00664511" w:rsidP="002B60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4511" w:rsidRPr="005811AE" w:rsidRDefault="00664511" w:rsidP="00C30E01">
            <w:pPr>
              <w:jc w:val="both"/>
              <w:rPr>
                <w:sz w:val="24"/>
                <w:szCs w:val="24"/>
              </w:rPr>
            </w:pPr>
            <w:r w:rsidRPr="00C30E01">
              <w:rPr>
                <w:sz w:val="24"/>
                <w:szCs w:val="24"/>
              </w:rPr>
              <w:t xml:space="preserve">Информация об устранении выявленных нарушений представлена </w:t>
            </w:r>
            <w:r w:rsidR="00C30E01" w:rsidRPr="00C30E01">
              <w:rPr>
                <w:sz w:val="24"/>
                <w:szCs w:val="24"/>
              </w:rPr>
              <w:t>09.10.2017</w:t>
            </w:r>
          </w:p>
        </w:tc>
      </w:tr>
      <w:tr w:rsidR="002D560A" w:rsidRPr="005811AE" w:rsidTr="002B600F">
        <w:trPr>
          <w:trHeight w:val="840"/>
        </w:trPr>
        <w:tc>
          <w:tcPr>
            <w:tcW w:w="513" w:type="dxa"/>
          </w:tcPr>
          <w:p w:rsidR="002D560A" w:rsidRPr="00CF4E73" w:rsidRDefault="002D560A" w:rsidP="00BC7E74">
            <w:pPr>
              <w:jc w:val="center"/>
              <w:rPr>
                <w:sz w:val="24"/>
                <w:szCs w:val="24"/>
              </w:rPr>
            </w:pPr>
            <w:r w:rsidRPr="00CF4E73">
              <w:rPr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D560A" w:rsidRPr="00CF4E73" w:rsidRDefault="00C30E01" w:rsidP="00BC7E74">
            <w:pPr>
              <w:jc w:val="center"/>
              <w:rPr>
                <w:sz w:val="24"/>
                <w:szCs w:val="24"/>
              </w:rPr>
            </w:pPr>
            <w:r w:rsidRPr="00CF4E73">
              <w:rPr>
                <w:sz w:val="24"/>
                <w:szCs w:val="24"/>
              </w:rPr>
              <w:t>Администрация Вытегорского муниципального района</w:t>
            </w:r>
          </w:p>
        </w:tc>
        <w:tc>
          <w:tcPr>
            <w:tcW w:w="1701" w:type="dxa"/>
          </w:tcPr>
          <w:p w:rsidR="002D560A" w:rsidRPr="00C30E01" w:rsidRDefault="00C30E01" w:rsidP="00BC7E74">
            <w:pPr>
              <w:jc w:val="center"/>
              <w:rPr>
                <w:sz w:val="24"/>
                <w:szCs w:val="24"/>
                <w:highlight w:val="yellow"/>
              </w:rPr>
            </w:pPr>
            <w:r w:rsidRPr="00C30E01">
              <w:rPr>
                <w:sz w:val="24"/>
                <w:szCs w:val="24"/>
              </w:rPr>
              <w:t>20.09.2017- 03.10</w:t>
            </w:r>
            <w:r w:rsidR="002D560A" w:rsidRPr="00C30E01">
              <w:rPr>
                <w:sz w:val="24"/>
                <w:szCs w:val="24"/>
              </w:rPr>
              <w:t>.2017</w:t>
            </w:r>
          </w:p>
        </w:tc>
        <w:tc>
          <w:tcPr>
            <w:tcW w:w="7088" w:type="dxa"/>
          </w:tcPr>
          <w:p w:rsidR="00C30E01" w:rsidRPr="00C30E01" w:rsidRDefault="00A10391" w:rsidP="00C30E01">
            <w:pPr>
              <w:pStyle w:val="ConsPlusNonformat"/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73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контрольного мероприятия </w:t>
            </w:r>
            <w:r w:rsidR="00C30E01" w:rsidRPr="00CF4E73">
              <w:rPr>
                <w:rFonts w:ascii="Times New Roman" w:hAnsi="Times New Roman" w:cs="Times New Roman"/>
                <w:sz w:val="24"/>
                <w:szCs w:val="24"/>
              </w:rPr>
              <w:t>по вопросу целевого</w:t>
            </w:r>
            <w:r w:rsidR="00C30E01" w:rsidRPr="00C30E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финансовых средств (межбюджетных трансфертов),</w:t>
            </w:r>
            <w:r w:rsidR="00C30E01" w:rsidRPr="00C30E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0E01" w:rsidRPr="00C30E0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из бюджета Администрации сельского поселения Кемское для осуществления отдельных полномочий по решению вопросов местного значения по обеспечению условий для развития на территории поселения </w:t>
            </w:r>
            <w:r w:rsidR="00C30E01" w:rsidRPr="00C30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 и массового спорта, организации проведения официальных физкультурно-оздоровительных и спортивных мероприятий поселения проверено расходование средств в сумме 46 120 руб. 32 коп. </w:t>
            </w:r>
          </w:p>
          <w:p w:rsidR="00C30E01" w:rsidRPr="00C30E01" w:rsidRDefault="00C30E01" w:rsidP="00C30E01">
            <w:pPr>
              <w:pStyle w:val="ConsPlusNonformat"/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01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контрольного мероприятия нарушений не установлено.</w:t>
            </w:r>
          </w:p>
          <w:p w:rsidR="00C30E01" w:rsidRDefault="00C30E01" w:rsidP="00C30E01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C30E01" w:rsidRDefault="00C30E01" w:rsidP="00A10391">
            <w:pPr>
              <w:pStyle w:val="a7"/>
              <w:tabs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2D560A" w:rsidRPr="00C30E01" w:rsidRDefault="002D560A" w:rsidP="00C30E01">
            <w:pPr>
              <w:pStyle w:val="a7"/>
              <w:tabs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2D560A" w:rsidRPr="005811AE" w:rsidRDefault="00A10391" w:rsidP="00664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2D560A" w:rsidRPr="005811AE" w:rsidRDefault="00A10391" w:rsidP="00AB5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511" w:rsidRPr="005811AE" w:rsidTr="002B600F">
        <w:trPr>
          <w:trHeight w:val="840"/>
        </w:trPr>
        <w:tc>
          <w:tcPr>
            <w:tcW w:w="513" w:type="dxa"/>
          </w:tcPr>
          <w:p w:rsidR="00664511" w:rsidRPr="005811AE" w:rsidRDefault="00A10391" w:rsidP="00BC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64511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664511" w:rsidRPr="005811AE" w:rsidRDefault="00664511" w:rsidP="00BC7E74">
            <w:pPr>
              <w:jc w:val="center"/>
              <w:rPr>
                <w:sz w:val="24"/>
                <w:szCs w:val="24"/>
              </w:rPr>
            </w:pPr>
            <w:r w:rsidRPr="005811AE">
              <w:rPr>
                <w:sz w:val="24"/>
                <w:szCs w:val="24"/>
              </w:rPr>
              <w:t>Администрация Вытегорского муниципального района</w:t>
            </w:r>
          </w:p>
        </w:tc>
        <w:tc>
          <w:tcPr>
            <w:tcW w:w="1701" w:type="dxa"/>
          </w:tcPr>
          <w:p w:rsidR="00664511" w:rsidRDefault="00CF4E73" w:rsidP="00BC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31.10.2017-03.11</w:t>
            </w:r>
            <w:r w:rsidR="00664511">
              <w:rPr>
                <w:sz w:val="24"/>
                <w:szCs w:val="24"/>
              </w:rPr>
              <w:t>.2017</w:t>
            </w:r>
          </w:p>
        </w:tc>
        <w:tc>
          <w:tcPr>
            <w:tcW w:w="7088" w:type="dxa"/>
          </w:tcPr>
          <w:p w:rsidR="00664511" w:rsidRPr="00CF4E73" w:rsidRDefault="00664511" w:rsidP="00CF4E73">
            <w:pPr>
              <w:jc w:val="both"/>
              <w:rPr>
                <w:sz w:val="24"/>
                <w:szCs w:val="24"/>
              </w:rPr>
            </w:pPr>
            <w:r w:rsidRPr="00CF4E73">
              <w:rPr>
                <w:sz w:val="24"/>
                <w:szCs w:val="24"/>
              </w:rPr>
              <w:t xml:space="preserve">По результатам контрольного мероприятия по вопросу </w:t>
            </w:r>
            <w:r w:rsidR="00CF4E73" w:rsidRPr="00CF4E73">
              <w:rPr>
                <w:sz w:val="24"/>
                <w:szCs w:val="24"/>
              </w:rPr>
              <w:t>целевого использования финансовых средств (межбюджетных трансфертов), предоставляемых из бюджета Администрации сельского поселения Алмозерское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  <w:r w:rsidRPr="00CF4E73">
              <w:rPr>
                <w:sz w:val="24"/>
                <w:szCs w:val="24"/>
              </w:rPr>
              <w:t xml:space="preserve"> выявлено </w:t>
            </w:r>
            <w:r w:rsidR="00CF4E73" w:rsidRPr="00CF4E73">
              <w:rPr>
                <w:sz w:val="24"/>
                <w:szCs w:val="24"/>
              </w:rPr>
              <w:t>:</w:t>
            </w:r>
          </w:p>
          <w:p w:rsidR="00CF4E73" w:rsidRPr="00C97161" w:rsidRDefault="00CF4E73" w:rsidP="00CF4E73">
            <w:pPr>
              <w:jc w:val="both"/>
              <w:rPr>
                <w:sz w:val="28"/>
                <w:szCs w:val="28"/>
              </w:rPr>
            </w:pPr>
            <w:r w:rsidRPr="00CF4E73">
              <w:rPr>
                <w:sz w:val="24"/>
                <w:szCs w:val="24"/>
              </w:rPr>
              <w:t>В нарушение подпункта 2.4.4. пункта 2.4. Соглашения о передаче полномочий от 30 декабря  2013 года в отчетах о ходе исполнения полномочий за 1 – 4 квартал 2016 года отсутствует информация о расходовании   финансовых средств на администрирование в сфере культуры в сумме 66 700 руб. 00 коп.</w:t>
            </w:r>
          </w:p>
          <w:p w:rsidR="00CF4E73" w:rsidRDefault="00CF4E73" w:rsidP="00CF4E73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664511" w:rsidRPr="00690C71" w:rsidRDefault="00664511" w:rsidP="00664511">
            <w:pPr>
              <w:pStyle w:val="ConsPlusNonformat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6275" w:rsidRPr="005811AE" w:rsidRDefault="007E5A87" w:rsidP="0079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</w:t>
            </w:r>
            <w:r w:rsidR="00796275">
              <w:rPr>
                <w:sz w:val="24"/>
                <w:szCs w:val="24"/>
              </w:rPr>
              <w:t>комиссия по рассмотрению письменных пояснений и замечаний объектов внутреннего муниципального финансового контроля по актам проверок</w:t>
            </w:r>
            <w:r w:rsidR="00796275" w:rsidRPr="005811AE">
              <w:rPr>
                <w:sz w:val="24"/>
                <w:szCs w:val="24"/>
              </w:rPr>
              <w:t>.</w:t>
            </w:r>
          </w:p>
          <w:p w:rsidR="00796275" w:rsidRPr="00CF4E73" w:rsidRDefault="00796275" w:rsidP="00796275">
            <w:pPr>
              <w:jc w:val="both"/>
              <w:rPr>
                <w:sz w:val="24"/>
                <w:szCs w:val="24"/>
              </w:rPr>
            </w:pPr>
          </w:p>
          <w:p w:rsidR="00664511" w:rsidRPr="00CF4E73" w:rsidRDefault="00664511" w:rsidP="0066451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664511" w:rsidRPr="00CF4E73" w:rsidRDefault="00664511" w:rsidP="00AB5F8B">
            <w:pPr>
              <w:jc w:val="both"/>
              <w:rPr>
                <w:sz w:val="24"/>
                <w:szCs w:val="24"/>
                <w:highlight w:val="yellow"/>
              </w:rPr>
            </w:pPr>
            <w:r w:rsidRPr="00796275">
              <w:rPr>
                <w:sz w:val="24"/>
                <w:szCs w:val="24"/>
              </w:rPr>
              <w:t>Информация об устранении выявленных нарушений представлена</w:t>
            </w:r>
            <w:r w:rsidR="00796275" w:rsidRPr="00796275">
              <w:rPr>
                <w:sz w:val="24"/>
                <w:szCs w:val="24"/>
              </w:rPr>
              <w:t xml:space="preserve"> 16.11</w:t>
            </w:r>
            <w:r w:rsidRPr="00796275">
              <w:rPr>
                <w:sz w:val="24"/>
                <w:szCs w:val="24"/>
              </w:rPr>
              <w:t>.2017.</w:t>
            </w:r>
          </w:p>
        </w:tc>
      </w:tr>
      <w:tr w:rsidR="00664511" w:rsidRPr="005811AE" w:rsidTr="002B600F">
        <w:trPr>
          <w:trHeight w:val="840"/>
        </w:trPr>
        <w:tc>
          <w:tcPr>
            <w:tcW w:w="513" w:type="dxa"/>
          </w:tcPr>
          <w:p w:rsidR="00664511" w:rsidRPr="005811AE" w:rsidRDefault="00A10391" w:rsidP="000E2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64511" w:rsidRPr="005811AE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664511" w:rsidRPr="005811AE" w:rsidRDefault="00CF4E73" w:rsidP="00BC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Казенное учреждение культуры сельского поселения Андомское «Онего» </w:t>
            </w:r>
          </w:p>
        </w:tc>
        <w:tc>
          <w:tcPr>
            <w:tcW w:w="1701" w:type="dxa"/>
          </w:tcPr>
          <w:p w:rsidR="00664511" w:rsidRPr="005811AE" w:rsidRDefault="00D0688D" w:rsidP="00BC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64511" w:rsidRPr="005811A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664511" w:rsidRPr="005811AE">
              <w:rPr>
                <w:sz w:val="24"/>
                <w:szCs w:val="24"/>
              </w:rPr>
              <w:t>.201</w:t>
            </w:r>
            <w:r w:rsidR="00664511">
              <w:rPr>
                <w:sz w:val="24"/>
                <w:szCs w:val="24"/>
              </w:rPr>
              <w:t>7</w:t>
            </w:r>
            <w:r w:rsidR="00664511" w:rsidRPr="005811A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17</w:t>
            </w:r>
            <w:r w:rsidR="00664511" w:rsidRPr="005811A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664511" w:rsidRPr="005811AE">
              <w:rPr>
                <w:sz w:val="24"/>
                <w:szCs w:val="24"/>
              </w:rPr>
              <w:t>.201</w:t>
            </w:r>
            <w:r w:rsidR="00664511">
              <w:rPr>
                <w:sz w:val="24"/>
                <w:szCs w:val="24"/>
              </w:rPr>
              <w:t>7</w:t>
            </w:r>
          </w:p>
          <w:p w:rsidR="00664511" w:rsidRPr="005811AE" w:rsidRDefault="00664511" w:rsidP="00BC7E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D0688D" w:rsidRPr="001427B5" w:rsidRDefault="00D0688D" w:rsidP="001427B5">
            <w:pPr>
              <w:ind w:firstLine="709"/>
              <w:jc w:val="both"/>
              <w:rPr>
                <w:sz w:val="24"/>
                <w:szCs w:val="24"/>
              </w:rPr>
            </w:pPr>
            <w:r w:rsidRPr="001427B5">
              <w:rPr>
                <w:sz w:val="24"/>
                <w:szCs w:val="24"/>
              </w:rPr>
              <w:t>По результатам контрольного мероприятия по вопросу</w:t>
            </w:r>
            <w:r w:rsidR="001427B5" w:rsidRPr="001427B5">
              <w:rPr>
                <w:sz w:val="24"/>
                <w:szCs w:val="24"/>
              </w:rPr>
              <w:t xml:space="preserve"> соблюдения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1427B5">
              <w:rPr>
                <w:sz w:val="24"/>
                <w:szCs w:val="24"/>
              </w:rPr>
              <w:t>выявлено:</w:t>
            </w:r>
          </w:p>
          <w:p w:rsidR="001427B5" w:rsidRPr="001427B5" w:rsidRDefault="001427B5" w:rsidP="001427B5">
            <w:pPr>
              <w:rPr>
                <w:sz w:val="24"/>
                <w:szCs w:val="24"/>
              </w:rPr>
            </w:pPr>
            <w:r w:rsidRPr="001427B5">
              <w:rPr>
                <w:sz w:val="24"/>
                <w:szCs w:val="24"/>
              </w:rPr>
              <w:t>В нарушение подпункта 2 пункта 5 совместного приказа Министерства экономического развития и Федерального казначейства от 31 марта 2015 года № 182/7н в столбце 9 не указан размер выплат в текущем году (совокупный годовой объем закупок).</w:t>
            </w:r>
          </w:p>
          <w:p w:rsidR="001427B5" w:rsidRDefault="001427B5" w:rsidP="001427B5">
            <w:pPr>
              <w:jc w:val="both"/>
              <w:rPr>
                <w:sz w:val="24"/>
                <w:szCs w:val="24"/>
              </w:rPr>
            </w:pPr>
            <w:r w:rsidRPr="001427B5">
              <w:rPr>
                <w:sz w:val="24"/>
                <w:szCs w:val="24"/>
              </w:rPr>
              <w:t>В нарушение части 2 статьи 72 Бюджетного кодекса РФ без опубликования в плане-графике  заключено 5 контрактов.</w:t>
            </w:r>
          </w:p>
          <w:p w:rsidR="001427B5" w:rsidRPr="001427B5" w:rsidRDefault="001427B5" w:rsidP="001427B5">
            <w:pPr>
              <w:jc w:val="both"/>
              <w:rPr>
                <w:sz w:val="24"/>
                <w:szCs w:val="24"/>
              </w:rPr>
            </w:pPr>
            <w:r w:rsidRPr="001427B5">
              <w:rPr>
                <w:sz w:val="24"/>
                <w:szCs w:val="24"/>
              </w:rPr>
              <w:t xml:space="preserve">В нарушение части 2 статьи 72 Бюджетного кодекса РФ сумма </w:t>
            </w:r>
            <w:r w:rsidRPr="001427B5">
              <w:rPr>
                <w:sz w:val="24"/>
                <w:szCs w:val="24"/>
              </w:rPr>
              <w:lastRenderedPageBreak/>
              <w:t>контрактов, заключенных Учреждением в 2016 году, превышает лимиты бюджетных обязательств.</w:t>
            </w:r>
          </w:p>
          <w:p w:rsidR="001427B5" w:rsidRDefault="001427B5" w:rsidP="001427B5">
            <w:pPr>
              <w:jc w:val="both"/>
              <w:rPr>
                <w:sz w:val="24"/>
                <w:szCs w:val="24"/>
                <w:lang w:eastAsia="en-US"/>
              </w:rPr>
            </w:pPr>
            <w:r w:rsidRPr="001427B5">
              <w:rPr>
                <w:sz w:val="24"/>
                <w:szCs w:val="24"/>
              </w:rPr>
              <w:t>В нарушение пункта 2 статьи 34 Федерального закона от 5 апреля 2013 года № 44-ФЗ при заключении договоров</w:t>
            </w:r>
            <w:r w:rsidRPr="001427B5">
              <w:rPr>
                <w:sz w:val="24"/>
                <w:szCs w:val="24"/>
                <w:lang w:eastAsia="en-US"/>
              </w:rPr>
              <w:t xml:space="preserve"> </w:t>
            </w:r>
            <w:r w:rsidRPr="001427B5">
              <w:rPr>
                <w:sz w:val="24"/>
                <w:szCs w:val="24"/>
              </w:rPr>
              <w:t xml:space="preserve">в соответствии с частью 1 статьи 93 Федерального закона от 5 апреля 2013 года № 44-ФЗ </w:t>
            </w:r>
            <w:r w:rsidRPr="001427B5">
              <w:rPr>
                <w:sz w:val="24"/>
                <w:szCs w:val="24"/>
                <w:lang w:eastAsia="en-US"/>
              </w:rPr>
              <w:t>не предусмотрено условие о том,</w:t>
            </w:r>
            <w:r w:rsidRPr="001427B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427B5">
              <w:rPr>
                <w:sz w:val="24"/>
                <w:szCs w:val="24"/>
                <w:lang w:eastAsia="en-US"/>
              </w:rPr>
              <w:t>что цена договора является твердой и определяется на весь срок исполнения договора.</w:t>
            </w:r>
          </w:p>
          <w:p w:rsidR="001427B5" w:rsidRPr="001427B5" w:rsidRDefault="001427B5" w:rsidP="001427B5">
            <w:pPr>
              <w:jc w:val="both"/>
              <w:rPr>
                <w:sz w:val="24"/>
                <w:szCs w:val="24"/>
                <w:lang w:eastAsia="en-US"/>
              </w:rPr>
            </w:pPr>
            <w:r w:rsidRPr="001427B5">
              <w:rPr>
                <w:sz w:val="24"/>
                <w:szCs w:val="24"/>
                <w:lang w:eastAsia="en-US"/>
              </w:rPr>
              <w:t xml:space="preserve"> В нарушение </w:t>
            </w:r>
            <w:r w:rsidRPr="001427B5">
              <w:rPr>
                <w:sz w:val="24"/>
                <w:szCs w:val="24"/>
                <w:shd w:val="clear" w:color="auto" w:fill="FFFFFF"/>
              </w:rPr>
              <w:t xml:space="preserve">пункта 3 статьи 103 </w:t>
            </w:r>
            <w:r w:rsidRPr="001427B5">
              <w:rPr>
                <w:sz w:val="24"/>
                <w:szCs w:val="24"/>
              </w:rPr>
              <w:t>Федерального закона от 5 апреля 2013 года № 44-ФЗ</w:t>
            </w:r>
            <w:r w:rsidRPr="001427B5">
              <w:rPr>
                <w:sz w:val="24"/>
                <w:szCs w:val="24"/>
                <w:shd w:val="clear" w:color="auto" w:fill="FFFFFF"/>
              </w:rPr>
              <w:t xml:space="preserve"> информация о контракте б/н от 10.02.2016 размещена Учреждением с нарушение установленного срока на один день.</w:t>
            </w:r>
            <w:r w:rsidRPr="001427B5">
              <w:rPr>
                <w:sz w:val="24"/>
                <w:szCs w:val="24"/>
              </w:rPr>
              <w:t xml:space="preserve"> </w:t>
            </w:r>
          </w:p>
          <w:p w:rsidR="001427B5" w:rsidRPr="001427B5" w:rsidRDefault="001427B5" w:rsidP="001427B5">
            <w:pPr>
              <w:widowControl w:val="0"/>
              <w:jc w:val="both"/>
              <w:rPr>
                <w:sz w:val="24"/>
                <w:szCs w:val="24"/>
              </w:rPr>
            </w:pPr>
            <w:r w:rsidRPr="001427B5">
              <w:rPr>
                <w:sz w:val="24"/>
                <w:szCs w:val="24"/>
                <w:shd w:val="clear" w:color="auto" w:fill="FFFFFF"/>
              </w:rPr>
              <w:t xml:space="preserve"> В</w:t>
            </w:r>
            <w:r w:rsidRPr="001427B5">
              <w:rPr>
                <w:sz w:val="24"/>
                <w:szCs w:val="24"/>
              </w:rPr>
              <w:t xml:space="preserve"> нарушение пункта 9 статьи 94 Федерального закона от 5 апреля 2013 года № 44-ФЗ, пункта 3 Положения, сведения об исполнении контрактов заключенных Учреждением в 2016 году не размещены в единой информационной системе.</w:t>
            </w:r>
          </w:p>
          <w:p w:rsidR="001427B5" w:rsidRDefault="001427B5" w:rsidP="001427B5">
            <w:pPr>
              <w:tabs>
                <w:tab w:val="left" w:pos="0"/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1427B5">
              <w:rPr>
                <w:sz w:val="24"/>
                <w:szCs w:val="24"/>
              </w:rPr>
              <w:t xml:space="preserve"> В нарушение части 4 статьи 30 Федерального закона от 5 апреля 2013 года  № 44-ФЗ отчет об объеме закупок у субъектов малого предпринимательства, социально ориентированных некоммерческих организаций за 2016 год в единой информационной системе  не размещен.</w:t>
            </w:r>
            <w:r>
              <w:rPr>
                <w:sz w:val="28"/>
                <w:szCs w:val="28"/>
              </w:rPr>
              <w:t xml:space="preserve"> </w:t>
            </w:r>
          </w:p>
          <w:p w:rsidR="00664511" w:rsidRPr="005811AE" w:rsidRDefault="00664511" w:rsidP="00AB5F8B">
            <w:pPr>
              <w:pStyle w:val="ConsPlusNonformat"/>
              <w:tabs>
                <w:tab w:val="num" w:pos="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4511" w:rsidRDefault="00796275" w:rsidP="00796275">
            <w:pPr>
              <w:rPr>
                <w:sz w:val="24"/>
                <w:szCs w:val="24"/>
              </w:rPr>
            </w:pPr>
            <w:r w:rsidRPr="00796275">
              <w:rPr>
                <w:sz w:val="24"/>
                <w:szCs w:val="24"/>
              </w:rPr>
              <w:lastRenderedPageBreak/>
              <w:t>Выдано предписание №</w:t>
            </w:r>
            <w:r>
              <w:rPr>
                <w:sz w:val="24"/>
                <w:szCs w:val="24"/>
              </w:rPr>
              <w:t xml:space="preserve"> </w:t>
            </w:r>
            <w:r w:rsidRPr="00796275">
              <w:rPr>
                <w:sz w:val="24"/>
                <w:szCs w:val="24"/>
              </w:rPr>
              <w:t xml:space="preserve">4 </w:t>
            </w:r>
            <w:r w:rsidR="00664511" w:rsidRPr="00796275">
              <w:rPr>
                <w:sz w:val="24"/>
                <w:szCs w:val="24"/>
              </w:rPr>
              <w:t xml:space="preserve"> от </w:t>
            </w:r>
            <w:r w:rsidR="00B2763F" w:rsidRPr="00796275">
              <w:rPr>
                <w:sz w:val="24"/>
                <w:szCs w:val="24"/>
              </w:rPr>
              <w:t>2</w:t>
            </w:r>
            <w:r w:rsidRPr="00796275">
              <w:rPr>
                <w:sz w:val="24"/>
                <w:szCs w:val="24"/>
              </w:rPr>
              <w:t>5</w:t>
            </w:r>
            <w:r w:rsidR="00664511" w:rsidRPr="00796275">
              <w:rPr>
                <w:sz w:val="24"/>
                <w:szCs w:val="24"/>
              </w:rPr>
              <w:t>.</w:t>
            </w:r>
            <w:r w:rsidRPr="00796275">
              <w:rPr>
                <w:sz w:val="24"/>
                <w:szCs w:val="24"/>
              </w:rPr>
              <w:t>12</w:t>
            </w:r>
            <w:r w:rsidR="00664511" w:rsidRPr="00796275">
              <w:rPr>
                <w:sz w:val="24"/>
                <w:szCs w:val="24"/>
              </w:rPr>
              <w:t>.2017.</w:t>
            </w:r>
          </w:p>
          <w:p w:rsidR="00796275" w:rsidRPr="00796275" w:rsidRDefault="00796275" w:rsidP="00796275">
            <w:pPr>
              <w:rPr>
                <w:sz w:val="24"/>
                <w:szCs w:val="24"/>
              </w:rPr>
            </w:pPr>
            <w:r w:rsidRPr="00796275">
              <w:rPr>
                <w:sz w:val="24"/>
                <w:szCs w:val="24"/>
              </w:rPr>
              <w:t>Направлено письмо с рекомендациями по устранению выявленных недостатков и нарушений с отражением сроков и ответственных лиц</w:t>
            </w:r>
            <w:r>
              <w:rPr>
                <w:sz w:val="24"/>
                <w:szCs w:val="24"/>
              </w:rPr>
              <w:t>.</w:t>
            </w:r>
          </w:p>
          <w:p w:rsidR="00664511" w:rsidRPr="001427B5" w:rsidRDefault="00664511" w:rsidP="00BC7E7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664511" w:rsidRPr="001427B5" w:rsidRDefault="00796275" w:rsidP="00796275">
            <w:pPr>
              <w:jc w:val="center"/>
              <w:rPr>
                <w:sz w:val="24"/>
                <w:szCs w:val="24"/>
                <w:highlight w:val="yellow"/>
              </w:rPr>
            </w:pPr>
            <w:r w:rsidRPr="00796275">
              <w:rPr>
                <w:sz w:val="24"/>
                <w:szCs w:val="24"/>
              </w:rPr>
              <w:t>-</w:t>
            </w:r>
          </w:p>
        </w:tc>
      </w:tr>
      <w:tr w:rsidR="00664511" w:rsidRPr="005811AE" w:rsidTr="002B600F">
        <w:trPr>
          <w:trHeight w:val="840"/>
        </w:trPr>
        <w:tc>
          <w:tcPr>
            <w:tcW w:w="513" w:type="dxa"/>
          </w:tcPr>
          <w:p w:rsidR="00664511" w:rsidRPr="005811AE" w:rsidRDefault="00A10391" w:rsidP="000E2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64511" w:rsidRPr="005811AE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664511" w:rsidRPr="005811AE" w:rsidRDefault="00D0688D" w:rsidP="00CA391D">
            <w:pPr>
              <w:jc w:val="center"/>
              <w:rPr>
                <w:sz w:val="24"/>
                <w:szCs w:val="24"/>
              </w:rPr>
            </w:pPr>
            <w:r w:rsidRPr="005811AE">
              <w:rPr>
                <w:sz w:val="24"/>
                <w:szCs w:val="24"/>
              </w:rPr>
              <w:t>Администрация Вытегорского муниципального района</w:t>
            </w:r>
          </w:p>
        </w:tc>
        <w:tc>
          <w:tcPr>
            <w:tcW w:w="1701" w:type="dxa"/>
          </w:tcPr>
          <w:p w:rsidR="00664511" w:rsidRPr="005811AE" w:rsidRDefault="001427B5" w:rsidP="00CA3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="00664511" w:rsidRPr="005811AE">
              <w:rPr>
                <w:sz w:val="24"/>
                <w:szCs w:val="24"/>
              </w:rPr>
              <w:t>.201</w:t>
            </w:r>
            <w:r w:rsidR="00664511">
              <w:rPr>
                <w:sz w:val="24"/>
                <w:szCs w:val="24"/>
              </w:rPr>
              <w:t>7</w:t>
            </w:r>
            <w:r w:rsidR="00664511" w:rsidRPr="005811A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17.10</w:t>
            </w:r>
            <w:r w:rsidR="00664511" w:rsidRPr="005811AE">
              <w:rPr>
                <w:sz w:val="24"/>
                <w:szCs w:val="24"/>
              </w:rPr>
              <w:t>.201</w:t>
            </w:r>
            <w:r w:rsidR="00664511">
              <w:rPr>
                <w:sz w:val="24"/>
                <w:szCs w:val="24"/>
              </w:rPr>
              <w:t>7</w:t>
            </w:r>
          </w:p>
          <w:p w:rsidR="00664511" w:rsidRPr="005811AE" w:rsidRDefault="00664511" w:rsidP="00CA39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427B5" w:rsidRPr="001427B5" w:rsidRDefault="00D0688D" w:rsidP="001427B5">
            <w:pPr>
              <w:pStyle w:val="ConsPlusNonformat"/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B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контрольного мероприятия по вопросу </w:t>
            </w:r>
            <w:r w:rsidR="001427B5" w:rsidRPr="001427B5">
              <w:rPr>
                <w:rFonts w:ascii="Times New Roman" w:hAnsi="Times New Roman" w:cs="Times New Roman"/>
                <w:sz w:val="24"/>
                <w:szCs w:val="24"/>
              </w:rPr>
              <w:t>целевого использования финансовых средств (межбюджетных трансфертов),</w:t>
            </w:r>
            <w:r w:rsidR="001427B5" w:rsidRPr="001427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427B5" w:rsidRPr="001427B5">
              <w:rPr>
                <w:rFonts w:ascii="Times New Roman" w:hAnsi="Times New Roman" w:cs="Times New Roman"/>
                <w:sz w:val="24"/>
                <w:szCs w:val="24"/>
              </w:rPr>
              <w:t>предоставляемых из бюджета Администрации сельского поселения Кемское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за период с 1 января 2015 года по 31 декабря 2016 года выявлено, что сумма ежегодного объема финансовых средств (межбюджетных трансфертов),</w:t>
            </w:r>
            <w:r w:rsidR="00D8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7B5" w:rsidRPr="001427B5">
              <w:rPr>
                <w:rFonts w:ascii="Times New Roman" w:hAnsi="Times New Roman" w:cs="Times New Roman"/>
                <w:sz w:val="24"/>
                <w:szCs w:val="24"/>
              </w:rPr>
              <w:t xml:space="preserve">указанная в дополнительном соглашении №1 от 11 января 2016 года, предоставляемых из бюджета Администрация сельского поселения Кемское указанная прописью не соответствует сумме указанной цифрами. </w:t>
            </w:r>
          </w:p>
          <w:p w:rsidR="00D0688D" w:rsidRPr="00B66499" w:rsidRDefault="00D0688D" w:rsidP="00364F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4511" w:rsidRPr="001427B5" w:rsidRDefault="00D847B0" w:rsidP="00BC7E74">
            <w:pPr>
              <w:jc w:val="both"/>
              <w:rPr>
                <w:sz w:val="24"/>
                <w:szCs w:val="24"/>
                <w:highlight w:val="yellow"/>
              </w:rPr>
            </w:pPr>
            <w:r w:rsidRPr="00D847B0">
              <w:rPr>
                <w:sz w:val="24"/>
                <w:szCs w:val="24"/>
              </w:rPr>
              <w:t>Составлена справка по проведенной проверке.</w:t>
            </w:r>
          </w:p>
        </w:tc>
        <w:tc>
          <w:tcPr>
            <w:tcW w:w="1843" w:type="dxa"/>
          </w:tcPr>
          <w:p w:rsidR="00664511" w:rsidRPr="001427B5" w:rsidRDefault="00664511" w:rsidP="00D847B0">
            <w:pPr>
              <w:jc w:val="both"/>
              <w:rPr>
                <w:sz w:val="24"/>
                <w:szCs w:val="24"/>
                <w:highlight w:val="yellow"/>
              </w:rPr>
            </w:pPr>
            <w:r w:rsidRPr="00D847B0">
              <w:rPr>
                <w:sz w:val="24"/>
                <w:szCs w:val="24"/>
              </w:rPr>
              <w:t xml:space="preserve">Информация об устранении выявленных нарушений представлена </w:t>
            </w:r>
            <w:r w:rsidR="00E135A5" w:rsidRPr="00D847B0">
              <w:rPr>
                <w:sz w:val="24"/>
                <w:szCs w:val="24"/>
              </w:rPr>
              <w:t>2</w:t>
            </w:r>
            <w:r w:rsidR="00D847B0" w:rsidRPr="00D847B0">
              <w:rPr>
                <w:sz w:val="24"/>
                <w:szCs w:val="24"/>
              </w:rPr>
              <w:t>6.10</w:t>
            </w:r>
            <w:r w:rsidRPr="00D847B0">
              <w:rPr>
                <w:sz w:val="24"/>
                <w:szCs w:val="24"/>
              </w:rPr>
              <w:t>.2017.</w:t>
            </w:r>
          </w:p>
        </w:tc>
      </w:tr>
      <w:tr w:rsidR="00664511" w:rsidRPr="005811AE" w:rsidTr="002B600F">
        <w:trPr>
          <w:trHeight w:val="840"/>
        </w:trPr>
        <w:tc>
          <w:tcPr>
            <w:tcW w:w="513" w:type="dxa"/>
          </w:tcPr>
          <w:p w:rsidR="00664511" w:rsidRPr="005811AE" w:rsidRDefault="00A10391" w:rsidP="000E2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64511" w:rsidRPr="005811AE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664511" w:rsidRPr="005811AE" w:rsidRDefault="00664511" w:rsidP="00BC7E74">
            <w:pPr>
              <w:jc w:val="center"/>
              <w:rPr>
                <w:color w:val="FF0000"/>
                <w:sz w:val="24"/>
                <w:szCs w:val="24"/>
              </w:rPr>
            </w:pPr>
            <w:r w:rsidRPr="005811AE">
              <w:rPr>
                <w:sz w:val="24"/>
                <w:szCs w:val="24"/>
              </w:rPr>
              <w:t>Администрация Вытегорского муниципального района</w:t>
            </w:r>
          </w:p>
        </w:tc>
        <w:tc>
          <w:tcPr>
            <w:tcW w:w="1701" w:type="dxa"/>
          </w:tcPr>
          <w:p w:rsidR="00664511" w:rsidRPr="005811AE" w:rsidRDefault="001427B5" w:rsidP="0026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  <w:r w:rsidR="00664511">
              <w:rPr>
                <w:sz w:val="24"/>
                <w:szCs w:val="24"/>
              </w:rPr>
              <w:t>.2017</w:t>
            </w:r>
            <w:r w:rsidR="00664511" w:rsidRPr="005811A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16.11</w:t>
            </w:r>
            <w:r w:rsidR="00664511" w:rsidRPr="005811AE">
              <w:rPr>
                <w:sz w:val="24"/>
                <w:szCs w:val="24"/>
              </w:rPr>
              <w:t>.201</w:t>
            </w:r>
            <w:r w:rsidR="00664511">
              <w:rPr>
                <w:sz w:val="24"/>
                <w:szCs w:val="24"/>
              </w:rPr>
              <w:t>7</w:t>
            </w:r>
          </w:p>
          <w:p w:rsidR="00664511" w:rsidRPr="005811AE" w:rsidRDefault="00664511" w:rsidP="002627F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664511" w:rsidRPr="001427B5" w:rsidRDefault="00664511" w:rsidP="001427B5">
            <w:pPr>
              <w:jc w:val="both"/>
              <w:rPr>
                <w:sz w:val="24"/>
                <w:szCs w:val="24"/>
              </w:rPr>
            </w:pPr>
            <w:r w:rsidRPr="001427B5">
              <w:rPr>
                <w:sz w:val="24"/>
                <w:szCs w:val="24"/>
              </w:rPr>
              <w:t>По результатам контрольного мероприятия по вопросу</w:t>
            </w:r>
            <w:r w:rsidR="001427B5" w:rsidRPr="001427B5">
              <w:rPr>
                <w:sz w:val="24"/>
                <w:szCs w:val="24"/>
              </w:rPr>
              <w:t xml:space="preserve"> целевого использования финансовых средств (межбюджетных трансфертов), предоставляемых из бюджета муниципального образования «Город Вытегра» для осуществления части полномочий в сфере градостроительной деятельности выявлены следующие нарушения:</w:t>
            </w:r>
          </w:p>
          <w:p w:rsidR="001427B5" w:rsidRPr="001427B5" w:rsidRDefault="001427B5" w:rsidP="001427B5">
            <w:pPr>
              <w:jc w:val="both"/>
              <w:rPr>
                <w:sz w:val="24"/>
                <w:szCs w:val="24"/>
              </w:rPr>
            </w:pPr>
            <w:r w:rsidRPr="001427B5">
              <w:rPr>
                <w:sz w:val="24"/>
                <w:szCs w:val="24"/>
              </w:rPr>
              <w:t>Отчет об осуществлении переданных полномочий за  4 квартал 2016 года представлен с нарушением установленного срока (02.02.2017).</w:t>
            </w:r>
          </w:p>
          <w:p w:rsidR="001427B5" w:rsidRPr="001427B5" w:rsidRDefault="001427B5" w:rsidP="001427B5">
            <w:pPr>
              <w:jc w:val="both"/>
              <w:rPr>
                <w:sz w:val="24"/>
                <w:szCs w:val="24"/>
              </w:rPr>
            </w:pPr>
            <w:r w:rsidRPr="001427B5">
              <w:rPr>
                <w:sz w:val="24"/>
                <w:szCs w:val="24"/>
              </w:rPr>
              <w:t>Отчет об осуществлении переданных полномочий за  1 квартал 2017 года представлен с нарушением установленного срока (24.04.2017).</w:t>
            </w:r>
          </w:p>
          <w:p w:rsidR="00664511" w:rsidRPr="005811AE" w:rsidRDefault="00664511" w:rsidP="001427B5">
            <w:pPr>
              <w:jc w:val="both"/>
            </w:pPr>
          </w:p>
        </w:tc>
        <w:tc>
          <w:tcPr>
            <w:tcW w:w="2551" w:type="dxa"/>
          </w:tcPr>
          <w:p w:rsidR="00664511" w:rsidRPr="005811AE" w:rsidRDefault="00664511" w:rsidP="00B66499">
            <w:pPr>
              <w:jc w:val="both"/>
              <w:rPr>
                <w:sz w:val="24"/>
                <w:szCs w:val="24"/>
              </w:rPr>
            </w:pPr>
            <w:r w:rsidRPr="005811AE">
              <w:rPr>
                <w:sz w:val="24"/>
                <w:szCs w:val="24"/>
              </w:rPr>
              <w:t>Направлено письмо с рекомендациями по устранению выявленных недостатков и нарушений с отражением сроков и ответственных лиц.</w:t>
            </w:r>
          </w:p>
        </w:tc>
        <w:tc>
          <w:tcPr>
            <w:tcW w:w="1843" w:type="dxa"/>
          </w:tcPr>
          <w:p w:rsidR="00664511" w:rsidRPr="005811AE" w:rsidRDefault="001427B5" w:rsidP="00B66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6EAA" w:rsidRDefault="00116EAA" w:rsidP="00CB00BA">
      <w:pPr>
        <w:jc w:val="both"/>
        <w:rPr>
          <w:sz w:val="24"/>
          <w:szCs w:val="24"/>
        </w:rPr>
      </w:pPr>
    </w:p>
    <w:p w:rsidR="00116EAA" w:rsidRPr="00116EAA" w:rsidRDefault="00116EAA" w:rsidP="00116EAA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116EAA">
        <w:rPr>
          <w:b/>
          <w:sz w:val="28"/>
          <w:szCs w:val="28"/>
        </w:rPr>
        <w:lastRenderedPageBreak/>
        <w:t>Нарушения, выявленные в</w:t>
      </w:r>
      <w:r>
        <w:rPr>
          <w:b/>
          <w:sz w:val="28"/>
          <w:szCs w:val="28"/>
        </w:rPr>
        <w:t xml:space="preserve"> результате проверок соблюдения </w:t>
      </w:r>
      <w:r w:rsidRPr="00116EAA">
        <w:rPr>
          <w:b/>
          <w:sz w:val="28"/>
          <w:szCs w:val="28"/>
        </w:rPr>
        <w:t>законодательства</w:t>
      </w:r>
      <w:r>
        <w:rPr>
          <w:b/>
          <w:sz w:val="28"/>
          <w:szCs w:val="28"/>
        </w:rPr>
        <w:t xml:space="preserve"> </w:t>
      </w:r>
      <w:r w:rsidRPr="00116EAA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иных нормативных правовых актов </w:t>
      </w:r>
      <w:r w:rsidRPr="00116EAA">
        <w:rPr>
          <w:b/>
          <w:sz w:val="28"/>
          <w:szCs w:val="28"/>
        </w:rPr>
        <w:t>Российской Федерации о контрактной системе в сфере закупок, проведенных</w:t>
      </w:r>
    </w:p>
    <w:p w:rsidR="00116EAA" w:rsidRPr="00116EAA" w:rsidRDefault="00116EAA" w:rsidP="00116EAA">
      <w:pPr>
        <w:jc w:val="center"/>
        <w:rPr>
          <w:b/>
          <w:sz w:val="28"/>
          <w:szCs w:val="28"/>
        </w:rPr>
      </w:pPr>
      <w:r w:rsidRPr="00116EAA">
        <w:rPr>
          <w:b/>
          <w:sz w:val="28"/>
          <w:szCs w:val="28"/>
        </w:rPr>
        <w:t>в 4 квартале 2016 года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756"/>
        <w:gridCol w:w="3401"/>
        <w:gridCol w:w="7797"/>
      </w:tblGrid>
      <w:tr w:rsidR="00116EAA" w:rsidRPr="00116EAA" w:rsidTr="00116EAA">
        <w:trPr>
          <w:trHeight w:val="264"/>
        </w:trPr>
        <w:tc>
          <w:tcPr>
            <w:tcW w:w="238" w:type="pct"/>
            <w:vMerge w:val="restart"/>
            <w:shd w:val="clear" w:color="auto" w:fill="auto"/>
            <w:hideMark/>
          </w:tcPr>
          <w:p w:rsidR="00116EAA" w:rsidRPr="00116EAA" w:rsidRDefault="00116EAA" w:rsidP="00116EAA">
            <w:pPr>
              <w:jc w:val="center"/>
              <w:rPr>
                <w:b/>
                <w:bCs/>
              </w:rPr>
            </w:pPr>
            <w:r w:rsidRPr="00116EAA">
              <w:rPr>
                <w:b/>
                <w:bCs/>
              </w:rPr>
              <w:t>№ п/п</w:t>
            </w:r>
          </w:p>
        </w:tc>
        <w:tc>
          <w:tcPr>
            <w:tcW w:w="1196" w:type="pct"/>
            <w:vMerge w:val="restart"/>
            <w:shd w:val="clear" w:color="auto" w:fill="auto"/>
            <w:hideMark/>
          </w:tcPr>
          <w:p w:rsidR="00116EAA" w:rsidRPr="00116EAA" w:rsidRDefault="00116EAA" w:rsidP="00116EAA">
            <w:pPr>
              <w:jc w:val="center"/>
              <w:rPr>
                <w:b/>
                <w:bCs/>
              </w:rPr>
            </w:pPr>
            <w:r w:rsidRPr="00116EAA">
              <w:rPr>
                <w:b/>
                <w:bCs/>
              </w:rPr>
              <w:t>Наименование органа местного самоуправления, учреждения</w:t>
            </w:r>
          </w:p>
        </w:tc>
        <w:tc>
          <w:tcPr>
            <w:tcW w:w="3566" w:type="pct"/>
            <w:gridSpan w:val="2"/>
            <w:shd w:val="clear" w:color="auto" w:fill="auto"/>
            <w:hideMark/>
          </w:tcPr>
          <w:p w:rsidR="00116EAA" w:rsidRPr="00116EAA" w:rsidRDefault="00116EAA" w:rsidP="00116EAA">
            <w:pPr>
              <w:jc w:val="center"/>
              <w:rPr>
                <w:b/>
                <w:bCs/>
              </w:rPr>
            </w:pPr>
            <w:r w:rsidRPr="00116EAA">
              <w:rPr>
                <w:b/>
                <w:bCs/>
              </w:rPr>
              <w:t>Нарушения, выявленные в ходе проверки</w:t>
            </w:r>
          </w:p>
        </w:tc>
      </w:tr>
      <w:tr w:rsidR="00116EAA" w:rsidRPr="00116EAA" w:rsidTr="00116EAA">
        <w:trPr>
          <w:trHeight w:val="612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b/>
                <w:bCs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b/>
                <w:bCs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116EAA" w:rsidRPr="00116EAA" w:rsidRDefault="00116EAA" w:rsidP="00116EAA">
            <w:pPr>
              <w:jc w:val="center"/>
              <w:rPr>
                <w:b/>
                <w:bCs/>
              </w:rPr>
            </w:pPr>
            <w:r w:rsidRPr="00116EAA">
              <w:rPr>
                <w:b/>
                <w:bCs/>
              </w:rPr>
              <w:t xml:space="preserve">Нарушенный пункт закона </w:t>
            </w:r>
          </w:p>
        </w:tc>
        <w:tc>
          <w:tcPr>
            <w:tcW w:w="2483" w:type="pct"/>
            <w:shd w:val="clear" w:color="auto" w:fill="auto"/>
            <w:hideMark/>
          </w:tcPr>
          <w:p w:rsidR="00116EAA" w:rsidRPr="00116EAA" w:rsidRDefault="00116EAA" w:rsidP="00116EAA">
            <w:pPr>
              <w:jc w:val="center"/>
              <w:rPr>
                <w:b/>
                <w:bCs/>
              </w:rPr>
            </w:pPr>
            <w:r w:rsidRPr="00116EAA">
              <w:rPr>
                <w:b/>
                <w:bCs/>
              </w:rPr>
              <w:t>Содержание нарушения</w:t>
            </w:r>
          </w:p>
        </w:tc>
      </w:tr>
      <w:tr w:rsidR="00116EAA" w:rsidRPr="00116EAA" w:rsidTr="00116EAA">
        <w:trPr>
          <w:trHeight w:val="1836"/>
        </w:trPr>
        <w:tc>
          <w:tcPr>
            <w:tcW w:w="238" w:type="pct"/>
            <w:vMerge w:val="restart"/>
            <w:shd w:val="clear" w:color="auto" w:fill="auto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1.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Муниципальное бюджетное общеобразовательное учреждение "Октябрьская основная общеобразовательная школа"</w:t>
            </w:r>
          </w:p>
        </w:tc>
        <w:tc>
          <w:tcPr>
            <w:tcW w:w="1083" w:type="pc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Часть 2 статьи 112 Федерального закона от 5 апреля 2013 года № 44-ФЗ</w:t>
            </w:r>
          </w:p>
        </w:tc>
        <w:tc>
          <w:tcPr>
            <w:tcW w:w="2483" w:type="pct"/>
            <w:shd w:val="clear" w:color="auto" w:fill="auto"/>
            <w:noWrap/>
            <w:vAlign w:val="bottom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План-график размещения заказов на поставки товаров, выполнение работ, оказание услуг для обеспечения государственных и муниципальных нужд на 2016 год размещен Учреждением на официальном сайте с нарушением установленного срока.</w:t>
            </w:r>
          </w:p>
        </w:tc>
      </w:tr>
      <w:tr w:rsidR="00116EAA" w:rsidRPr="00116EAA" w:rsidTr="00116EAA">
        <w:trPr>
          <w:trHeight w:val="936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 </w:t>
            </w:r>
          </w:p>
        </w:tc>
        <w:tc>
          <w:tcPr>
            <w:tcW w:w="2483" w:type="pct"/>
            <w:shd w:val="clear" w:color="auto" w:fill="auto"/>
            <w:noWrap/>
            <w:vAlign w:val="bottom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Показатели финансового обеспечения закупок, включенного в план-график на 2016 год, не соответствуют показателям плана финансово-хозяйственной деятельности Учреждения на 2016 год.</w:t>
            </w:r>
          </w:p>
        </w:tc>
      </w:tr>
      <w:tr w:rsidR="00116EAA" w:rsidRPr="00116EAA" w:rsidTr="00116EAA">
        <w:trPr>
          <w:trHeight w:val="1140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 xml:space="preserve">Пункт 9 статьи 94 Федерального закона от 5 апреля 2013 года № 44-ФЗ, </w:t>
            </w:r>
          </w:p>
        </w:tc>
        <w:tc>
          <w:tcPr>
            <w:tcW w:w="2483" w:type="pct"/>
            <w:shd w:val="clear" w:color="auto" w:fill="auto"/>
            <w:noWrap/>
            <w:vAlign w:val="bottom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 xml:space="preserve">Учреждением не размещены отчеты об исполнении контрактов в единой информационной системе. </w:t>
            </w:r>
          </w:p>
        </w:tc>
      </w:tr>
      <w:tr w:rsidR="00116EAA" w:rsidRPr="00116EAA" w:rsidTr="00116EAA">
        <w:trPr>
          <w:trHeight w:val="1368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 xml:space="preserve">В нарушение части 4 статьи 30 Федерального закона от 5 апреля 2013 года № 44-ФЗ </w:t>
            </w:r>
          </w:p>
        </w:tc>
        <w:tc>
          <w:tcPr>
            <w:tcW w:w="2483" w:type="pct"/>
            <w:shd w:val="clear" w:color="auto" w:fill="auto"/>
            <w:vAlign w:val="bottom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 xml:space="preserve">Отчет об объеме закупок у субъектов малого предпринимательства, социально ориентированных некоммерческих организаций за 2016 год в единой информационной системе  не размещен. </w:t>
            </w:r>
          </w:p>
        </w:tc>
      </w:tr>
      <w:tr w:rsidR="00116EAA" w:rsidRPr="00116EAA" w:rsidTr="00116EAA">
        <w:trPr>
          <w:trHeight w:val="936"/>
        </w:trPr>
        <w:tc>
          <w:tcPr>
            <w:tcW w:w="238" w:type="pct"/>
            <w:vMerge w:val="restart"/>
            <w:shd w:val="clear" w:color="auto" w:fill="auto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2.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Муниципальное бюджетное общеобразовательное учреждение "Оштинская средняя общеобразовательная школа"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Подпункт 4 пункта 5 Приказа от 31 марта 2015 года № 182/7н</w:t>
            </w:r>
          </w:p>
        </w:tc>
        <w:tc>
          <w:tcPr>
            <w:tcW w:w="2483" w:type="pct"/>
            <w:shd w:val="clear" w:color="auto" w:fill="auto"/>
            <w:noWrap/>
            <w:vAlign w:val="bottom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Информация о закупках, которые планируется осуществлять в соответствии с пунктом 4, 5 части 1 статьи 93 Федерального закона № 44-ФЗ, указана в разрезе каждой закупки по каждому коду бюджетной классификации.</w:t>
            </w:r>
          </w:p>
        </w:tc>
      </w:tr>
      <w:tr w:rsidR="00116EAA" w:rsidRPr="00116EAA" w:rsidTr="00116EAA">
        <w:trPr>
          <w:trHeight w:val="624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 </w:t>
            </w:r>
          </w:p>
        </w:tc>
        <w:tc>
          <w:tcPr>
            <w:tcW w:w="2483" w:type="pct"/>
            <w:shd w:val="clear" w:color="auto" w:fill="auto"/>
            <w:noWrap/>
            <w:vAlign w:val="bottom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Показатели финансового обеспечения закупок, включенного в план-график на 2016 год, не соответствуют показателям плана финансово-хозяйственной деятельности Учреждения.</w:t>
            </w:r>
          </w:p>
        </w:tc>
      </w:tr>
      <w:tr w:rsidR="00116EAA" w:rsidRPr="00116EAA" w:rsidTr="00116EAA">
        <w:trPr>
          <w:trHeight w:val="1188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Пункт 9 статьи 94 Федерального закона от 5 апреля 2013 года № 44-ФЗ,</w:t>
            </w:r>
          </w:p>
        </w:tc>
        <w:tc>
          <w:tcPr>
            <w:tcW w:w="2483" w:type="pct"/>
            <w:shd w:val="clear" w:color="auto" w:fill="auto"/>
            <w:noWrap/>
            <w:vAlign w:val="bottom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 xml:space="preserve">Информация об исполнении контракта № 3994/666 не размещена Учреждением  в единой информационной системе. </w:t>
            </w:r>
          </w:p>
        </w:tc>
      </w:tr>
      <w:tr w:rsidR="00116EAA" w:rsidRPr="00116EAA" w:rsidTr="00116EAA">
        <w:trPr>
          <w:trHeight w:val="1212"/>
        </w:trPr>
        <w:tc>
          <w:tcPr>
            <w:tcW w:w="238" w:type="pct"/>
            <w:vMerge w:val="restart"/>
            <w:shd w:val="clear" w:color="000000" w:fill="FFFFFF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96" w:type="pct"/>
            <w:vMerge w:val="restar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 г. Вытегры»</w:t>
            </w:r>
          </w:p>
        </w:tc>
        <w:tc>
          <w:tcPr>
            <w:tcW w:w="1083" w:type="pc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Часть 2 статьи 112 Федерального закона от 5 апреля 2013 года № 44-ФЗ</w:t>
            </w:r>
          </w:p>
        </w:tc>
        <w:tc>
          <w:tcPr>
            <w:tcW w:w="2483" w:type="pct"/>
            <w:shd w:val="clear" w:color="auto" w:fill="auto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План-график размещения заказов на поставки товаров, выполнение работ, оказание услуг для обеспечения государственных и муниципальных нужд на 2016 год размещен Учреждением на официальном сайте с нарушением установленного срока.</w:t>
            </w:r>
          </w:p>
        </w:tc>
      </w:tr>
      <w:tr w:rsidR="00116EAA" w:rsidRPr="00116EAA" w:rsidTr="00116EAA">
        <w:trPr>
          <w:trHeight w:val="936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Подпункт 4 пункта 5 Приказа от 31 марта 2015 года № 182/7н</w:t>
            </w:r>
          </w:p>
        </w:tc>
        <w:tc>
          <w:tcPr>
            <w:tcW w:w="2483" w:type="pct"/>
            <w:shd w:val="clear" w:color="auto" w:fill="auto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Информация о закупках, которые планируется осуществлять в соответствии с пунктом 4, 5 части 1 статьи 93 Федерального закона № 44-ФЗ, указана в разрезе каждой закупки по каждому коду бюджетной классификации.</w:t>
            </w:r>
          </w:p>
        </w:tc>
      </w:tr>
      <w:tr w:rsidR="00116EAA" w:rsidRPr="00116EAA" w:rsidTr="00116EAA">
        <w:trPr>
          <w:trHeight w:val="876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 </w:t>
            </w:r>
          </w:p>
        </w:tc>
        <w:tc>
          <w:tcPr>
            <w:tcW w:w="2483" w:type="pct"/>
            <w:shd w:val="clear" w:color="auto" w:fill="auto"/>
            <w:noWrap/>
            <w:vAlign w:val="bottom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 xml:space="preserve">Показатели финансового обеспечения закупок, включенного в план-график на 2016 год, не соответствуют показателям плана финансово-хозяйственной деятельности Учреждения. </w:t>
            </w:r>
          </w:p>
        </w:tc>
      </w:tr>
      <w:tr w:rsidR="00116EAA" w:rsidRPr="00116EAA" w:rsidTr="00116EAA">
        <w:trPr>
          <w:trHeight w:val="276"/>
        </w:trPr>
        <w:tc>
          <w:tcPr>
            <w:tcW w:w="238" w:type="pct"/>
            <w:vMerge w:val="restart"/>
            <w:shd w:val="clear" w:color="000000" w:fill="FFFFFF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4.</w:t>
            </w:r>
          </w:p>
        </w:tc>
        <w:tc>
          <w:tcPr>
            <w:tcW w:w="1196" w:type="pct"/>
            <w:vMerge w:val="restar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Муниципальное бюджетное общеобразовательное учреждение "Янишевская основная общеобразовательная школа"</w:t>
            </w:r>
          </w:p>
        </w:tc>
        <w:tc>
          <w:tcPr>
            <w:tcW w:w="1083" w:type="pct"/>
            <w:vMerge w:val="restar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 </w:t>
            </w:r>
          </w:p>
        </w:tc>
        <w:tc>
          <w:tcPr>
            <w:tcW w:w="2483" w:type="pct"/>
            <w:vMerge w:val="restart"/>
            <w:shd w:val="clear" w:color="auto" w:fill="auto"/>
            <w:vAlign w:val="bottom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 xml:space="preserve">Показатели финансового обеспечения закупок, включенного в план-график на 2016 год, не соответствуют показателям плана финансово-хозяйственной деятельности Учреждения. </w:t>
            </w:r>
          </w:p>
        </w:tc>
      </w:tr>
      <w:tr w:rsidR="00116EAA" w:rsidRPr="00116EAA" w:rsidTr="00116EAA">
        <w:trPr>
          <w:trHeight w:val="276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2483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</w:tr>
      <w:tr w:rsidR="00116EAA" w:rsidRPr="00116EAA" w:rsidTr="00116EAA">
        <w:trPr>
          <w:trHeight w:val="432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2483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</w:tr>
      <w:tr w:rsidR="00116EAA" w:rsidRPr="00116EAA" w:rsidTr="00116EAA">
        <w:trPr>
          <w:trHeight w:val="936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Часть 2 статьи 112 Федерального закона от 5 апреля 2013 года № 44-ФЗ</w:t>
            </w:r>
          </w:p>
        </w:tc>
        <w:tc>
          <w:tcPr>
            <w:tcW w:w="2483" w:type="pct"/>
            <w:shd w:val="clear" w:color="000000" w:fill="FFFFFF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План-график размещения заказов на поставки товаров, выполнение работ, оказание услуг для обеспечения государственных и муниципальных нужд на 2016 год размещен Учреждением на официальном сайте с нарушением установленного срока.</w:t>
            </w:r>
          </w:p>
        </w:tc>
      </w:tr>
      <w:tr w:rsidR="00116EAA" w:rsidRPr="00116EAA" w:rsidTr="00116EAA">
        <w:trPr>
          <w:trHeight w:val="936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Пункт 9 статьи 94 Федерального закона от 5 апреля 2013 года № 44-ФЗ,</w:t>
            </w:r>
          </w:p>
        </w:tc>
        <w:tc>
          <w:tcPr>
            <w:tcW w:w="2483" w:type="pct"/>
            <w:shd w:val="clear" w:color="000000" w:fill="FFFFFF"/>
            <w:noWrap/>
            <w:vAlign w:val="bottom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Отчет об исполнении контракта № 30 от 15.02.2016 размещен в единой информационной системе с нарушением установленного срока</w:t>
            </w:r>
          </w:p>
        </w:tc>
      </w:tr>
      <w:tr w:rsidR="00116EAA" w:rsidRPr="00116EAA" w:rsidTr="00116EAA">
        <w:trPr>
          <w:trHeight w:val="1152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 xml:space="preserve">В нарушение части 4 статьи 30 Федерального закона от 5 апреля 2013 года № 44-ФЗ </w:t>
            </w:r>
          </w:p>
        </w:tc>
        <w:tc>
          <w:tcPr>
            <w:tcW w:w="2483" w:type="pct"/>
            <w:shd w:val="clear" w:color="000000" w:fill="FFFFFF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 xml:space="preserve">Отчет об объеме закупок у субъектов малого предпринимательства, социально ориентированных некоммерческих организаций за 2016 год в единой информационной системе  не размещен. </w:t>
            </w:r>
          </w:p>
        </w:tc>
      </w:tr>
      <w:tr w:rsidR="00116EAA" w:rsidRPr="00116EAA" w:rsidTr="00116EAA">
        <w:trPr>
          <w:trHeight w:val="624"/>
        </w:trPr>
        <w:tc>
          <w:tcPr>
            <w:tcW w:w="238" w:type="pct"/>
            <w:vMerge w:val="restart"/>
            <w:shd w:val="clear" w:color="000000" w:fill="FFFFFF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5.</w:t>
            </w:r>
          </w:p>
        </w:tc>
        <w:tc>
          <w:tcPr>
            <w:tcW w:w="1196" w:type="pct"/>
            <w:vMerge w:val="restar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Управление образования  Вытегорского муниципального района</w:t>
            </w:r>
          </w:p>
        </w:tc>
        <w:tc>
          <w:tcPr>
            <w:tcW w:w="1083" w:type="pc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 </w:t>
            </w:r>
          </w:p>
        </w:tc>
        <w:tc>
          <w:tcPr>
            <w:tcW w:w="2483" w:type="pct"/>
            <w:shd w:val="clear" w:color="000000" w:fill="FFFFFF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 xml:space="preserve">Показатели финансового обеспечения закупок, включенного в план-график на 2016 год, не соответствуют показателям плана финансово-хозяйственной деятельности Учреждения. </w:t>
            </w:r>
          </w:p>
        </w:tc>
      </w:tr>
      <w:tr w:rsidR="00116EAA" w:rsidRPr="00116EAA" w:rsidTr="00116EAA">
        <w:trPr>
          <w:trHeight w:val="1188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 xml:space="preserve">В нарушение части 4 статьи 30 Федерального закона от 5 апреля 2013 года № 44-ФЗ </w:t>
            </w:r>
          </w:p>
        </w:tc>
        <w:tc>
          <w:tcPr>
            <w:tcW w:w="2483" w:type="pct"/>
            <w:shd w:val="clear" w:color="000000" w:fill="FFFFFF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 xml:space="preserve">Отчет об объеме закупок у субъектов малого предпринимательства, социально ориентированных некоммерческих организаций за 2016 год в единой информационной системе  не размещен. </w:t>
            </w:r>
          </w:p>
        </w:tc>
      </w:tr>
      <w:tr w:rsidR="00116EAA" w:rsidRPr="00116EAA" w:rsidTr="00116EAA">
        <w:trPr>
          <w:trHeight w:val="936"/>
        </w:trPr>
        <w:tc>
          <w:tcPr>
            <w:tcW w:w="238" w:type="pct"/>
            <w:vMerge w:val="restart"/>
            <w:shd w:val="clear" w:color="000000" w:fill="FFFFFF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96" w:type="pct"/>
            <w:vMerge w:val="restar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«Вытегорский районный центр детского и юношеского туризма»</w:t>
            </w:r>
          </w:p>
        </w:tc>
        <w:tc>
          <w:tcPr>
            <w:tcW w:w="1083" w:type="pc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Часть 2 статьи 112 Федерального закона от 5 апреля 2013 года № 44-ФЗ</w:t>
            </w:r>
          </w:p>
        </w:tc>
        <w:tc>
          <w:tcPr>
            <w:tcW w:w="2483" w:type="pct"/>
            <w:shd w:val="clear" w:color="000000" w:fill="FFFFFF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План-график размещения заказов на поставки товаров, выполнение работ, оказание услуг для обеспечения государственных и муниципальных нужд на 2016 год размещен Учреждением на официальном сайте с нарушением установленного срока.</w:t>
            </w:r>
          </w:p>
        </w:tc>
      </w:tr>
      <w:tr w:rsidR="00116EAA" w:rsidRPr="00116EAA" w:rsidTr="00116EAA">
        <w:trPr>
          <w:trHeight w:val="624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000000" w:fill="FFFFFF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 </w:t>
            </w:r>
          </w:p>
        </w:tc>
        <w:tc>
          <w:tcPr>
            <w:tcW w:w="2483" w:type="pct"/>
            <w:shd w:val="clear" w:color="000000" w:fill="FFFFFF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 xml:space="preserve">Показатели финансового обеспечения закупок, включенного в план-график на 2016 год, не соответствуют показателям плана финансово-хозяйственной деятельности Учреждения. </w:t>
            </w:r>
          </w:p>
        </w:tc>
      </w:tr>
      <w:tr w:rsidR="00116EAA" w:rsidRPr="00116EAA" w:rsidTr="00116EAA">
        <w:trPr>
          <w:trHeight w:val="936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color w:val="020202"/>
                <w:sz w:val="24"/>
                <w:szCs w:val="24"/>
              </w:rPr>
            </w:pPr>
            <w:r w:rsidRPr="00116EAA">
              <w:rPr>
                <w:color w:val="020202"/>
                <w:sz w:val="24"/>
                <w:szCs w:val="24"/>
              </w:rPr>
              <w:t xml:space="preserve">Подпункт 4 пункта 5 </w:t>
            </w:r>
            <w:r w:rsidRPr="00116EAA">
              <w:rPr>
                <w:color w:val="000000"/>
                <w:sz w:val="24"/>
                <w:szCs w:val="24"/>
              </w:rPr>
              <w:t xml:space="preserve">приказа от 31 марта 2015 года      № 182/7н </w:t>
            </w:r>
          </w:p>
        </w:tc>
        <w:tc>
          <w:tcPr>
            <w:tcW w:w="2483" w:type="pct"/>
            <w:shd w:val="clear" w:color="auto" w:fill="auto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В плане-графике размещена неполная информация о закупках, осуществленных в соответствии с пунктом 4 статьи 93 Федерального закона от 5 апреля 2013 года № 44-ФЗ.</w:t>
            </w:r>
          </w:p>
        </w:tc>
      </w:tr>
      <w:tr w:rsidR="00116EAA" w:rsidRPr="00116EAA" w:rsidTr="00116EAA">
        <w:trPr>
          <w:trHeight w:val="936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Пункт 2 статьи 34 Федерального закона от 5 апреля 2013 года № 44-ФЗ</w:t>
            </w:r>
          </w:p>
        </w:tc>
        <w:tc>
          <w:tcPr>
            <w:tcW w:w="2483" w:type="pct"/>
            <w:shd w:val="clear" w:color="auto" w:fill="auto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При заключении контрактов (договоров) с единственным поставщиком не указывается, что цена контракта является твердой и определяется на весь срок исполнения контракта.</w:t>
            </w:r>
          </w:p>
        </w:tc>
      </w:tr>
      <w:tr w:rsidR="00116EAA" w:rsidRPr="00116EAA" w:rsidTr="00116EAA">
        <w:trPr>
          <w:trHeight w:val="948"/>
        </w:trPr>
        <w:tc>
          <w:tcPr>
            <w:tcW w:w="238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vAlign w:val="center"/>
            <w:hideMark/>
          </w:tcPr>
          <w:p w:rsidR="00116EAA" w:rsidRPr="00116EAA" w:rsidRDefault="00116EAA" w:rsidP="00116EAA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116EAA" w:rsidRPr="00116EAA" w:rsidRDefault="00116EAA" w:rsidP="00116EAA">
            <w:pPr>
              <w:jc w:val="center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Пункт 9 статьи 94 Федерального закона от 5 апреля 2013 года № 44-ФЗ,</w:t>
            </w:r>
          </w:p>
        </w:tc>
        <w:tc>
          <w:tcPr>
            <w:tcW w:w="2483" w:type="pct"/>
            <w:shd w:val="clear" w:color="auto" w:fill="auto"/>
            <w:noWrap/>
            <w:vAlign w:val="bottom"/>
            <w:hideMark/>
          </w:tcPr>
          <w:p w:rsidR="00116EAA" w:rsidRPr="00116EAA" w:rsidRDefault="00116EAA" w:rsidP="00116EAA">
            <w:pPr>
              <w:jc w:val="both"/>
              <w:rPr>
                <w:sz w:val="24"/>
                <w:szCs w:val="24"/>
              </w:rPr>
            </w:pPr>
            <w:r w:rsidRPr="00116EAA">
              <w:rPr>
                <w:sz w:val="24"/>
                <w:szCs w:val="24"/>
              </w:rPr>
              <w:t>Отчет об исполнении контракта № 4027/666 от 14.01.2016 размещен в единой информационной системе с нарушением установленного срока.</w:t>
            </w:r>
          </w:p>
        </w:tc>
      </w:tr>
    </w:tbl>
    <w:p w:rsidR="00116EAA" w:rsidRPr="005811AE" w:rsidRDefault="00116EAA" w:rsidP="00CB00BA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116EAA" w:rsidRPr="005811AE" w:rsidSect="00116EAA">
      <w:headerReference w:type="even" r:id="rId7"/>
      <w:headerReference w:type="default" r:id="rId8"/>
      <w:pgSz w:w="16838" w:h="11906" w:orient="landscape"/>
      <w:pgMar w:top="709" w:right="39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B5" w:rsidRDefault="001D1BB5">
      <w:r>
        <w:separator/>
      </w:r>
    </w:p>
  </w:endnote>
  <w:endnote w:type="continuationSeparator" w:id="0">
    <w:p w:rsidR="001D1BB5" w:rsidRDefault="001D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B5" w:rsidRDefault="001D1BB5">
      <w:r>
        <w:separator/>
      </w:r>
    </w:p>
  </w:footnote>
  <w:footnote w:type="continuationSeparator" w:id="0">
    <w:p w:rsidR="001D1BB5" w:rsidRDefault="001D1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63" w:rsidRDefault="008E646E" w:rsidP="00D86E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6E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6E63" w:rsidRDefault="00626E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63" w:rsidRDefault="008E646E" w:rsidP="00D86E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6E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6EAA">
      <w:rPr>
        <w:rStyle w:val="a6"/>
        <w:noProof/>
      </w:rPr>
      <w:t>3</w:t>
    </w:r>
    <w:r>
      <w:rPr>
        <w:rStyle w:val="a6"/>
      </w:rPr>
      <w:fldChar w:fldCharType="end"/>
    </w:r>
  </w:p>
  <w:p w:rsidR="00626E63" w:rsidRDefault="00626E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</w:abstractNum>
  <w:abstractNum w:abstractNumId="1">
    <w:nsid w:val="027C7578"/>
    <w:multiLevelType w:val="hybridMultilevel"/>
    <w:tmpl w:val="7D2C76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1645"/>
    <w:multiLevelType w:val="hybridMultilevel"/>
    <w:tmpl w:val="86748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F5685"/>
    <w:multiLevelType w:val="hybridMultilevel"/>
    <w:tmpl w:val="6B1A1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65E7"/>
    <w:multiLevelType w:val="hybridMultilevel"/>
    <w:tmpl w:val="0A408E82"/>
    <w:lvl w:ilvl="0" w:tplc="47ECB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71706"/>
    <w:multiLevelType w:val="singleLevel"/>
    <w:tmpl w:val="503444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E8497A"/>
    <w:multiLevelType w:val="multilevel"/>
    <w:tmpl w:val="F5F440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7">
    <w:nsid w:val="2F5169E6"/>
    <w:multiLevelType w:val="hybridMultilevel"/>
    <w:tmpl w:val="3062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C2436"/>
    <w:multiLevelType w:val="hybridMultilevel"/>
    <w:tmpl w:val="C942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332780"/>
    <w:multiLevelType w:val="hybridMultilevel"/>
    <w:tmpl w:val="E21265AE"/>
    <w:lvl w:ilvl="0" w:tplc="625A82D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CD0E1AD8">
      <w:numFmt w:val="none"/>
      <w:lvlText w:val=""/>
      <w:lvlJc w:val="left"/>
      <w:pPr>
        <w:tabs>
          <w:tab w:val="num" w:pos="360"/>
        </w:tabs>
      </w:pPr>
    </w:lvl>
    <w:lvl w:ilvl="2" w:tplc="4E125968">
      <w:numFmt w:val="none"/>
      <w:lvlText w:val=""/>
      <w:lvlJc w:val="left"/>
      <w:pPr>
        <w:tabs>
          <w:tab w:val="num" w:pos="360"/>
        </w:tabs>
      </w:pPr>
    </w:lvl>
    <w:lvl w:ilvl="3" w:tplc="7D0E23EE">
      <w:numFmt w:val="none"/>
      <w:lvlText w:val=""/>
      <w:lvlJc w:val="left"/>
      <w:pPr>
        <w:tabs>
          <w:tab w:val="num" w:pos="360"/>
        </w:tabs>
      </w:pPr>
    </w:lvl>
    <w:lvl w:ilvl="4" w:tplc="A2CAA4CA">
      <w:numFmt w:val="none"/>
      <w:lvlText w:val=""/>
      <w:lvlJc w:val="left"/>
      <w:pPr>
        <w:tabs>
          <w:tab w:val="num" w:pos="360"/>
        </w:tabs>
      </w:pPr>
    </w:lvl>
    <w:lvl w:ilvl="5" w:tplc="883264AC">
      <w:numFmt w:val="none"/>
      <w:lvlText w:val=""/>
      <w:lvlJc w:val="left"/>
      <w:pPr>
        <w:tabs>
          <w:tab w:val="num" w:pos="360"/>
        </w:tabs>
      </w:pPr>
    </w:lvl>
    <w:lvl w:ilvl="6" w:tplc="BA7A635C">
      <w:numFmt w:val="none"/>
      <w:lvlText w:val=""/>
      <w:lvlJc w:val="left"/>
      <w:pPr>
        <w:tabs>
          <w:tab w:val="num" w:pos="360"/>
        </w:tabs>
      </w:pPr>
    </w:lvl>
    <w:lvl w:ilvl="7" w:tplc="4B6A8A62">
      <w:numFmt w:val="none"/>
      <w:lvlText w:val=""/>
      <w:lvlJc w:val="left"/>
      <w:pPr>
        <w:tabs>
          <w:tab w:val="num" w:pos="360"/>
        </w:tabs>
      </w:pPr>
    </w:lvl>
    <w:lvl w:ilvl="8" w:tplc="58AE61B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E52948"/>
    <w:multiLevelType w:val="hybridMultilevel"/>
    <w:tmpl w:val="B3E256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40FAA"/>
    <w:multiLevelType w:val="hybridMultilevel"/>
    <w:tmpl w:val="349A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00E8B"/>
    <w:multiLevelType w:val="hybridMultilevel"/>
    <w:tmpl w:val="36EC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36EC0"/>
    <w:multiLevelType w:val="multilevel"/>
    <w:tmpl w:val="94087630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15">
    <w:nsid w:val="6BBA0954"/>
    <w:multiLevelType w:val="hybridMultilevel"/>
    <w:tmpl w:val="891EA7A2"/>
    <w:lvl w:ilvl="0" w:tplc="E80226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F5B"/>
    <w:rsid w:val="00001C5B"/>
    <w:rsid w:val="000048C0"/>
    <w:rsid w:val="000144DB"/>
    <w:rsid w:val="00014790"/>
    <w:rsid w:val="00022C94"/>
    <w:rsid w:val="0002406A"/>
    <w:rsid w:val="00026024"/>
    <w:rsid w:val="000326CA"/>
    <w:rsid w:val="0004738F"/>
    <w:rsid w:val="00050CA9"/>
    <w:rsid w:val="00060275"/>
    <w:rsid w:val="000708CB"/>
    <w:rsid w:val="00075B08"/>
    <w:rsid w:val="00080200"/>
    <w:rsid w:val="00086597"/>
    <w:rsid w:val="0008757A"/>
    <w:rsid w:val="0009367D"/>
    <w:rsid w:val="00096606"/>
    <w:rsid w:val="000B053A"/>
    <w:rsid w:val="000B1647"/>
    <w:rsid w:val="000B5AB0"/>
    <w:rsid w:val="000B5C8C"/>
    <w:rsid w:val="000B6047"/>
    <w:rsid w:val="000C3757"/>
    <w:rsid w:val="000D2708"/>
    <w:rsid w:val="000E0949"/>
    <w:rsid w:val="000E20F6"/>
    <w:rsid w:val="000E3D24"/>
    <w:rsid w:val="000E78FF"/>
    <w:rsid w:val="000F0193"/>
    <w:rsid w:val="000F3596"/>
    <w:rsid w:val="000F5BE9"/>
    <w:rsid w:val="001018FC"/>
    <w:rsid w:val="00101A89"/>
    <w:rsid w:val="001076CE"/>
    <w:rsid w:val="00116EAA"/>
    <w:rsid w:val="0012005A"/>
    <w:rsid w:val="001201E0"/>
    <w:rsid w:val="0012029F"/>
    <w:rsid w:val="0012299D"/>
    <w:rsid w:val="001248B0"/>
    <w:rsid w:val="001301B1"/>
    <w:rsid w:val="00140001"/>
    <w:rsid w:val="00141AD6"/>
    <w:rsid w:val="001427B5"/>
    <w:rsid w:val="00150209"/>
    <w:rsid w:val="00150E18"/>
    <w:rsid w:val="00153147"/>
    <w:rsid w:val="00163F96"/>
    <w:rsid w:val="00165E76"/>
    <w:rsid w:val="00174B77"/>
    <w:rsid w:val="0019249C"/>
    <w:rsid w:val="00193645"/>
    <w:rsid w:val="001A12FD"/>
    <w:rsid w:val="001A3815"/>
    <w:rsid w:val="001A5911"/>
    <w:rsid w:val="001A5EA5"/>
    <w:rsid w:val="001B3DF3"/>
    <w:rsid w:val="001B5B4F"/>
    <w:rsid w:val="001B660A"/>
    <w:rsid w:val="001C0EA4"/>
    <w:rsid w:val="001C2F6A"/>
    <w:rsid w:val="001C5478"/>
    <w:rsid w:val="001C75C9"/>
    <w:rsid w:val="001D1BB5"/>
    <w:rsid w:val="001D4913"/>
    <w:rsid w:val="001E2176"/>
    <w:rsid w:val="001E7735"/>
    <w:rsid w:val="00227639"/>
    <w:rsid w:val="002348BE"/>
    <w:rsid w:val="002416B2"/>
    <w:rsid w:val="00245D19"/>
    <w:rsid w:val="002519DE"/>
    <w:rsid w:val="00255AC1"/>
    <w:rsid w:val="002579E5"/>
    <w:rsid w:val="00264025"/>
    <w:rsid w:val="0026551E"/>
    <w:rsid w:val="00267128"/>
    <w:rsid w:val="00270449"/>
    <w:rsid w:val="002734B5"/>
    <w:rsid w:val="00274BEB"/>
    <w:rsid w:val="0029644D"/>
    <w:rsid w:val="0029725F"/>
    <w:rsid w:val="002B600F"/>
    <w:rsid w:val="002B74DF"/>
    <w:rsid w:val="002C5E8E"/>
    <w:rsid w:val="002D455B"/>
    <w:rsid w:val="002D560A"/>
    <w:rsid w:val="002D6E45"/>
    <w:rsid w:val="002E0F5B"/>
    <w:rsid w:val="002E4115"/>
    <w:rsid w:val="002E6E65"/>
    <w:rsid w:val="00300B5F"/>
    <w:rsid w:val="00300C6B"/>
    <w:rsid w:val="00301263"/>
    <w:rsid w:val="00304920"/>
    <w:rsid w:val="00312E8E"/>
    <w:rsid w:val="00320BBD"/>
    <w:rsid w:val="00323D9C"/>
    <w:rsid w:val="003243CD"/>
    <w:rsid w:val="003254AC"/>
    <w:rsid w:val="00332C07"/>
    <w:rsid w:val="00343732"/>
    <w:rsid w:val="00345B84"/>
    <w:rsid w:val="003528A1"/>
    <w:rsid w:val="00361F42"/>
    <w:rsid w:val="0036414B"/>
    <w:rsid w:val="00364C94"/>
    <w:rsid w:val="00364F71"/>
    <w:rsid w:val="003675B6"/>
    <w:rsid w:val="0037018D"/>
    <w:rsid w:val="003740DD"/>
    <w:rsid w:val="00381FFB"/>
    <w:rsid w:val="003829F9"/>
    <w:rsid w:val="00383CC4"/>
    <w:rsid w:val="0039116F"/>
    <w:rsid w:val="003971AB"/>
    <w:rsid w:val="003A4608"/>
    <w:rsid w:val="003B41DD"/>
    <w:rsid w:val="003C1587"/>
    <w:rsid w:val="003C2C7B"/>
    <w:rsid w:val="003D0DA7"/>
    <w:rsid w:val="003D217D"/>
    <w:rsid w:val="003D4069"/>
    <w:rsid w:val="003D552A"/>
    <w:rsid w:val="003D5A0F"/>
    <w:rsid w:val="003E0FF7"/>
    <w:rsid w:val="003E4649"/>
    <w:rsid w:val="003F14B4"/>
    <w:rsid w:val="0040745A"/>
    <w:rsid w:val="00412C98"/>
    <w:rsid w:val="004135E9"/>
    <w:rsid w:val="00423541"/>
    <w:rsid w:val="00436148"/>
    <w:rsid w:val="00447CF2"/>
    <w:rsid w:val="00450145"/>
    <w:rsid w:val="00452EDE"/>
    <w:rsid w:val="0045792A"/>
    <w:rsid w:val="00460F72"/>
    <w:rsid w:val="0047262D"/>
    <w:rsid w:val="004825A4"/>
    <w:rsid w:val="00487722"/>
    <w:rsid w:val="00495B5C"/>
    <w:rsid w:val="004A0F77"/>
    <w:rsid w:val="004A52D0"/>
    <w:rsid w:val="004B291E"/>
    <w:rsid w:val="004B4066"/>
    <w:rsid w:val="004C065E"/>
    <w:rsid w:val="004C0B11"/>
    <w:rsid w:val="004D04F5"/>
    <w:rsid w:val="004D3E16"/>
    <w:rsid w:val="004E06B8"/>
    <w:rsid w:val="004E386A"/>
    <w:rsid w:val="004F060B"/>
    <w:rsid w:val="004F21BA"/>
    <w:rsid w:val="004F56A0"/>
    <w:rsid w:val="005024E9"/>
    <w:rsid w:val="00507061"/>
    <w:rsid w:val="00523AF5"/>
    <w:rsid w:val="00524C19"/>
    <w:rsid w:val="00525FFD"/>
    <w:rsid w:val="0053029B"/>
    <w:rsid w:val="005362CC"/>
    <w:rsid w:val="00543D8C"/>
    <w:rsid w:val="00553369"/>
    <w:rsid w:val="00556017"/>
    <w:rsid w:val="00560A10"/>
    <w:rsid w:val="0056346E"/>
    <w:rsid w:val="0056777B"/>
    <w:rsid w:val="005811AE"/>
    <w:rsid w:val="00583DA9"/>
    <w:rsid w:val="005840A9"/>
    <w:rsid w:val="005A0466"/>
    <w:rsid w:val="005A5E84"/>
    <w:rsid w:val="005B18B9"/>
    <w:rsid w:val="005B3EB0"/>
    <w:rsid w:val="005B629C"/>
    <w:rsid w:val="005C0FB3"/>
    <w:rsid w:val="005C466C"/>
    <w:rsid w:val="005C4784"/>
    <w:rsid w:val="005E0EF4"/>
    <w:rsid w:val="005E2906"/>
    <w:rsid w:val="005E6DC5"/>
    <w:rsid w:val="005F1076"/>
    <w:rsid w:val="005F1150"/>
    <w:rsid w:val="006049F9"/>
    <w:rsid w:val="0060670B"/>
    <w:rsid w:val="00606AC1"/>
    <w:rsid w:val="0060701B"/>
    <w:rsid w:val="00610E96"/>
    <w:rsid w:val="0061393C"/>
    <w:rsid w:val="0061446F"/>
    <w:rsid w:val="00626E63"/>
    <w:rsid w:val="0063265C"/>
    <w:rsid w:val="00633552"/>
    <w:rsid w:val="00641995"/>
    <w:rsid w:val="00644FFB"/>
    <w:rsid w:val="00646DA6"/>
    <w:rsid w:val="00664511"/>
    <w:rsid w:val="0067272D"/>
    <w:rsid w:val="00672B05"/>
    <w:rsid w:val="00673526"/>
    <w:rsid w:val="006764F2"/>
    <w:rsid w:val="006861CA"/>
    <w:rsid w:val="0069022D"/>
    <w:rsid w:val="00690C71"/>
    <w:rsid w:val="0069429F"/>
    <w:rsid w:val="006A32CF"/>
    <w:rsid w:val="006A4E0D"/>
    <w:rsid w:val="006A75E1"/>
    <w:rsid w:val="006B479F"/>
    <w:rsid w:val="006B4F09"/>
    <w:rsid w:val="006C4B11"/>
    <w:rsid w:val="006D05E3"/>
    <w:rsid w:val="006D3A84"/>
    <w:rsid w:val="006E047F"/>
    <w:rsid w:val="006E6DDA"/>
    <w:rsid w:val="006E6E60"/>
    <w:rsid w:val="00707B1F"/>
    <w:rsid w:val="00717F5B"/>
    <w:rsid w:val="00721C16"/>
    <w:rsid w:val="00723346"/>
    <w:rsid w:val="00727A40"/>
    <w:rsid w:val="00732C33"/>
    <w:rsid w:val="0074397C"/>
    <w:rsid w:val="00744AE8"/>
    <w:rsid w:val="00745EEF"/>
    <w:rsid w:val="007501EE"/>
    <w:rsid w:val="007557B0"/>
    <w:rsid w:val="00766B9E"/>
    <w:rsid w:val="00767F2B"/>
    <w:rsid w:val="00771FFA"/>
    <w:rsid w:val="00773D41"/>
    <w:rsid w:val="00774F13"/>
    <w:rsid w:val="00782F5D"/>
    <w:rsid w:val="0079283C"/>
    <w:rsid w:val="00794CFE"/>
    <w:rsid w:val="00796275"/>
    <w:rsid w:val="007A3425"/>
    <w:rsid w:val="007A57FE"/>
    <w:rsid w:val="007A607A"/>
    <w:rsid w:val="007B24FE"/>
    <w:rsid w:val="007C7095"/>
    <w:rsid w:val="007E3200"/>
    <w:rsid w:val="007E4632"/>
    <w:rsid w:val="007E5A87"/>
    <w:rsid w:val="007E662F"/>
    <w:rsid w:val="007E6C81"/>
    <w:rsid w:val="007F2BD1"/>
    <w:rsid w:val="007F498D"/>
    <w:rsid w:val="007F5459"/>
    <w:rsid w:val="007F63AB"/>
    <w:rsid w:val="00802277"/>
    <w:rsid w:val="00804536"/>
    <w:rsid w:val="00807DBF"/>
    <w:rsid w:val="00813BD6"/>
    <w:rsid w:val="00815F7D"/>
    <w:rsid w:val="008179E1"/>
    <w:rsid w:val="008239D9"/>
    <w:rsid w:val="00827177"/>
    <w:rsid w:val="0083172F"/>
    <w:rsid w:val="0084197F"/>
    <w:rsid w:val="00845318"/>
    <w:rsid w:val="008507DA"/>
    <w:rsid w:val="008546B6"/>
    <w:rsid w:val="00854976"/>
    <w:rsid w:val="00863019"/>
    <w:rsid w:val="00872780"/>
    <w:rsid w:val="00873FAF"/>
    <w:rsid w:val="00881B65"/>
    <w:rsid w:val="00885E97"/>
    <w:rsid w:val="0089106C"/>
    <w:rsid w:val="00891896"/>
    <w:rsid w:val="008A42ED"/>
    <w:rsid w:val="008A692B"/>
    <w:rsid w:val="008A7569"/>
    <w:rsid w:val="008B030A"/>
    <w:rsid w:val="008C223D"/>
    <w:rsid w:val="008C4CEE"/>
    <w:rsid w:val="008D542A"/>
    <w:rsid w:val="008E5082"/>
    <w:rsid w:val="008E646E"/>
    <w:rsid w:val="00903B3B"/>
    <w:rsid w:val="00912728"/>
    <w:rsid w:val="00915BF3"/>
    <w:rsid w:val="009178C6"/>
    <w:rsid w:val="0092125B"/>
    <w:rsid w:val="00925D0D"/>
    <w:rsid w:val="0093057F"/>
    <w:rsid w:val="009314C8"/>
    <w:rsid w:val="009347D0"/>
    <w:rsid w:val="00941385"/>
    <w:rsid w:val="00945A26"/>
    <w:rsid w:val="00953487"/>
    <w:rsid w:val="00956244"/>
    <w:rsid w:val="0096127F"/>
    <w:rsid w:val="00965B13"/>
    <w:rsid w:val="0097391E"/>
    <w:rsid w:val="009815E4"/>
    <w:rsid w:val="0098271C"/>
    <w:rsid w:val="009918D9"/>
    <w:rsid w:val="009A0459"/>
    <w:rsid w:val="009A0E96"/>
    <w:rsid w:val="009A5774"/>
    <w:rsid w:val="009A5E7A"/>
    <w:rsid w:val="009A6157"/>
    <w:rsid w:val="009A760D"/>
    <w:rsid w:val="009B2B47"/>
    <w:rsid w:val="009B547F"/>
    <w:rsid w:val="009C3262"/>
    <w:rsid w:val="009D67E6"/>
    <w:rsid w:val="009D71A4"/>
    <w:rsid w:val="009D7496"/>
    <w:rsid w:val="009E01A5"/>
    <w:rsid w:val="009E5080"/>
    <w:rsid w:val="009F3509"/>
    <w:rsid w:val="009F6EFB"/>
    <w:rsid w:val="00A02296"/>
    <w:rsid w:val="00A03D4F"/>
    <w:rsid w:val="00A10391"/>
    <w:rsid w:val="00A21FAF"/>
    <w:rsid w:val="00A3310F"/>
    <w:rsid w:val="00A40522"/>
    <w:rsid w:val="00A45177"/>
    <w:rsid w:val="00A45763"/>
    <w:rsid w:val="00A503B3"/>
    <w:rsid w:val="00A517FB"/>
    <w:rsid w:val="00A565B8"/>
    <w:rsid w:val="00A56AA5"/>
    <w:rsid w:val="00A6313C"/>
    <w:rsid w:val="00A70457"/>
    <w:rsid w:val="00A70911"/>
    <w:rsid w:val="00A864A1"/>
    <w:rsid w:val="00A86611"/>
    <w:rsid w:val="00A90C21"/>
    <w:rsid w:val="00A917DD"/>
    <w:rsid w:val="00AA5ACB"/>
    <w:rsid w:val="00AB5A9A"/>
    <w:rsid w:val="00AB5F8B"/>
    <w:rsid w:val="00AC10AE"/>
    <w:rsid w:val="00AC175A"/>
    <w:rsid w:val="00AC5ADD"/>
    <w:rsid w:val="00AC6875"/>
    <w:rsid w:val="00AD470E"/>
    <w:rsid w:val="00AD50E0"/>
    <w:rsid w:val="00AE3918"/>
    <w:rsid w:val="00AE4F14"/>
    <w:rsid w:val="00AE7422"/>
    <w:rsid w:val="00AF2688"/>
    <w:rsid w:val="00AF5295"/>
    <w:rsid w:val="00AF6CDF"/>
    <w:rsid w:val="00AF7925"/>
    <w:rsid w:val="00B00E59"/>
    <w:rsid w:val="00B05F53"/>
    <w:rsid w:val="00B073C4"/>
    <w:rsid w:val="00B16847"/>
    <w:rsid w:val="00B269E2"/>
    <w:rsid w:val="00B2763F"/>
    <w:rsid w:val="00B35AE6"/>
    <w:rsid w:val="00B42116"/>
    <w:rsid w:val="00B471BC"/>
    <w:rsid w:val="00B512C0"/>
    <w:rsid w:val="00B558A9"/>
    <w:rsid w:val="00B55E21"/>
    <w:rsid w:val="00B62A5A"/>
    <w:rsid w:val="00B66499"/>
    <w:rsid w:val="00B677E7"/>
    <w:rsid w:val="00B7600F"/>
    <w:rsid w:val="00B81514"/>
    <w:rsid w:val="00B913EF"/>
    <w:rsid w:val="00BA0C9C"/>
    <w:rsid w:val="00BA1545"/>
    <w:rsid w:val="00BA3137"/>
    <w:rsid w:val="00BA5FFA"/>
    <w:rsid w:val="00BA710A"/>
    <w:rsid w:val="00BB05CC"/>
    <w:rsid w:val="00BB1FD2"/>
    <w:rsid w:val="00BC1D01"/>
    <w:rsid w:val="00BC4AAE"/>
    <w:rsid w:val="00BC7E74"/>
    <w:rsid w:val="00BD5FC1"/>
    <w:rsid w:val="00BE6834"/>
    <w:rsid w:val="00BF308C"/>
    <w:rsid w:val="00BF3E35"/>
    <w:rsid w:val="00BF76A0"/>
    <w:rsid w:val="00C0042F"/>
    <w:rsid w:val="00C02E0D"/>
    <w:rsid w:val="00C07E87"/>
    <w:rsid w:val="00C20865"/>
    <w:rsid w:val="00C23A5B"/>
    <w:rsid w:val="00C30C47"/>
    <w:rsid w:val="00C30E01"/>
    <w:rsid w:val="00C50D3C"/>
    <w:rsid w:val="00C510A9"/>
    <w:rsid w:val="00C56022"/>
    <w:rsid w:val="00C65788"/>
    <w:rsid w:val="00C75520"/>
    <w:rsid w:val="00C764C4"/>
    <w:rsid w:val="00C771C7"/>
    <w:rsid w:val="00C85481"/>
    <w:rsid w:val="00C9079E"/>
    <w:rsid w:val="00CA0257"/>
    <w:rsid w:val="00CA391D"/>
    <w:rsid w:val="00CA765D"/>
    <w:rsid w:val="00CB00BA"/>
    <w:rsid w:val="00CB1471"/>
    <w:rsid w:val="00CC4965"/>
    <w:rsid w:val="00CD11CC"/>
    <w:rsid w:val="00CE2778"/>
    <w:rsid w:val="00CE429F"/>
    <w:rsid w:val="00CF1E4E"/>
    <w:rsid w:val="00CF368A"/>
    <w:rsid w:val="00CF4E73"/>
    <w:rsid w:val="00D01FE1"/>
    <w:rsid w:val="00D0688D"/>
    <w:rsid w:val="00D13B38"/>
    <w:rsid w:val="00D2193A"/>
    <w:rsid w:val="00D3390E"/>
    <w:rsid w:val="00D41386"/>
    <w:rsid w:val="00D41CB0"/>
    <w:rsid w:val="00D56BFD"/>
    <w:rsid w:val="00D75E85"/>
    <w:rsid w:val="00D77040"/>
    <w:rsid w:val="00D8056E"/>
    <w:rsid w:val="00D83EAA"/>
    <w:rsid w:val="00D847B0"/>
    <w:rsid w:val="00D857C2"/>
    <w:rsid w:val="00D861E5"/>
    <w:rsid w:val="00D86EBA"/>
    <w:rsid w:val="00D903FD"/>
    <w:rsid w:val="00D9225B"/>
    <w:rsid w:val="00DA2F31"/>
    <w:rsid w:val="00DB3B7C"/>
    <w:rsid w:val="00DD18BB"/>
    <w:rsid w:val="00DD7BAE"/>
    <w:rsid w:val="00DF30CA"/>
    <w:rsid w:val="00E03858"/>
    <w:rsid w:val="00E05AF0"/>
    <w:rsid w:val="00E135A5"/>
    <w:rsid w:val="00E14814"/>
    <w:rsid w:val="00E175DD"/>
    <w:rsid w:val="00E25473"/>
    <w:rsid w:val="00E265CC"/>
    <w:rsid w:val="00E3059F"/>
    <w:rsid w:val="00E30C33"/>
    <w:rsid w:val="00E36004"/>
    <w:rsid w:val="00E417F9"/>
    <w:rsid w:val="00E42124"/>
    <w:rsid w:val="00E53FFA"/>
    <w:rsid w:val="00E557BB"/>
    <w:rsid w:val="00E608C2"/>
    <w:rsid w:val="00E717CD"/>
    <w:rsid w:val="00E7736E"/>
    <w:rsid w:val="00E813FA"/>
    <w:rsid w:val="00E81E63"/>
    <w:rsid w:val="00E91762"/>
    <w:rsid w:val="00E944C8"/>
    <w:rsid w:val="00E966D1"/>
    <w:rsid w:val="00EB7C0B"/>
    <w:rsid w:val="00EC51DC"/>
    <w:rsid w:val="00ED15A6"/>
    <w:rsid w:val="00ED165D"/>
    <w:rsid w:val="00ED73F2"/>
    <w:rsid w:val="00EE1C87"/>
    <w:rsid w:val="00EE1D2B"/>
    <w:rsid w:val="00EE3AF9"/>
    <w:rsid w:val="00EE3FB9"/>
    <w:rsid w:val="00EF2105"/>
    <w:rsid w:val="00EF294B"/>
    <w:rsid w:val="00F002F8"/>
    <w:rsid w:val="00F033DF"/>
    <w:rsid w:val="00F079E2"/>
    <w:rsid w:val="00F11E21"/>
    <w:rsid w:val="00F143D6"/>
    <w:rsid w:val="00F22AEC"/>
    <w:rsid w:val="00F242B8"/>
    <w:rsid w:val="00F264ED"/>
    <w:rsid w:val="00F36EB2"/>
    <w:rsid w:val="00F3744F"/>
    <w:rsid w:val="00F50A27"/>
    <w:rsid w:val="00F51B75"/>
    <w:rsid w:val="00F52677"/>
    <w:rsid w:val="00F57D2C"/>
    <w:rsid w:val="00F67DA5"/>
    <w:rsid w:val="00F7427F"/>
    <w:rsid w:val="00F756D7"/>
    <w:rsid w:val="00F84838"/>
    <w:rsid w:val="00F86C18"/>
    <w:rsid w:val="00F94B8F"/>
    <w:rsid w:val="00F9541A"/>
    <w:rsid w:val="00FA4610"/>
    <w:rsid w:val="00FA529F"/>
    <w:rsid w:val="00FB04EA"/>
    <w:rsid w:val="00FB15EC"/>
    <w:rsid w:val="00FB29BC"/>
    <w:rsid w:val="00FC12BF"/>
    <w:rsid w:val="00FC1B86"/>
    <w:rsid w:val="00FC1C0A"/>
    <w:rsid w:val="00FC2D49"/>
    <w:rsid w:val="00FC2D98"/>
    <w:rsid w:val="00FC5C1C"/>
    <w:rsid w:val="00FC5D86"/>
    <w:rsid w:val="00FF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14"/>
  </w:style>
  <w:style w:type="paragraph" w:styleId="4">
    <w:name w:val="heading 4"/>
    <w:basedOn w:val="a"/>
    <w:next w:val="a"/>
    <w:qFormat/>
    <w:rsid w:val="00B81514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1514"/>
    <w:pPr>
      <w:jc w:val="center"/>
    </w:pPr>
    <w:rPr>
      <w:sz w:val="24"/>
    </w:rPr>
  </w:style>
  <w:style w:type="table" w:styleId="a4">
    <w:name w:val="Table Grid"/>
    <w:basedOn w:val="a1"/>
    <w:rsid w:val="0036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41C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1CB0"/>
  </w:style>
  <w:style w:type="paragraph" w:customStyle="1" w:styleId="ConsPlusNormal">
    <w:name w:val="ConsPlusNormal"/>
    <w:rsid w:val="00AF2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rsid w:val="00FA529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4A0F7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30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C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314C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normal">
    <w:name w:val="normal"/>
    <w:basedOn w:val="a"/>
    <w:rsid w:val="008A756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">
    <w:name w:val="Абзац списка3"/>
    <w:basedOn w:val="a"/>
    <w:rsid w:val="008A7569"/>
    <w:pPr>
      <w:ind w:left="720"/>
      <w:contextualSpacing/>
    </w:pPr>
    <w:rPr>
      <w:rFonts w:eastAsia="Calibri"/>
      <w:sz w:val="24"/>
      <w:szCs w:val="24"/>
    </w:rPr>
  </w:style>
  <w:style w:type="paragraph" w:customStyle="1" w:styleId="5">
    <w:name w:val="Абзац списка5"/>
    <w:basedOn w:val="a"/>
    <w:rsid w:val="008A7569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Home and Office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Давыдов А.А.</dc:creator>
  <cp:lastModifiedBy>райфо29</cp:lastModifiedBy>
  <cp:revision>20</cp:revision>
  <cp:lastPrinted>2017-12-27T08:03:00Z</cp:lastPrinted>
  <dcterms:created xsi:type="dcterms:W3CDTF">2017-02-02T11:05:00Z</dcterms:created>
  <dcterms:modified xsi:type="dcterms:W3CDTF">2017-12-28T05:22:00Z</dcterms:modified>
</cp:coreProperties>
</file>