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EA" w:rsidRDefault="00A02296" w:rsidP="009D7496">
      <w:pPr>
        <w:ind w:left="11340"/>
        <w:rPr>
          <w:sz w:val="24"/>
          <w:szCs w:val="24"/>
        </w:rPr>
      </w:pPr>
      <w:r w:rsidRPr="009D7496">
        <w:rPr>
          <w:sz w:val="24"/>
          <w:szCs w:val="24"/>
        </w:rPr>
        <w:t>Приложение</w:t>
      </w:r>
      <w:r w:rsidR="00FB04EA">
        <w:rPr>
          <w:sz w:val="24"/>
          <w:szCs w:val="24"/>
        </w:rPr>
        <w:t xml:space="preserve"> </w:t>
      </w:r>
      <w:r w:rsidRPr="009D7496">
        <w:rPr>
          <w:sz w:val="24"/>
          <w:szCs w:val="24"/>
        </w:rPr>
        <w:t>к письму</w:t>
      </w:r>
    </w:p>
    <w:p w:rsidR="00A02296" w:rsidRPr="009D7496" w:rsidRDefault="00A02296" w:rsidP="009D7496">
      <w:pPr>
        <w:ind w:left="11340"/>
        <w:rPr>
          <w:sz w:val="24"/>
          <w:szCs w:val="24"/>
        </w:rPr>
      </w:pPr>
      <w:r w:rsidRPr="009D7496">
        <w:rPr>
          <w:sz w:val="24"/>
          <w:szCs w:val="24"/>
        </w:rPr>
        <w:t xml:space="preserve">в Прокуратуру </w:t>
      </w:r>
      <w:r w:rsidR="00FB04EA">
        <w:rPr>
          <w:sz w:val="24"/>
          <w:szCs w:val="24"/>
        </w:rPr>
        <w:t xml:space="preserve">Вытегорского </w:t>
      </w:r>
      <w:r w:rsidRPr="009D7496">
        <w:rPr>
          <w:sz w:val="24"/>
          <w:szCs w:val="24"/>
        </w:rPr>
        <w:t>района</w:t>
      </w:r>
    </w:p>
    <w:p w:rsidR="000D2708" w:rsidRDefault="000D2708" w:rsidP="00165E76">
      <w:pPr>
        <w:jc w:val="right"/>
      </w:pPr>
    </w:p>
    <w:p w:rsidR="00165E76" w:rsidRPr="009D7496" w:rsidRDefault="00165E76" w:rsidP="00165E76">
      <w:pPr>
        <w:jc w:val="right"/>
        <w:rPr>
          <w:sz w:val="24"/>
          <w:szCs w:val="24"/>
        </w:rPr>
      </w:pPr>
      <w:r w:rsidRPr="009D7496">
        <w:rPr>
          <w:sz w:val="24"/>
          <w:szCs w:val="24"/>
        </w:rPr>
        <w:t>Таблица 2</w:t>
      </w:r>
    </w:p>
    <w:p w:rsidR="000D2708" w:rsidRDefault="000D2708" w:rsidP="00165E76">
      <w:pPr>
        <w:jc w:val="center"/>
      </w:pPr>
    </w:p>
    <w:p w:rsidR="009D7496" w:rsidRPr="009D7496" w:rsidRDefault="00165E76" w:rsidP="00165E76">
      <w:pPr>
        <w:jc w:val="center"/>
        <w:rPr>
          <w:b/>
          <w:sz w:val="28"/>
          <w:szCs w:val="28"/>
        </w:rPr>
      </w:pPr>
      <w:r w:rsidRPr="009D7496">
        <w:rPr>
          <w:b/>
          <w:sz w:val="28"/>
          <w:szCs w:val="28"/>
        </w:rPr>
        <w:t xml:space="preserve">Выявленные нарушения, принятые меры, </w:t>
      </w:r>
    </w:p>
    <w:p w:rsidR="00165E76" w:rsidRPr="009D7496" w:rsidRDefault="00165E76" w:rsidP="00165E76">
      <w:pPr>
        <w:jc w:val="center"/>
        <w:rPr>
          <w:b/>
          <w:sz w:val="28"/>
          <w:szCs w:val="28"/>
        </w:rPr>
      </w:pPr>
      <w:r w:rsidRPr="009D7496">
        <w:rPr>
          <w:b/>
          <w:sz w:val="28"/>
          <w:szCs w:val="28"/>
        </w:rPr>
        <w:t>устранение выявленных нарушений</w:t>
      </w:r>
      <w:r w:rsidR="000D2708" w:rsidRPr="009D7496">
        <w:rPr>
          <w:b/>
          <w:sz w:val="28"/>
          <w:szCs w:val="28"/>
        </w:rPr>
        <w:t xml:space="preserve">                                                                                  </w:t>
      </w:r>
    </w:p>
    <w:p w:rsidR="009D7496" w:rsidRPr="009D7496" w:rsidRDefault="00165E76" w:rsidP="00165E76">
      <w:pPr>
        <w:jc w:val="center"/>
        <w:rPr>
          <w:b/>
          <w:sz w:val="28"/>
          <w:szCs w:val="28"/>
        </w:rPr>
      </w:pPr>
      <w:r w:rsidRPr="009D7496">
        <w:rPr>
          <w:b/>
          <w:sz w:val="28"/>
          <w:szCs w:val="28"/>
        </w:rPr>
        <w:t xml:space="preserve"> в результате мероприятий финансового контроля</w:t>
      </w:r>
      <w:r w:rsidR="00B16847" w:rsidRPr="009D7496">
        <w:rPr>
          <w:b/>
          <w:sz w:val="28"/>
          <w:szCs w:val="28"/>
        </w:rPr>
        <w:t xml:space="preserve"> </w:t>
      </w:r>
    </w:p>
    <w:p w:rsidR="00165E76" w:rsidRPr="009D7496" w:rsidRDefault="00B16847" w:rsidP="00165E76">
      <w:pPr>
        <w:jc w:val="center"/>
        <w:rPr>
          <w:b/>
          <w:sz w:val="28"/>
          <w:szCs w:val="28"/>
        </w:rPr>
      </w:pPr>
      <w:r w:rsidRPr="009D7496">
        <w:rPr>
          <w:b/>
          <w:sz w:val="28"/>
          <w:szCs w:val="28"/>
        </w:rPr>
        <w:t xml:space="preserve">за </w:t>
      </w:r>
      <w:r w:rsidR="002463C5">
        <w:rPr>
          <w:b/>
          <w:sz w:val="28"/>
          <w:szCs w:val="28"/>
        </w:rPr>
        <w:t>1</w:t>
      </w:r>
      <w:r w:rsidR="009D7496" w:rsidRPr="009D7496">
        <w:rPr>
          <w:b/>
          <w:sz w:val="28"/>
          <w:szCs w:val="28"/>
        </w:rPr>
        <w:t xml:space="preserve"> квартал </w:t>
      </w:r>
      <w:r w:rsidRPr="009D7496">
        <w:rPr>
          <w:b/>
          <w:sz w:val="28"/>
          <w:szCs w:val="28"/>
        </w:rPr>
        <w:t>201</w:t>
      </w:r>
      <w:r w:rsidR="002463C5">
        <w:rPr>
          <w:b/>
          <w:sz w:val="28"/>
          <w:szCs w:val="28"/>
        </w:rPr>
        <w:t>8</w:t>
      </w:r>
      <w:r w:rsidRPr="009D7496">
        <w:rPr>
          <w:b/>
          <w:sz w:val="28"/>
          <w:szCs w:val="28"/>
        </w:rPr>
        <w:t xml:space="preserve"> год</w:t>
      </w:r>
      <w:r w:rsidR="009D7496" w:rsidRPr="009D7496">
        <w:rPr>
          <w:b/>
          <w:sz w:val="28"/>
          <w:szCs w:val="28"/>
        </w:rPr>
        <w:t>а</w:t>
      </w:r>
    </w:p>
    <w:p w:rsidR="000D2708" w:rsidRDefault="000D2708" w:rsidP="00165E76">
      <w:pPr>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005"/>
        <w:gridCol w:w="1701"/>
        <w:gridCol w:w="7088"/>
        <w:gridCol w:w="2551"/>
        <w:gridCol w:w="1843"/>
      </w:tblGrid>
      <w:tr w:rsidR="00815F7D" w:rsidRPr="00AE7422" w:rsidTr="002B600F">
        <w:trPr>
          <w:trHeight w:val="1362"/>
        </w:trPr>
        <w:tc>
          <w:tcPr>
            <w:tcW w:w="513" w:type="dxa"/>
          </w:tcPr>
          <w:p w:rsidR="00815F7D" w:rsidRPr="009314C8" w:rsidRDefault="00815F7D" w:rsidP="00AE7422">
            <w:pPr>
              <w:jc w:val="center"/>
              <w:rPr>
                <w:b/>
              </w:rPr>
            </w:pPr>
            <w:r w:rsidRPr="009314C8">
              <w:rPr>
                <w:b/>
              </w:rPr>
              <w:t>№ п/п</w:t>
            </w:r>
          </w:p>
        </w:tc>
        <w:tc>
          <w:tcPr>
            <w:tcW w:w="2005" w:type="dxa"/>
          </w:tcPr>
          <w:p w:rsidR="00815F7D" w:rsidRPr="009314C8" w:rsidRDefault="00815F7D" w:rsidP="00AE7422">
            <w:pPr>
              <w:jc w:val="center"/>
              <w:rPr>
                <w:b/>
              </w:rPr>
            </w:pPr>
            <w:r w:rsidRPr="009314C8">
              <w:rPr>
                <w:b/>
              </w:rPr>
              <w:t>Наименование учреждения, предприятия, органа местного самоуправления</w:t>
            </w:r>
          </w:p>
        </w:tc>
        <w:tc>
          <w:tcPr>
            <w:tcW w:w="1701" w:type="dxa"/>
          </w:tcPr>
          <w:p w:rsidR="00815F7D" w:rsidRPr="009314C8" w:rsidRDefault="00815F7D" w:rsidP="00AE7422">
            <w:pPr>
              <w:jc w:val="center"/>
              <w:rPr>
                <w:b/>
              </w:rPr>
            </w:pPr>
            <w:r w:rsidRPr="009314C8">
              <w:rPr>
                <w:b/>
              </w:rPr>
              <w:t>Период ревизии</w:t>
            </w:r>
          </w:p>
        </w:tc>
        <w:tc>
          <w:tcPr>
            <w:tcW w:w="7088" w:type="dxa"/>
          </w:tcPr>
          <w:p w:rsidR="00815F7D" w:rsidRPr="009314C8" w:rsidRDefault="00815F7D" w:rsidP="00AE7422">
            <w:pPr>
              <w:jc w:val="center"/>
              <w:rPr>
                <w:b/>
              </w:rPr>
            </w:pPr>
            <w:r w:rsidRPr="009314C8">
              <w:rPr>
                <w:b/>
              </w:rPr>
              <w:t>Выявленные нарушения финансовой дисциплины</w:t>
            </w:r>
          </w:p>
        </w:tc>
        <w:tc>
          <w:tcPr>
            <w:tcW w:w="2551" w:type="dxa"/>
          </w:tcPr>
          <w:p w:rsidR="00815F7D" w:rsidRPr="009314C8" w:rsidRDefault="00815F7D" w:rsidP="00AE7422">
            <w:pPr>
              <w:jc w:val="center"/>
              <w:rPr>
                <w:b/>
              </w:rPr>
            </w:pPr>
            <w:r w:rsidRPr="009314C8">
              <w:rPr>
                <w:b/>
              </w:rPr>
              <w:t>Принятые меры</w:t>
            </w:r>
          </w:p>
        </w:tc>
        <w:tc>
          <w:tcPr>
            <w:tcW w:w="1843" w:type="dxa"/>
          </w:tcPr>
          <w:p w:rsidR="00815F7D" w:rsidRPr="009314C8" w:rsidRDefault="00815F7D" w:rsidP="00AE7422">
            <w:pPr>
              <w:jc w:val="center"/>
              <w:rPr>
                <w:b/>
              </w:rPr>
            </w:pPr>
            <w:r w:rsidRPr="009314C8">
              <w:rPr>
                <w:b/>
              </w:rPr>
              <w:t>Устранены выявленные нарушения</w:t>
            </w:r>
          </w:p>
        </w:tc>
      </w:tr>
      <w:tr w:rsidR="00664511" w:rsidRPr="005811AE" w:rsidTr="002B600F">
        <w:trPr>
          <w:trHeight w:val="840"/>
        </w:trPr>
        <w:tc>
          <w:tcPr>
            <w:tcW w:w="513" w:type="dxa"/>
          </w:tcPr>
          <w:p w:rsidR="00664511" w:rsidRPr="005811AE" w:rsidRDefault="00664511" w:rsidP="00BC7E74">
            <w:pPr>
              <w:jc w:val="center"/>
              <w:rPr>
                <w:sz w:val="24"/>
                <w:szCs w:val="24"/>
              </w:rPr>
            </w:pPr>
            <w:r>
              <w:rPr>
                <w:sz w:val="24"/>
                <w:szCs w:val="24"/>
              </w:rPr>
              <w:t>1</w:t>
            </w:r>
          </w:p>
        </w:tc>
        <w:tc>
          <w:tcPr>
            <w:tcW w:w="2005" w:type="dxa"/>
          </w:tcPr>
          <w:p w:rsidR="00664511" w:rsidRPr="005811AE" w:rsidRDefault="00664511" w:rsidP="00BC7E74">
            <w:pPr>
              <w:jc w:val="center"/>
              <w:rPr>
                <w:sz w:val="24"/>
                <w:szCs w:val="24"/>
              </w:rPr>
            </w:pPr>
            <w:r w:rsidRPr="005811AE">
              <w:rPr>
                <w:sz w:val="24"/>
                <w:szCs w:val="24"/>
              </w:rPr>
              <w:t>Администрация Вытегорского муниципального района</w:t>
            </w:r>
          </w:p>
        </w:tc>
        <w:tc>
          <w:tcPr>
            <w:tcW w:w="1701" w:type="dxa"/>
          </w:tcPr>
          <w:p w:rsidR="00664511" w:rsidRDefault="002463C5" w:rsidP="002463C5">
            <w:pPr>
              <w:jc w:val="center"/>
              <w:rPr>
                <w:sz w:val="24"/>
                <w:szCs w:val="24"/>
              </w:rPr>
            </w:pPr>
            <w:r>
              <w:rPr>
                <w:sz w:val="24"/>
                <w:szCs w:val="24"/>
              </w:rPr>
              <w:t>01.02.2018-27.02</w:t>
            </w:r>
            <w:r w:rsidR="00664511">
              <w:rPr>
                <w:sz w:val="24"/>
                <w:szCs w:val="24"/>
              </w:rPr>
              <w:t>.201</w:t>
            </w:r>
            <w:r>
              <w:rPr>
                <w:sz w:val="24"/>
                <w:szCs w:val="24"/>
              </w:rPr>
              <w:t>8</w:t>
            </w:r>
          </w:p>
        </w:tc>
        <w:tc>
          <w:tcPr>
            <w:tcW w:w="7088" w:type="dxa"/>
          </w:tcPr>
          <w:p w:rsidR="002463C5" w:rsidRDefault="00C30E01" w:rsidP="002463C5">
            <w:pPr>
              <w:pStyle w:val="ConsPlusNonformat"/>
              <w:jc w:val="both"/>
              <w:rPr>
                <w:rFonts w:ascii="Times New Roman" w:hAnsi="Times New Roman" w:cs="Times New Roman"/>
                <w:sz w:val="24"/>
                <w:szCs w:val="24"/>
              </w:rPr>
            </w:pPr>
            <w:r w:rsidRPr="002463C5">
              <w:rPr>
                <w:sz w:val="24"/>
                <w:szCs w:val="24"/>
                <w:shd w:val="clear" w:color="auto" w:fill="FFFFFF"/>
              </w:rPr>
              <w:t xml:space="preserve"> </w:t>
            </w:r>
            <w:proofErr w:type="gramStart"/>
            <w:r w:rsidR="002463C5" w:rsidRPr="002463C5">
              <w:rPr>
                <w:rFonts w:ascii="Times New Roman" w:hAnsi="Times New Roman" w:cs="Times New Roman"/>
                <w:sz w:val="24"/>
                <w:szCs w:val="24"/>
              </w:rPr>
              <w:t xml:space="preserve">В результате контрольного мероприятия по вопросам  целевого использования финансовых средств (межбюджетных трансфертов), предоставляемых из бюджета Администрации сельского поселения Алмозерское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проверено расходование средств в сумме 1 465 825 руб. 00 коп. </w:t>
            </w:r>
            <w:proofErr w:type="gramEnd"/>
          </w:p>
          <w:p w:rsidR="002463C5" w:rsidRPr="002463C5" w:rsidRDefault="002463C5" w:rsidP="002463C5">
            <w:pPr>
              <w:pStyle w:val="ConsPlusNonformat"/>
              <w:jc w:val="both"/>
              <w:rPr>
                <w:rFonts w:ascii="Times New Roman" w:hAnsi="Times New Roman" w:cs="Times New Roman"/>
                <w:sz w:val="24"/>
                <w:szCs w:val="24"/>
              </w:rPr>
            </w:pPr>
            <w:r w:rsidRPr="002463C5">
              <w:rPr>
                <w:rFonts w:ascii="Times New Roman" w:hAnsi="Times New Roman" w:cs="Times New Roman"/>
                <w:sz w:val="24"/>
                <w:szCs w:val="24"/>
              </w:rPr>
              <w:t>В нарушение подпункта 2.4.3. пункта 2.4. статьи 2 Соглашения о передаче полномочий от 30 декабря  2016 года в отчетах о ходе исполнения полномочий за 1 – 4 квартал 2017 года отсутствует информация о расходовании   финансовых сре</w:t>
            </w:r>
            <w:proofErr w:type="gramStart"/>
            <w:r w:rsidRPr="002463C5">
              <w:rPr>
                <w:rFonts w:ascii="Times New Roman" w:hAnsi="Times New Roman" w:cs="Times New Roman"/>
                <w:sz w:val="24"/>
                <w:szCs w:val="24"/>
              </w:rPr>
              <w:t>дств в с</w:t>
            </w:r>
            <w:proofErr w:type="gramEnd"/>
            <w:r w:rsidRPr="002463C5">
              <w:rPr>
                <w:rFonts w:ascii="Times New Roman" w:hAnsi="Times New Roman" w:cs="Times New Roman"/>
                <w:sz w:val="24"/>
                <w:szCs w:val="24"/>
              </w:rPr>
              <w:t>умме 200 525 руб. 00 коп.</w:t>
            </w:r>
          </w:p>
          <w:p w:rsidR="002463C5" w:rsidRPr="008F2780" w:rsidRDefault="002463C5" w:rsidP="002463C5">
            <w:pPr>
              <w:pStyle w:val="ConsPlusNonformat"/>
              <w:jc w:val="both"/>
              <w:rPr>
                <w:rFonts w:ascii="Times New Roman" w:hAnsi="Times New Roman" w:cs="Times New Roman"/>
                <w:sz w:val="28"/>
                <w:szCs w:val="28"/>
              </w:rPr>
            </w:pPr>
            <w:r w:rsidRPr="002463C5">
              <w:rPr>
                <w:rFonts w:ascii="Times New Roman" w:hAnsi="Times New Roman" w:cs="Times New Roman"/>
                <w:sz w:val="24"/>
                <w:szCs w:val="24"/>
              </w:rPr>
              <w:t>В нарушение подпункта 2.4.3. пункта 2.4. статьи 2 Соглашения о передаче полномочий от 30 декабря  2016 года в отчете о ходе исполнения полномочий за  3 квартал 2017 года представлена недостоверная информация о количестве проведенных мероприятий и количестве мероприятий проведенных на платной основе.</w:t>
            </w:r>
            <w:r w:rsidRPr="008F2780">
              <w:rPr>
                <w:rFonts w:ascii="Times New Roman" w:hAnsi="Times New Roman" w:cs="Times New Roman"/>
                <w:sz w:val="28"/>
                <w:szCs w:val="28"/>
              </w:rPr>
              <w:t xml:space="preserve"> </w:t>
            </w:r>
          </w:p>
          <w:p w:rsidR="002C5E8E" w:rsidRDefault="002C5E8E" w:rsidP="002C5E8E">
            <w:pPr>
              <w:spacing w:line="360" w:lineRule="auto"/>
              <w:ind w:firstLine="709"/>
              <w:jc w:val="both"/>
              <w:rPr>
                <w:sz w:val="28"/>
                <w:szCs w:val="28"/>
              </w:rPr>
            </w:pPr>
          </w:p>
          <w:p w:rsidR="00664511" w:rsidRPr="005811AE" w:rsidRDefault="00664511" w:rsidP="002C5E8E">
            <w:pPr>
              <w:jc w:val="both"/>
              <w:rPr>
                <w:sz w:val="24"/>
                <w:szCs w:val="24"/>
              </w:rPr>
            </w:pPr>
          </w:p>
        </w:tc>
        <w:tc>
          <w:tcPr>
            <w:tcW w:w="2551" w:type="dxa"/>
          </w:tcPr>
          <w:p w:rsidR="00664511" w:rsidRPr="005811AE" w:rsidRDefault="007E5A87" w:rsidP="002B600F">
            <w:pPr>
              <w:rPr>
                <w:sz w:val="24"/>
                <w:szCs w:val="24"/>
              </w:rPr>
            </w:pPr>
            <w:r>
              <w:rPr>
                <w:sz w:val="24"/>
                <w:szCs w:val="24"/>
              </w:rPr>
              <w:t>Проведен</w:t>
            </w:r>
            <w:r w:rsidR="002C5E8E">
              <w:rPr>
                <w:sz w:val="24"/>
                <w:szCs w:val="24"/>
              </w:rPr>
              <w:t xml:space="preserve">а комиссия </w:t>
            </w:r>
            <w:r w:rsidR="00C30E01">
              <w:rPr>
                <w:sz w:val="24"/>
                <w:szCs w:val="24"/>
              </w:rPr>
              <w:t>по рассмотрению письменных пояснений и замечаний объектов внутреннего муниципального финансового контроля по актам проверок</w:t>
            </w:r>
            <w:r w:rsidR="00664511" w:rsidRPr="005811AE">
              <w:rPr>
                <w:sz w:val="24"/>
                <w:szCs w:val="24"/>
              </w:rPr>
              <w:t>.</w:t>
            </w:r>
          </w:p>
          <w:p w:rsidR="00664511" w:rsidRPr="005811AE" w:rsidRDefault="00664511" w:rsidP="002B600F">
            <w:pPr>
              <w:rPr>
                <w:sz w:val="24"/>
                <w:szCs w:val="24"/>
              </w:rPr>
            </w:pPr>
          </w:p>
        </w:tc>
        <w:tc>
          <w:tcPr>
            <w:tcW w:w="1843" w:type="dxa"/>
          </w:tcPr>
          <w:p w:rsidR="00664511" w:rsidRPr="005811AE" w:rsidRDefault="00664511" w:rsidP="002463C5">
            <w:pPr>
              <w:jc w:val="both"/>
              <w:rPr>
                <w:sz w:val="24"/>
                <w:szCs w:val="24"/>
              </w:rPr>
            </w:pPr>
            <w:r w:rsidRPr="00C30E01">
              <w:rPr>
                <w:sz w:val="24"/>
                <w:szCs w:val="24"/>
              </w:rPr>
              <w:t xml:space="preserve">Информация об устранении выявленных нарушений представлена </w:t>
            </w:r>
            <w:r w:rsidR="002463C5">
              <w:rPr>
                <w:sz w:val="24"/>
                <w:szCs w:val="24"/>
              </w:rPr>
              <w:t>16.</w:t>
            </w:r>
            <w:r w:rsidR="00C30E01" w:rsidRPr="00C30E01">
              <w:rPr>
                <w:sz w:val="24"/>
                <w:szCs w:val="24"/>
              </w:rPr>
              <w:t>0</w:t>
            </w:r>
            <w:r w:rsidR="002463C5">
              <w:rPr>
                <w:sz w:val="24"/>
                <w:szCs w:val="24"/>
              </w:rPr>
              <w:t>3</w:t>
            </w:r>
            <w:r w:rsidR="00C30E01" w:rsidRPr="00C30E01">
              <w:rPr>
                <w:sz w:val="24"/>
                <w:szCs w:val="24"/>
              </w:rPr>
              <w:t>.201</w:t>
            </w:r>
            <w:r w:rsidR="002463C5">
              <w:rPr>
                <w:sz w:val="24"/>
                <w:szCs w:val="24"/>
              </w:rPr>
              <w:t>8</w:t>
            </w:r>
          </w:p>
        </w:tc>
      </w:tr>
      <w:tr w:rsidR="002D560A" w:rsidRPr="005811AE" w:rsidTr="002B600F">
        <w:trPr>
          <w:trHeight w:val="840"/>
        </w:trPr>
        <w:tc>
          <w:tcPr>
            <w:tcW w:w="513" w:type="dxa"/>
          </w:tcPr>
          <w:p w:rsidR="002D560A" w:rsidRPr="00CF4E73" w:rsidRDefault="002D560A" w:rsidP="00BC7E74">
            <w:pPr>
              <w:jc w:val="center"/>
              <w:rPr>
                <w:sz w:val="24"/>
                <w:szCs w:val="24"/>
              </w:rPr>
            </w:pPr>
            <w:r w:rsidRPr="00CF4E73">
              <w:rPr>
                <w:sz w:val="24"/>
                <w:szCs w:val="24"/>
              </w:rPr>
              <w:lastRenderedPageBreak/>
              <w:t>2.</w:t>
            </w:r>
          </w:p>
        </w:tc>
        <w:tc>
          <w:tcPr>
            <w:tcW w:w="2005" w:type="dxa"/>
          </w:tcPr>
          <w:p w:rsidR="002D560A" w:rsidRPr="00CF4E73" w:rsidRDefault="00C30E01" w:rsidP="00BC7E74">
            <w:pPr>
              <w:jc w:val="center"/>
              <w:rPr>
                <w:sz w:val="24"/>
                <w:szCs w:val="24"/>
              </w:rPr>
            </w:pPr>
            <w:r w:rsidRPr="00CF4E73">
              <w:rPr>
                <w:sz w:val="24"/>
                <w:szCs w:val="24"/>
              </w:rPr>
              <w:t>Администрация Вытегорского муниципального района</w:t>
            </w:r>
          </w:p>
        </w:tc>
        <w:tc>
          <w:tcPr>
            <w:tcW w:w="1701" w:type="dxa"/>
          </w:tcPr>
          <w:p w:rsidR="002D560A" w:rsidRPr="00C30E01" w:rsidRDefault="002463C5" w:rsidP="00BC7E74">
            <w:pPr>
              <w:jc w:val="center"/>
              <w:rPr>
                <w:sz w:val="24"/>
                <w:szCs w:val="24"/>
                <w:highlight w:val="yellow"/>
              </w:rPr>
            </w:pPr>
            <w:r>
              <w:rPr>
                <w:sz w:val="24"/>
                <w:szCs w:val="24"/>
              </w:rPr>
              <w:t>19.02.2018- 13.</w:t>
            </w:r>
            <w:r w:rsidR="00C30E01" w:rsidRPr="00C30E01">
              <w:rPr>
                <w:sz w:val="24"/>
                <w:szCs w:val="24"/>
              </w:rPr>
              <w:t>0</w:t>
            </w:r>
            <w:r>
              <w:rPr>
                <w:sz w:val="24"/>
                <w:szCs w:val="24"/>
              </w:rPr>
              <w:t>3</w:t>
            </w:r>
            <w:r w:rsidR="002D560A" w:rsidRPr="00C30E01">
              <w:rPr>
                <w:sz w:val="24"/>
                <w:szCs w:val="24"/>
              </w:rPr>
              <w:t>.201</w:t>
            </w:r>
            <w:r>
              <w:rPr>
                <w:sz w:val="24"/>
                <w:szCs w:val="24"/>
              </w:rPr>
              <w:t>8</w:t>
            </w:r>
          </w:p>
        </w:tc>
        <w:tc>
          <w:tcPr>
            <w:tcW w:w="7088" w:type="dxa"/>
          </w:tcPr>
          <w:p w:rsidR="002463C5" w:rsidRDefault="002463C5" w:rsidP="002463C5">
            <w:pPr>
              <w:pStyle w:val="ConsPlusNonformat"/>
              <w:jc w:val="both"/>
              <w:rPr>
                <w:rFonts w:ascii="Times New Roman" w:hAnsi="Times New Roman" w:cs="Times New Roman"/>
                <w:sz w:val="24"/>
                <w:szCs w:val="24"/>
              </w:rPr>
            </w:pPr>
            <w:r w:rsidRPr="002463C5">
              <w:rPr>
                <w:rFonts w:ascii="Times New Roman" w:hAnsi="Times New Roman" w:cs="Times New Roman"/>
                <w:sz w:val="24"/>
                <w:szCs w:val="24"/>
              </w:rPr>
              <w:t>В результате контрольного мероприятия проверено расходование сре</w:t>
            </w:r>
            <w:proofErr w:type="gramStart"/>
            <w:r w:rsidRPr="002463C5">
              <w:rPr>
                <w:rFonts w:ascii="Times New Roman" w:hAnsi="Times New Roman" w:cs="Times New Roman"/>
                <w:sz w:val="24"/>
                <w:szCs w:val="24"/>
              </w:rPr>
              <w:t>дств в с</w:t>
            </w:r>
            <w:proofErr w:type="gramEnd"/>
            <w:r w:rsidRPr="002463C5">
              <w:rPr>
                <w:rFonts w:ascii="Times New Roman" w:hAnsi="Times New Roman" w:cs="Times New Roman"/>
                <w:sz w:val="24"/>
                <w:szCs w:val="24"/>
              </w:rPr>
              <w:t xml:space="preserve">умме 1 838 911 руб. 57 коп. </w:t>
            </w:r>
          </w:p>
          <w:p w:rsidR="002463C5" w:rsidRPr="002463C5" w:rsidRDefault="002463C5" w:rsidP="002463C5">
            <w:pPr>
              <w:pStyle w:val="ConsPlusNonformat"/>
              <w:jc w:val="both"/>
              <w:rPr>
                <w:rFonts w:ascii="Times New Roman" w:hAnsi="Times New Roman" w:cs="Times New Roman"/>
                <w:sz w:val="24"/>
                <w:szCs w:val="24"/>
                <w:highlight w:val="yellow"/>
              </w:rPr>
            </w:pPr>
            <w:r w:rsidRPr="002463C5">
              <w:rPr>
                <w:rFonts w:ascii="Times New Roman" w:hAnsi="Times New Roman" w:cs="Times New Roman"/>
                <w:sz w:val="24"/>
                <w:szCs w:val="24"/>
              </w:rPr>
              <w:t xml:space="preserve"> По результатам проведения контрольного мероприятия нарушений не выявлено.</w:t>
            </w:r>
          </w:p>
          <w:p w:rsidR="002463C5" w:rsidRPr="002463C5" w:rsidRDefault="002463C5" w:rsidP="002463C5">
            <w:pPr>
              <w:jc w:val="both"/>
              <w:rPr>
                <w:sz w:val="24"/>
                <w:szCs w:val="24"/>
              </w:rPr>
            </w:pPr>
            <w:r w:rsidRPr="002463C5">
              <w:rPr>
                <w:sz w:val="24"/>
                <w:szCs w:val="24"/>
              </w:rPr>
              <w:t xml:space="preserve"> Финансовое управление Администрации Вытегорского муниципального района рекомендует отчёты о ходе исполнения полномочий составлять в соответствии с утвержденной формой, заполняя все графы таблицы. </w:t>
            </w:r>
          </w:p>
          <w:p w:rsidR="00C30E01" w:rsidRPr="002463C5" w:rsidRDefault="00C30E01" w:rsidP="002463C5">
            <w:pPr>
              <w:ind w:firstLine="720"/>
              <w:jc w:val="both"/>
              <w:rPr>
                <w:sz w:val="24"/>
                <w:szCs w:val="24"/>
              </w:rPr>
            </w:pPr>
          </w:p>
          <w:p w:rsidR="00C30E01" w:rsidRDefault="00C30E01" w:rsidP="00A10391">
            <w:pPr>
              <w:pStyle w:val="a7"/>
              <w:tabs>
                <w:tab w:val="left" w:pos="709"/>
                <w:tab w:val="left" w:pos="1134"/>
              </w:tabs>
              <w:ind w:left="0"/>
              <w:contextualSpacing/>
              <w:jc w:val="both"/>
              <w:rPr>
                <w:sz w:val="24"/>
                <w:szCs w:val="24"/>
                <w:highlight w:val="yellow"/>
              </w:rPr>
            </w:pPr>
          </w:p>
          <w:p w:rsidR="002D560A" w:rsidRPr="00C30E01" w:rsidRDefault="002D560A" w:rsidP="00C30E01">
            <w:pPr>
              <w:pStyle w:val="a7"/>
              <w:tabs>
                <w:tab w:val="left" w:pos="709"/>
                <w:tab w:val="left" w:pos="1134"/>
              </w:tabs>
              <w:ind w:left="0"/>
              <w:contextualSpacing/>
              <w:jc w:val="both"/>
              <w:rPr>
                <w:sz w:val="24"/>
                <w:szCs w:val="24"/>
                <w:highlight w:val="yellow"/>
              </w:rPr>
            </w:pPr>
          </w:p>
        </w:tc>
        <w:tc>
          <w:tcPr>
            <w:tcW w:w="2551" w:type="dxa"/>
          </w:tcPr>
          <w:p w:rsidR="002D560A" w:rsidRPr="005811AE" w:rsidRDefault="00A10391" w:rsidP="00664511">
            <w:pPr>
              <w:jc w:val="both"/>
              <w:rPr>
                <w:sz w:val="24"/>
                <w:szCs w:val="24"/>
              </w:rPr>
            </w:pPr>
            <w:r>
              <w:rPr>
                <w:sz w:val="24"/>
                <w:szCs w:val="24"/>
              </w:rPr>
              <w:t>-</w:t>
            </w:r>
          </w:p>
        </w:tc>
        <w:tc>
          <w:tcPr>
            <w:tcW w:w="1843" w:type="dxa"/>
          </w:tcPr>
          <w:p w:rsidR="002D560A" w:rsidRPr="005811AE" w:rsidRDefault="00A10391" w:rsidP="00AB5F8B">
            <w:pPr>
              <w:jc w:val="both"/>
              <w:rPr>
                <w:sz w:val="24"/>
                <w:szCs w:val="24"/>
              </w:rPr>
            </w:pPr>
            <w:r>
              <w:rPr>
                <w:sz w:val="24"/>
                <w:szCs w:val="24"/>
              </w:rPr>
              <w:t>-</w:t>
            </w:r>
          </w:p>
        </w:tc>
      </w:tr>
    </w:tbl>
    <w:p w:rsidR="00E175DD" w:rsidRDefault="00E175DD" w:rsidP="00CB00BA">
      <w:pPr>
        <w:jc w:val="both"/>
        <w:rPr>
          <w:sz w:val="24"/>
          <w:szCs w:val="24"/>
        </w:rPr>
      </w:pPr>
    </w:p>
    <w:p w:rsidR="003656F3" w:rsidRDefault="003656F3" w:rsidP="00CB00BA">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809"/>
        <w:gridCol w:w="3932"/>
        <w:gridCol w:w="8840"/>
      </w:tblGrid>
      <w:tr w:rsidR="003656F3" w:rsidRPr="003656F3" w:rsidTr="003656F3">
        <w:trPr>
          <w:trHeight w:val="312"/>
        </w:trPr>
        <w:tc>
          <w:tcPr>
            <w:tcW w:w="158" w:type="pct"/>
            <w:tcBorders>
              <w:top w:val="nil"/>
              <w:left w:val="nil"/>
              <w:bottom w:val="nil"/>
              <w:right w:val="nil"/>
            </w:tcBorders>
            <w:shd w:val="clear" w:color="auto" w:fill="auto"/>
            <w:noWrap/>
            <w:hideMark/>
          </w:tcPr>
          <w:p w:rsidR="003656F3" w:rsidRPr="003656F3" w:rsidRDefault="003656F3" w:rsidP="003656F3">
            <w:pPr>
              <w:jc w:val="center"/>
            </w:pPr>
          </w:p>
        </w:tc>
        <w:tc>
          <w:tcPr>
            <w:tcW w:w="4842" w:type="pct"/>
            <w:gridSpan w:val="3"/>
            <w:tcBorders>
              <w:top w:val="nil"/>
              <w:left w:val="nil"/>
              <w:bottom w:val="nil"/>
              <w:right w:val="nil"/>
            </w:tcBorders>
            <w:shd w:val="clear" w:color="auto" w:fill="auto"/>
            <w:noWrap/>
            <w:hideMark/>
          </w:tcPr>
          <w:p w:rsidR="003656F3" w:rsidRPr="003656F3" w:rsidRDefault="003656F3" w:rsidP="003656F3">
            <w:pPr>
              <w:jc w:val="right"/>
              <w:rPr>
                <w:sz w:val="24"/>
                <w:szCs w:val="24"/>
              </w:rPr>
            </w:pPr>
            <w:r w:rsidRPr="003656F3">
              <w:rPr>
                <w:sz w:val="24"/>
                <w:szCs w:val="24"/>
              </w:rPr>
              <w:t>таблица 3</w:t>
            </w:r>
          </w:p>
        </w:tc>
      </w:tr>
      <w:tr w:rsidR="003656F3" w:rsidRPr="003656F3" w:rsidTr="003656F3">
        <w:trPr>
          <w:trHeight w:val="264"/>
        </w:trPr>
        <w:tc>
          <w:tcPr>
            <w:tcW w:w="158" w:type="pct"/>
            <w:tcBorders>
              <w:top w:val="nil"/>
              <w:left w:val="nil"/>
              <w:bottom w:val="nil"/>
              <w:right w:val="nil"/>
            </w:tcBorders>
            <w:shd w:val="clear" w:color="auto" w:fill="auto"/>
            <w:noWrap/>
            <w:hideMark/>
          </w:tcPr>
          <w:p w:rsidR="003656F3" w:rsidRPr="003656F3" w:rsidRDefault="003656F3" w:rsidP="003656F3">
            <w:pPr>
              <w:jc w:val="center"/>
            </w:pPr>
          </w:p>
        </w:tc>
        <w:tc>
          <w:tcPr>
            <w:tcW w:w="873" w:type="pct"/>
            <w:tcBorders>
              <w:top w:val="nil"/>
              <w:left w:val="nil"/>
              <w:bottom w:val="nil"/>
              <w:right w:val="nil"/>
            </w:tcBorders>
            <w:shd w:val="clear" w:color="auto" w:fill="auto"/>
            <w:noWrap/>
            <w:hideMark/>
          </w:tcPr>
          <w:p w:rsidR="003656F3" w:rsidRPr="003656F3" w:rsidRDefault="003656F3" w:rsidP="003656F3"/>
        </w:tc>
        <w:tc>
          <w:tcPr>
            <w:tcW w:w="1222" w:type="pct"/>
            <w:tcBorders>
              <w:top w:val="nil"/>
              <w:left w:val="nil"/>
              <w:bottom w:val="nil"/>
              <w:right w:val="nil"/>
            </w:tcBorders>
            <w:shd w:val="clear" w:color="auto" w:fill="auto"/>
            <w:noWrap/>
            <w:hideMark/>
          </w:tcPr>
          <w:p w:rsidR="003656F3" w:rsidRPr="003656F3" w:rsidRDefault="003656F3" w:rsidP="003656F3"/>
        </w:tc>
        <w:tc>
          <w:tcPr>
            <w:tcW w:w="2748" w:type="pct"/>
            <w:tcBorders>
              <w:top w:val="nil"/>
              <w:left w:val="nil"/>
              <w:bottom w:val="nil"/>
              <w:right w:val="nil"/>
            </w:tcBorders>
            <w:shd w:val="clear" w:color="auto" w:fill="auto"/>
            <w:hideMark/>
          </w:tcPr>
          <w:p w:rsidR="003656F3" w:rsidRPr="003656F3" w:rsidRDefault="003656F3" w:rsidP="003656F3">
            <w:pPr>
              <w:jc w:val="both"/>
            </w:pPr>
          </w:p>
        </w:tc>
      </w:tr>
      <w:tr w:rsidR="003656F3" w:rsidRPr="003656F3" w:rsidTr="003656F3">
        <w:trPr>
          <w:trHeight w:val="360"/>
        </w:trPr>
        <w:tc>
          <w:tcPr>
            <w:tcW w:w="5000" w:type="pct"/>
            <w:gridSpan w:val="4"/>
            <w:tcBorders>
              <w:top w:val="nil"/>
              <w:left w:val="nil"/>
              <w:bottom w:val="nil"/>
              <w:right w:val="nil"/>
            </w:tcBorders>
            <w:shd w:val="clear" w:color="auto" w:fill="auto"/>
            <w:hideMark/>
          </w:tcPr>
          <w:p w:rsidR="003656F3" w:rsidRPr="003656F3" w:rsidRDefault="003656F3" w:rsidP="003656F3">
            <w:pPr>
              <w:jc w:val="center"/>
              <w:rPr>
                <w:b/>
                <w:bCs/>
                <w:sz w:val="28"/>
                <w:szCs w:val="28"/>
              </w:rPr>
            </w:pPr>
            <w:r w:rsidRPr="003656F3">
              <w:rPr>
                <w:b/>
                <w:bCs/>
                <w:sz w:val="28"/>
                <w:szCs w:val="28"/>
              </w:rPr>
              <w:t>Нарушения, выявленные в результате проверок соблюдения законодательства</w:t>
            </w:r>
          </w:p>
        </w:tc>
      </w:tr>
      <w:tr w:rsidR="003656F3" w:rsidRPr="003656F3" w:rsidTr="003656F3">
        <w:trPr>
          <w:trHeight w:val="360"/>
        </w:trPr>
        <w:tc>
          <w:tcPr>
            <w:tcW w:w="5000" w:type="pct"/>
            <w:gridSpan w:val="4"/>
            <w:tcBorders>
              <w:top w:val="nil"/>
              <w:left w:val="nil"/>
              <w:bottom w:val="nil"/>
              <w:right w:val="nil"/>
            </w:tcBorders>
            <w:shd w:val="clear" w:color="auto" w:fill="auto"/>
            <w:hideMark/>
          </w:tcPr>
          <w:p w:rsidR="003656F3" w:rsidRPr="003656F3" w:rsidRDefault="003656F3" w:rsidP="003656F3">
            <w:pPr>
              <w:jc w:val="center"/>
              <w:rPr>
                <w:b/>
                <w:bCs/>
                <w:sz w:val="28"/>
                <w:szCs w:val="28"/>
              </w:rPr>
            </w:pPr>
            <w:r w:rsidRPr="003656F3">
              <w:rPr>
                <w:b/>
                <w:bCs/>
                <w:sz w:val="28"/>
                <w:szCs w:val="28"/>
              </w:rPr>
              <w:t xml:space="preserve"> и иных нормативных правовых актов Российской Федерации о контрактной системе в сфере закупок, проведенных</w:t>
            </w:r>
          </w:p>
        </w:tc>
      </w:tr>
      <w:tr w:rsidR="003656F3" w:rsidRPr="003656F3" w:rsidTr="003656F3">
        <w:trPr>
          <w:trHeight w:val="660"/>
        </w:trPr>
        <w:tc>
          <w:tcPr>
            <w:tcW w:w="5000" w:type="pct"/>
            <w:gridSpan w:val="4"/>
            <w:tcBorders>
              <w:top w:val="nil"/>
              <w:left w:val="nil"/>
              <w:bottom w:val="single" w:sz="4" w:space="0" w:color="auto"/>
              <w:right w:val="nil"/>
            </w:tcBorders>
            <w:shd w:val="clear" w:color="auto" w:fill="auto"/>
            <w:hideMark/>
          </w:tcPr>
          <w:p w:rsidR="003656F3" w:rsidRPr="003656F3" w:rsidRDefault="003656F3" w:rsidP="003656F3">
            <w:pPr>
              <w:jc w:val="center"/>
              <w:rPr>
                <w:i/>
                <w:iCs/>
                <w:sz w:val="28"/>
                <w:szCs w:val="28"/>
              </w:rPr>
            </w:pPr>
            <w:r w:rsidRPr="003656F3">
              <w:rPr>
                <w:i/>
                <w:iCs/>
                <w:sz w:val="28"/>
                <w:szCs w:val="28"/>
              </w:rPr>
              <w:t xml:space="preserve"> в 1 квартале 2018 года</w:t>
            </w:r>
          </w:p>
        </w:tc>
      </w:tr>
      <w:tr w:rsidR="003656F3" w:rsidRPr="003656F3" w:rsidTr="003656F3">
        <w:trPr>
          <w:trHeight w:val="264"/>
        </w:trPr>
        <w:tc>
          <w:tcPr>
            <w:tcW w:w="158" w:type="pct"/>
            <w:vMerge w:val="restart"/>
            <w:tcBorders>
              <w:top w:val="single" w:sz="4" w:space="0" w:color="auto"/>
            </w:tcBorders>
            <w:shd w:val="clear" w:color="auto" w:fill="auto"/>
            <w:vAlign w:val="bottom"/>
            <w:hideMark/>
          </w:tcPr>
          <w:p w:rsidR="003656F3" w:rsidRPr="003656F3" w:rsidRDefault="003656F3" w:rsidP="003656F3">
            <w:pPr>
              <w:jc w:val="center"/>
              <w:rPr>
                <w:b/>
                <w:bCs/>
              </w:rPr>
            </w:pPr>
            <w:r w:rsidRPr="003656F3">
              <w:rPr>
                <w:b/>
                <w:bCs/>
              </w:rPr>
              <w:t>№ п/п</w:t>
            </w:r>
          </w:p>
        </w:tc>
        <w:tc>
          <w:tcPr>
            <w:tcW w:w="873" w:type="pct"/>
            <w:vMerge w:val="restart"/>
            <w:tcBorders>
              <w:top w:val="single" w:sz="4" w:space="0" w:color="auto"/>
            </w:tcBorders>
            <w:shd w:val="clear" w:color="auto" w:fill="auto"/>
            <w:vAlign w:val="bottom"/>
            <w:hideMark/>
          </w:tcPr>
          <w:p w:rsidR="003656F3" w:rsidRPr="003656F3" w:rsidRDefault="003656F3" w:rsidP="003656F3">
            <w:pPr>
              <w:jc w:val="center"/>
              <w:rPr>
                <w:b/>
                <w:bCs/>
              </w:rPr>
            </w:pPr>
            <w:r w:rsidRPr="003656F3">
              <w:rPr>
                <w:b/>
                <w:bCs/>
              </w:rPr>
              <w:t>Наименование органа местного самоуправления, учреждения</w:t>
            </w:r>
          </w:p>
        </w:tc>
        <w:tc>
          <w:tcPr>
            <w:tcW w:w="3970" w:type="pct"/>
            <w:gridSpan w:val="2"/>
            <w:tcBorders>
              <w:top w:val="single" w:sz="4" w:space="0" w:color="auto"/>
            </w:tcBorders>
            <w:shd w:val="clear" w:color="auto" w:fill="auto"/>
            <w:vAlign w:val="bottom"/>
            <w:hideMark/>
          </w:tcPr>
          <w:p w:rsidR="003656F3" w:rsidRPr="003656F3" w:rsidRDefault="003656F3" w:rsidP="003656F3">
            <w:pPr>
              <w:jc w:val="center"/>
              <w:rPr>
                <w:b/>
                <w:bCs/>
              </w:rPr>
            </w:pPr>
            <w:r w:rsidRPr="003656F3">
              <w:rPr>
                <w:b/>
                <w:bCs/>
              </w:rPr>
              <w:t>Нарушения, выявленные в ходе проверки</w:t>
            </w:r>
          </w:p>
        </w:tc>
      </w:tr>
      <w:tr w:rsidR="003656F3" w:rsidRPr="003656F3" w:rsidTr="003656F3">
        <w:trPr>
          <w:trHeight w:val="612"/>
        </w:trPr>
        <w:tc>
          <w:tcPr>
            <w:tcW w:w="158" w:type="pct"/>
            <w:vMerge/>
            <w:vAlign w:val="center"/>
            <w:hideMark/>
          </w:tcPr>
          <w:p w:rsidR="003656F3" w:rsidRPr="003656F3" w:rsidRDefault="003656F3" w:rsidP="003656F3">
            <w:pPr>
              <w:rPr>
                <w:b/>
                <w:bCs/>
              </w:rPr>
            </w:pPr>
          </w:p>
        </w:tc>
        <w:tc>
          <w:tcPr>
            <w:tcW w:w="873" w:type="pct"/>
            <w:vMerge/>
            <w:vAlign w:val="center"/>
            <w:hideMark/>
          </w:tcPr>
          <w:p w:rsidR="003656F3" w:rsidRPr="003656F3" w:rsidRDefault="003656F3" w:rsidP="003656F3">
            <w:pPr>
              <w:rPr>
                <w:b/>
                <w:bCs/>
              </w:rPr>
            </w:pPr>
          </w:p>
        </w:tc>
        <w:tc>
          <w:tcPr>
            <w:tcW w:w="1222" w:type="pct"/>
            <w:shd w:val="clear" w:color="auto" w:fill="auto"/>
            <w:vAlign w:val="bottom"/>
            <w:hideMark/>
          </w:tcPr>
          <w:p w:rsidR="003656F3" w:rsidRPr="003656F3" w:rsidRDefault="003656F3" w:rsidP="003656F3">
            <w:pPr>
              <w:jc w:val="center"/>
              <w:rPr>
                <w:b/>
                <w:bCs/>
              </w:rPr>
            </w:pPr>
            <w:r w:rsidRPr="003656F3">
              <w:rPr>
                <w:b/>
                <w:bCs/>
              </w:rPr>
              <w:t xml:space="preserve">Нарушенный пункт закона </w:t>
            </w:r>
          </w:p>
        </w:tc>
        <w:tc>
          <w:tcPr>
            <w:tcW w:w="2748" w:type="pct"/>
            <w:shd w:val="clear" w:color="auto" w:fill="auto"/>
            <w:vAlign w:val="bottom"/>
            <w:hideMark/>
          </w:tcPr>
          <w:p w:rsidR="003656F3" w:rsidRPr="003656F3" w:rsidRDefault="003656F3" w:rsidP="003656F3">
            <w:pPr>
              <w:jc w:val="center"/>
              <w:rPr>
                <w:b/>
                <w:bCs/>
              </w:rPr>
            </w:pPr>
            <w:r w:rsidRPr="003656F3">
              <w:rPr>
                <w:b/>
                <w:bCs/>
              </w:rPr>
              <w:t>Содержание нарушения</w:t>
            </w:r>
          </w:p>
        </w:tc>
      </w:tr>
      <w:tr w:rsidR="003656F3" w:rsidRPr="003656F3" w:rsidTr="003656F3">
        <w:trPr>
          <w:trHeight w:val="1440"/>
        </w:trPr>
        <w:tc>
          <w:tcPr>
            <w:tcW w:w="158" w:type="pct"/>
            <w:shd w:val="clear" w:color="auto" w:fill="auto"/>
            <w:vAlign w:val="center"/>
            <w:hideMark/>
          </w:tcPr>
          <w:p w:rsidR="003656F3" w:rsidRPr="003656F3" w:rsidRDefault="003656F3" w:rsidP="003656F3">
            <w:pPr>
              <w:jc w:val="center"/>
            </w:pPr>
            <w:r w:rsidRPr="003656F3">
              <w:t>1.</w:t>
            </w:r>
          </w:p>
        </w:tc>
        <w:tc>
          <w:tcPr>
            <w:tcW w:w="873" w:type="pct"/>
            <w:shd w:val="clear" w:color="auto" w:fill="auto"/>
            <w:vAlign w:val="center"/>
            <w:hideMark/>
          </w:tcPr>
          <w:p w:rsidR="003656F3" w:rsidRPr="003656F3" w:rsidRDefault="003656F3" w:rsidP="003656F3">
            <w:pPr>
              <w:jc w:val="center"/>
            </w:pPr>
            <w:proofErr w:type="spellStart"/>
            <w:r w:rsidRPr="003656F3">
              <w:t>Представительне</w:t>
            </w:r>
            <w:proofErr w:type="spellEnd"/>
            <w:r w:rsidRPr="003656F3">
              <w:t xml:space="preserve"> Собрание  Вытегорского муниципального района</w:t>
            </w:r>
          </w:p>
        </w:tc>
        <w:tc>
          <w:tcPr>
            <w:tcW w:w="1222" w:type="pct"/>
            <w:shd w:val="clear" w:color="auto" w:fill="auto"/>
            <w:vAlign w:val="center"/>
            <w:hideMark/>
          </w:tcPr>
          <w:p w:rsidR="003656F3" w:rsidRPr="003656F3" w:rsidRDefault="003656F3" w:rsidP="003656F3">
            <w:pPr>
              <w:jc w:val="center"/>
            </w:pPr>
            <w:r w:rsidRPr="003656F3">
              <w:t xml:space="preserve">пункт 2 статьи 34 Федерального закона от 5 апреля 2013 года № 44-ФЗ, </w:t>
            </w:r>
          </w:p>
        </w:tc>
        <w:tc>
          <w:tcPr>
            <w:tcW w:w="2748" w:type="pct"/>
            <w:shd w:val="clear" w:color="auto" w:fill="auto"/>
            <w:vAlign w:val="center"/>
            <w:hideMark/>
          </w:tcPr>
          <w:p w:rsidR="003656F3" w:rsidRPr="003656F3" w:rsidRDefault="003656F3" w:rsidP="003656F3">
            <w:pPr>
              <w:jc w:val="center"/>
            </w:pPr>
            <w:r w:rsidRPr="003656F3">
              <w:t xml:space="preserve">При заключении контрактов (договоров) с единственным поставщиком не указывается, что цена контракта </w:t>
            </w:r>
            <w:proofErr w:type="gramStart"/>
            <w:r w:rsidRPr="003656F3">
              <w:t>является твердой и определяется</w:t>
            </w:r>
            <w:proofErr w:type="gramEnd"/>
            <w:r w:rsidRPr="003656F3">
              <w:t xml:space="preserve"> на весь срок исполнения контракта.</w:t>
            </w:r>
          </w:p>
        </w:tc>
      </w:tr>
      <w:tr w:rsidR="003656F3" w:rsidRPr="003656F3" w:rsidTr="003656F3">
        <w:trPr>
          <w:trHeight w:val="1440"/>
        </w:trPr>
        <w:tc>
          <w:tcPr>
            <w:tcW w:w="158" w:type="pct"/>
            <w:vMerge w:val="restart"/>
            <w:shd w:val="clear" w:color="auto" w:fill="auto"/>
            <w:vAlign w:val="center"/>
            <w:hideMark/>
          </w:tcPr>
          <w:p w:rsidR="003656F3" w:rsidRPr="003656F3" w:rsidRDefault="003656F3" w:rsidP="003656F3">
            <w:pPr>
              <w:jc w:val="center"/>
            </w:pPr>
            <w:r w:rsidRPr="003656F3">
              <w:t>2.</w:t>
            </w:r>
          </w:p>
        </w:tc>
        <w:tc>
          <w:tcPr>
            <w:tcW w:w="873" w:type="pct"/>
            <w:vMerge w:val="restart"/>
            <w:shd w:val="clear" w:color="auto" w:fill="auto"/>
            <w:vAlign w:val="center"/>
            <w:hideMark/>
          </w:tcPr>
          <w:p w:rsidR="003656F3" w:rsidRPr="003656F3" w:rsidRDefault="003656F3" w:rsidP="003656F3">
            <w:pPr>
              <w:jc w:val="center"/>
            </w:pPr>
            <w:r w:rsidRPr="003656F3">
              <w:t>Бюджетное дошкольное образовательное учреждение Вытегорского муниципального района «Белоручейский детский сад».</w:t>
            </w:r>
          </w:p>
        </w:tc>
        <w:tc>
          <w:tcPr>
            <w:tcW w:w="1222" w:type="pct"/>
            <w:shd w:val="clear" w:color="auto" w:fill="auto"/>
            <w:vAlign w:val="center"/>
            <w:hideMark/>
          </w:tcPr>
          <w:p w:rsidR="003656F3" w:rsidRPr="003656F3" w:rsidRDefault="003656F3" w:rsidP="003656F3">
            <w:pPr>
              <w:jc w:val="center"/>
            </w:pPr>
            <w:r w:rsidRPr="003656F3">
              <w:t xml:space="preserve">подпункт 5  пункта 1 статьи 93 Федерального закона от 5 апреля 2013 года № 44-ФЗ </w:t>
            </w:r>
          </w:p>
        </w:tc>
        <w:tc>
          <w:tcPr>
            <w:tcW w:w="2748" w:type="pct"/>
            <w:shd w:val="clear" w:color="auto" w:fill="auto"/>
            <w:vAlign w:val="center"/>
            <w:hideMark/>
          </w:tcPr>
          <w:p w:rsidR="003656F3" w:rsidRPr="003656F3" w:rsidRDefault="003656F3" w:rsidP="003656F3">
            <w:pPr>
              <w:jc w:val="center"/>
            </w:pPr>
            <w:r w:rsidRPr="003656F3">
              <w:t xml:space="preserve">Годовой объем закупок, которые заказчик вправе осуществить на основании настоящего пункта, </w:t>
            </w:r>
            <w:proofErr w:type="gramStart"/>
            <w:r w:rsidRPr="003656F3">
              <w:t>превышает пятьдесят процентов совокупного годового объема закупок заказчика и составляет</w:t>
            </w:r>
            <w:proofErr w:type="gramEnd"/>
            <w:r w:rsidRPr="003656F3">
              <w:t xml:space="preserve"> пятьдесят три процента.</w:t>
            </w:r>
          </w:p>
        </w:tc>
      </w:tr>
      <w:tr w:rsidR="003656F3" w:rsidRPr="003656F3" w:rsidTr="003656F3">
        <w:trPr>
          <w:trHeight w:val="528"/>
        </w:trPr>
        <w:tc>
          <w:tcPr>
            <w:tcW w:w="158" w:type="pct"/>
            <w:vMerge/>
            <w:vAlign w:val="center"/>
            <w:hideMark/>
          </w:tcPr>
          <w:p w:rsidR="003656F3" w:rsidRPr="003656F3" w:rsidRDefault="003656F3" w:rsidP="003656F3"/>
        </w:tc>
        <w:tc>
          <w:tcPr>
            <w:tcW w:w="873" w:type="pct"/>
            <w:vMerge/>
            <w:vAlign w:val="center"/>
            <w:hideMark/>
          </w:tcPr>
          <w:p w:rsidR="003656F3" w:rsidRPr="003656F3" w:rsidRDefault="003656F3" w:rsidP="003656F3"/>
        </w:tc>
        <w:tc>
          <w:tcPr>
            <w:tcW w:w="1222" w:type="pct"/>
            <w:shd w:val="clear" w:color="auto" w:fill="auto"/>
            <w:vAlign w:val="center"/>
            <w:hideMark/>
          </w:tcPr>
          <w:p w:rsidR="003656F3" w:rsidRPr="003656F3" w:rsidRDefault="003656F3" w:rsidP="003656F3">
            <w:pPr>
              <w:jc w:val="center"/>
            </w:pPr>
            <w:r w:rsidRPr="003656F3">
              <w:t> </w:t>
            </w:r>
          </w:p>
        </w:tc>
        <w:tc>
          <w:tcPr>
            <w:tcW w:w="2748" w:type="pct"/>
            <w:shd w:val="clear" w:color="auto" w:fill="auto"/>
            <w:vAlign w:val="center"/>
            <w:hideMark/>
          </w:tcPr>
          <w:p w:rsidR="003656F3" w:rsidRPr="003656F3" w:rsidRDefault="003656F3" w:rsidP="003656F3">
            <w:pPr>
              <w:jc w:val="center"/>
            </w:pPr>
            <w:r w:rsidRPr="003656F3">
              <w:t xml:space="preserve">Размер планируемых платежей на текущий финансовый год не соответствует показателям плана   финансово-хозяйственной деятельности Учреждения. </w:t>
            </w:r>
          </w:p>
        </w:tc>
      </w:tr>
      <w:tr w:rsidR="003656F3" w:rsidRPr="003656F3" w:rsidTr="003656F3">
        <w:trPr>
          <w:trHeight w:val="1188"/>
        </w:trPr>
        <w:tc>
          <w:tcPr>
            <w:tcW w:w="158" w:type="pct"/>
            <w:vMerge/>
            <w:vAlign w:val="center"/>
            <w:hideMark/>
          </w:tcPr>
          <w:p w:rsidR="003656F3" w:rsidRPr="003656F3" w:rsidRDefault="003656F3" w:rsidP="003656F3"/>
        </w:tc>
        <w:tc>
          <w:tcPr>
            <w:tcW w:w="873" w:type="pct"/>
            <w:vMerge/>
            <w:vAlign w:val="center"/>
            <w:hideMark/>
          </w:tcPr>
          <w:p w:rsidR="003656F3" w:rsidRPr="003656F3" w:rsidRDefault="003656F3" w:rsidP="003656F3"/>
        </w:tc>
        <w:tc>
          <w:tcPr>
            <w:tcW w:w="1222" w:type="pct"/>
            <w:shd w:val="clear" w:color="auto" w:fill="auto"/>
            <w:vAlign w:val="center"/>
            <w:hideMark/>
          </w:tcPr>
          <w:p w:rsidR="003656F3" w:rsidRPr="003656F3" w:rsidRDefault="003656F3" w:rsidP="003656F3">
            <w:pPr>
              <w:jc w:val="center"/>
            </w:pPr>
            <w:r w:rsidRPr="003656F3">
              <w:t xml:space="preserve">пункт 2 статьи 34 Федерального закона от 5 апреля 2013 года № 44-ФЗ, </w:t>
            </w:r>
          </w:p>
        </w:tc>
        <w:tc>
          <w:tcPr>
            <w:tcW w:w="2748" w:type="pct"/>
            <w:shd w:val="clear" w:color="auto" w:fill="auto"/>
            <w:vAlign w:val="center"/>
            <w:hideMark/>
          </w:tcPr>
          <w:p w:rsidR="003656F3" w:rsidRPr="003656F3" w:rsidRDefault="003656F3" w:rsidP="003656F3">
            <w:pPr>
              <w:jc w:val="center"/>
            </w:pPr>
            <w:r w:rsidRPr="003656F3">
              <w:t xml:space="preserve">При заключении контрактов (договоров) с единственным поставщиком не указывается, что цена контракта </w:t>
            </w:r>
            <w:proofErr w:type="gramStart"/>
            <w:r w:rsidRPr="003656F3">
              <w:t>является твердой и определяется</w:t>
            </w:r>
            <w:proofErr w:type="gramEnd"/>
            <w:r w:rsidRPr="003656F3">
              <w:t xml:space="preserve"> на весь срок исполнения контракта.</w:t>
            </w:r>
          </w:p>
        </w:tc>
      </w:tr>
      <w:tr w:rsidR="003656F3" w:rsidRPr="003656F3" w:rsidTr="003656F3">
        <w:trPr>
          <w:trHeight w:val="2112"/>
        </w:trPr>
        <w:tc>
          <w:tcPr>
            <w:tcW w:w="158" w:type="pct"/>
            <w:vMerge/>
            <w:vAlign w:val="center"/>
            <w:hideMark/>
          </w:tcPr>
          <w:p w:rsidR="003656F3" w:rsidRPr="003656F3" w:rsidRDefault="003656F3" w:rsidP="003656F3"/>
        </w:tc>
        <w:tc>
          <w:tcPr>
            <w:tcW w:w="873" w:type="pct"/>
            <w:vMerge/>
            <w:vAlign w:val="center"/>
            <w:hideMark/>
          </w:tcPr>
          <w:p w:rsidR="003656F3" w:rsidRPr="003656F3" w:rsidRDefault="003656F3" w:rsidP="003656F3"/>
        </w:tc>
        <w:tc>
          <w:tcPr>
            <w:tcW w:w="1222" w:type="pct"/>
            <w:shd w:val="clear" w:color="auto" w:fill="auto"/>
            <w:vAlign w:val="center"/>
            <w:hideMark/>
          </w:tcPr>
          <w:p w:rsidR="003656F3" w:rsidRPr="003656F3" w:rsidRDefault="003656F3" w:rsidP="003656F3">
            <w:pPr>
              <w:jc w:val="center"/>
            </w:pPr>
            <w:r w:rsidRPr="003656F3">
              <w:t>пункт 9 статьи 94 Федерального закона от 5 апреля 2013 года № 44-ФЗ</w:t>
            </w:r>
          </w:p>
        </w:tc>
        <w:tc>
          <w:tcPr>
            <w:tcW w:w="2748" w:type="pct"/>
            <w:shd w:val="clear" w:color="auto" w:fill="auto"/>
            <w:vAlign w:val="center"/>
            <w:hideMark/>
          </w:tcPr>
          <w:p w:rsidR="003656F3" w:rsidRPr="003656F3" w:rsidRDefault="003656F3" w:rsidP="003656F3">
            <w:pPr>
              <w:jc w:val="center"/>
            </w:pPr>
            <w:r w:rsidRPr="003656F3">
              <w:t>Учреждением отчет об исполнении контракта:</w:t>
            </w:r>
            <w:r w:rsidRPr="003656F3">
              <w:br/>
              <w:t>• № 16/12/16-5 от 16.02.2017 размещен Учреждением в единой информационной системе с нарушением установленного срока на 29 дней;</w:t>
            </w:r>
            <w:r w:rsidRPr="003656F3">
              <w:br/>
              <w:t>• № 5344/666  от 08.02.2017 не размещен Учреждением в единой информационной системе;</w:t>
            </w:r>
            <w:r w:rsidRPr="003656F3">
              <w:br/>
              <w:t>• № ТЭЭ26-00214-к/17 от 08.02.2017 не размещен Учреждением в единой информационной системе.</w:t>
            </w:r>
          </w:p>
        </w:tc>
      </w:tr>
      <w:tr w:rsidR="003656F3" w:rsidRPr="003656F3" w:rsidTr="003656F3">
        <w:trPr>
          <w:trHeight w:val="1212"/>
        </w:trPr>
        <w:tc>
          <w:tcPr>
            <w:tcW w:w="158" w:type="pct"/>
            <w:vMerge w:val="restart"/>
            <w:shd w:val="clear" w:color="000000" w:fill="FFFFFF"/>
            <w:vAlign w:val="center"/>
            <w:hideMark/>
          </w:tcPr>
          <w:p w:rsidR="003656F3" w:rsidRPr="003656F3" w:rsidRDefault="003656F3" w:rsidP="003656F3">
            <w:pPr>
              <w:jc w:val="center"/>
            </w:pPr>
            <w:r w:rsidRPr="003656F3">
              <w:t>3.</w:t>
            </w:r>
          </w:p>
        </w:tc>
        <w:tc>
          <w:tcPr>
            <w:tcW w:w="873" w:type="pct"/>
            <w:vMerge w:val="restart"/>
            <w:shd w:val="clear" w:color="000000" w:fill="FFFFFF"/>
            <w:vAlign w:val="center"/>
            <w:hideMark/>
          </w:tcPr>
          <w:p w:rsidR="003656F3" w:rsidRPr="003656F3" w:rsidRDefault="003656F3" w:rsidP="003656F3">
            <w:pPr>
              <w:jc w:val="center"/>
            </w:pPr>
            <w:r w:rsidRPr="003656F3">
              <w:t>Бюджетное дошкольное образовательное учреждение Вытегорского муниципального района «</w:t>
            </w:r>
            <w:proofErr w:type="spellStart"/>
            <w:r w:rsidRPr="003656F3">
              <w:t>Девятинский</w:t>
            </w:r>
            <w:proofErr w:type="spellEnd"/>
            <w:r w:rsidRPr="003656F3">
              <w:t xml:space="preserve"> детский сад».</w:t>
            </w:r>
          </w:p>
        </w:tc>
        <w:tc>
          <w:tcPr>
            <w:tcW w:w="1222" w:type="pct"/>
            <w:shd w:val="clear" w:color="000000" w:fill="FFFFFF"/>
            <w:vAlign w:val="center"/>
            <w:hideMark/>
          </w:tcPr>
          <w:p w:rsidR="003656F3" w:rsidRPr="003656F3" w:rsidRDefault="003656F3" w:rsidP="003656F3">
            <w:pPr>
              <w:jc w:val="center"/>
            </w:pPr>
            <w:r w:rsidRPr="003656F3">
              <w:t> </w:t>
            </w:r>
          </w:p>
        </w:tc>
        <w:tc>
          <w:tcPr>
            <w:tcW w:w="2748" w:type="pct"/>
            <w:shd w:val="clear" w:color="auto" w:fill="auto"/>
            <w:vAlign w:val="center"/>
            <w:hideMark/>
          </w:tcPr>
          <w:p w:rsidR="003656F3" w:rsidRPr="003656F3" w:rsidRDefault="003656F3" w:rsidP="003656F3">
            <w:pPr>
              <w:jc w:val="center"/>
            </w:pPr>
            <w:r w:rsidRPr="003656F3">
              <w:t xml:space="preserve">Размер планируемых платежей на текущий финансовый год не соответствует показателям плана   финансово-хозяйственной деятельности Учреждения. </w:t>
            </w:r>
          </w:p>
        </w:tc>
      </w:tr>
      <w:tr w:rsidR="003656F3" w:rsidRPr="003656F3" w:rsidTr="003656F3">
        <w:trPr>
          <w:trHeight w:val="528"/>
        </w:trPr>
        <w:tc>
          <w:tcPr>
            <w:tcW w:w="158" w:type="pct"/>
            <w:vMerge/>
            <w:vAlign w:val="center"/>
            <w:hideMark/>
          </w:tcPr>
          <w:p w:rsidR="003656F3" w:rsidRPr="003656F3" w:rsidRDefault="003656F3" w:rsidP="003656F3"/>
        </w:tc>
        <w:tc>
          <w:tcPr>
            <w:tcW w:w="873" w:type="pct"/>
            <w:vMerge/>
            <w:vAlign w:val="center"/>
            <w:hideMark/>
          </w:tcPr>
          <w:p w:rsidR="003656F3" w:rsidRPr="003656F3" w:rsidRDefault="003656F3" w:rsidP="003656F3"/>
        </w:tc>
        <w:tc>
          <w:tcPr>
            <w:tcW w:w="1222" w:type="pct"/>
            <w:shd w:val="clear" w:color="000000" w:fill="FFFFFF"/>
            <w:vAlign w:val="center"/>
            <w:hideMark/>
          </w:tcPr>
          <w:p w:rsidR="003656F3" w:rsidRPr="003656F3" w:rsidRDefault="003656F3" w:rsidP="003656F3">
            <w:pPr>
              <w:jc w:val="center"/>
            </w:pPr>
            <w:r w:rsidRPr="003656F3">
              <w:t xml:space="preserve">пункт 2 статьи 34 Федерального закона от 5 апреля 2013 года № 44-ФЗ, </w:t>
            </w:r>
          </w:p>
        </w:tc>
        <w:tc>
          <w:tcPr>
            <w:tcW w:w="2748" w:type="pct"/>
            <w:shd w:val="clear" w:color="auto" w:fill="auto"/>
            <w:vAlign w:val="center"/>
            <w:hideMark/>
          </w:tcPr>
          <w:p w:rsidR="003656F3" w:rsidRPr="003656F3" w:rsidRDefault="003656F3" w:rsidP="003656F3">
            <w:pPr>
              <w:jc w:val="center"/>
            </w:pPr>
            <w:r w:rsidRPr="003656F3">
              <w:t xml:space="preserve">При заключении контрактов (договоров) с единственным поставщиком не указывается, что цена контракта </w:t>
            </w:r>
            <w:proofErr w:type="gramStart"/>
            <w:r w:rsidRPr="003656F3">
              <w:t>является твердой и определяется</w:t>
            </w:r>
            <w:proofErr w:type="gramEnd"/>
            <w:r w:rsidRPr="003656F3">
              <w:t xml:space="preserve"> на весь срок исполнения контракта.</w:t>
            </w:r>
          </w:p>
        </w:tc>
      </w:tr>
      <w:tr w:rsidR="003656F3" w:rsidRPr="003656F3" w:rsidTr="003656F3">
        <w:trPr>
          <w:trHeight w:val="2208"/>
        </w:trPr>
        <w:tc>
          <w:tcPr>
            <w:tcW w:w="158" w:type="pct"/>
            <w:vMerge/>
            <w:vAlign w:val="center"/>
            <w:hideMark/>
          </w:tcPr>
          <w:p w:rsidR="003656F3" w:rsidRPr="003656F3" w:rsidRDefault="003656F3" w:rsidP="003656F3"/>
        </w:tc>
        <w:tc>
          <w:tcPr>
            <w:tcW w:w="873" w:type="pct"/>
            <w:vMerge/>
            <w:vAlign w:val="center"/>
            <w:hideMark/>
          </w:tcPr>
          <w:p w:rsidR="003656F3" w:rsidRPr="003656F3" w:rsidRDefault="003656F3" w:rsidP="003656F3"/>
        </w:tc>
        <w:tc>
          <w:tcPr>
            <w:tcW w:w="1222" w:type="pct"/>
            <w:shd w:val="clear" w:color="auto" w:fill="auto"/>
            <w:vAlign w:val="center"/>
            <w:hideMark/>
          </w:tcPr>
          <w:p w:rsidR="003656F3" w:rsidRPr="003656F3" w:rsidRDefault="003656F3" w:rsidP="003656F3">
            <w:pPr>
              <w:jc w:val="center"/>
            </w:pPr>
            <w:r w:rsidRPr="003656F3">
              <w:t xml:space="preserve"> подпункт 8.1. пункта 8 «Требований к плану финансово-хозяйственной деятельности» от 28.06.2010 №81н</w:t>
            </w:r>
          </w:p>
        </w:tc>
        <w:tc>
          <w:tcPr>
            <w:tcW w:w="2748" w:type="pct"/>
            <w:shd w:val="clear" w:color="auto" w:fill="auto"/>
            <w:vAlign w:val="center"/>
            <w:hideMark/>
          </w:tcPr>
          <w:p w:rsidR="003656F3" w:rsidRPr="003656F3" w:rsidRDefault="003656F3" w:rsidP="003656F3">
            <w:pPr>
              <w:jc w:val="center"/>
            </w:pPr>
            <w:proofErr w:type="gramStart"/>
            <w:r w:rsidRPr="003656F3">
              <w:t>в плане финансово-хозяйственной деятельности Учреждения от 19 января 2017 года плановые показатели по расходам  на закупку товаров, работ, услуг по строке 260 таблицы 2 «Показатели по поступлениям и выплатам учреждения» не соответствуют показателям  выплат по расходам граф 4 - 6 по строке 0001 Таблицы 2.1 «Показатели выплат по расходам на закупку товаров, работ, услуг учреждения (подразделения)».</w:t>
            </w:r>
            <w:proofErr w:type="gramEnd"/>
          </w:p>
        </w:tc>
      </w:tr>
      <w:tr w:rsidR="003656F3" w:rsidRPr="003656F3" w:rsidTr="003656F3">
        <w:trPr>
          <w:trHeight w:val="492"/>
        </w:trPr>
        <w:tc>
          <w:tcPr>
            <w:tcW w:w="158" w:type="pct"/>
            <w:vMerge w:val="restart"/>
            <w:shd w:val="clear" w:color="000000" w:fill="FFFFFF"/>
            <w:vAlign w:val="center"/>
            <w:hideMark/>
          </w:tcPr>
          <w:p w:rsidR="003656F3" w:rsidRPr="003656F3" w:rsidRDefault="003656F3" w:rsidP="003656F3">
            <w:pPr>
              <w:jc w:val="center"/>
            </w:pPr>
            <w:r w:rsidRPr="003656F3">
              <w:t>4.</w:t>
            </w:r>
          </w:p>
        </w:tc>
        <w:tc>
          <w:tcPr>
            <w:tcW w:w="873" w:type="pct"/>
            <w:vMerge w:val="restart"/>
            <w:shd w:val="clear" w:color="000000" w:fill="FFFFFF"/>
            <w:vAlign w:val="center"/>
            <w:hideMark/>
          </w:tcPr>
          <w:p w:rsidR="003656F3" w:rsidRPr="003656F3" w:rsidRDefault="003656F3" w:rsidP="003656F3">
            <w:pPr>
              <w:jc w:val="center"/>
            </w:pPr>
            <w:r w:rsidRPr="003656F3">
              <w:t>Бюджетное дошкольное образовательное учреждение Вытегорского муниципального района                «Детский сад «Гармония».</w:t>
            </w:r>
          </w:p>
        </w:tc>
        <w:tc>
          <w:tcPr>
            <w:tcW w:w="1222" w:type="pct"/>
            <w:vMerge w:val="restart"/>
            <w:shd w:val="clear" w:color="000000" w:fill="FFFFFF"/>
            <w:vAlign w:val="center"/>
            <w:hideMark/>
          </w:tcPr>
          <w:p w:rsidR="003656F3" w:rsidRPr="003656F3" w:rsidRDefault="003656F3" w:rsidP="003656F3">
            <w:pPr>
              <w:jc w:val="center"/>
            </w:pPr>
            <w:r w:rsidRPr="003656F3">
              <w:t> </w:t>
            </w:r>
          </w:p>
        </w:tc>
        <w:tc>
          <w:tcPr>
            <w:tcW w:w="2748" w:type="pct"/>
            <w:vMerge w:val="restart"/>
            <w:shd w:val="clear" w:color="auto" w:fill="auto"/>
            <w:vAlign w:val="center"/>
            <w:hideMark/>
          </w:tcPr>
          <w:p w:rsidR="003656F3" w:rsidRPr="003656F3" w:rsidRDefault="003656F3" w:rsidP="003656F3">
            <w:pPr>
              <w:jc w:val="center"/>
            </w:pPr>
            <w:r w:rsidRPr="003656F3">
              <w:t xml:space="preserve">Размер планируемых платежей на текущий финансовый год не соответствует показателям плана   финансово-хозяйственной деятельности Учреждения. </w:t>
            </w:r>
          </w:p>
        </w:tc>
      </w:tr>
      <w:tr w:rsidR="003656F3" w:rsidRPr="003656F3" w:rsidTr="003656F3">
        <w:trPr>
          <w:trHeight w:val="300"/>
        </w:trPr>
        <w:tc>
          <w:tcPr>
            <w:tcW w:w="158" w:type="pct"/>
            <w:vMerge/>
            <w:vAlign w:val="center"/>
            <w:hideMark/>
          </w:tcPr>
          <w:p w:rsidR="003656F3" w:rsidRPr="003656F3" w:rsidRDefault="003656F3" w:rsidP="003656F3"/>
        </w:tc>
        <w:tc>
          <w:tcPr>
            <w:tcW w:w="873" w:type="pct"/>
            <w:vMerge/>
            <w:vAlign w:val="center"/>
            <w:hideMark/>
          </w:tcPr>
          <w:p w:rsidR="003656F3" w:rsidRPr="003656F3" w:rsidRDefault="003656F3" w:rsidP="003656F3"/>
        </w:tc>
        <w:tc>
          <w:tcPr>
            <w:tcW w:w="1222" w:type="pct"/>
            <w:vMerge/>
            <w:vAlign w:val="center"/>
            <w:hideMark/>
          </w:tcPr>
          <w:p w:rsidR="003656F3" w:rsidRPr="003656F3" w:rsidRDefault="003656F3" w:rsidP="003656F3"/>
        </w:tc>
        <w:tc>
          <w:tcPr>
            <w:tcW w:w="2748" w:type="pct"/>
            <w:vMerge/>
            <w:vAlign w:val="center"/>
            <w:hideMark/>
          </w:tcPr>
          <w:p w:rsidR="003656F3" w:rsidRPr="003656F3" w:rsidRDefault="003656F3" w:rsidP="003656F3"/>
        </w:tc>
      </w:tr>
      <w:tr w:rsidR="003656F3" w:rsidRPr="003656F3" w:rsidTr="003656F3">
        <w:trPr>
          <w:trHeight w:val="230"/>
        </w:trPr>
        <w:tc>
          <w:tcPr>
            <w:tcW w:w="158" w:type="pct"/>
            <w:vMerge/>
            <w:vAlign w:val="center"/>
            <w:hideMark/>
          </w:tcPr>
          <w:p w:rsidR="003656F3" w:rsidRPr="003656F3" w:rsidRDefault="003656F3" w:rsidP="003656F3"/>
        </w:tc>
        <w:tc>
          <w:tcPr>
            <w:tcW w:w="873" w:type="pct"/>
            <w:vMerge/>
            <w:vAlign w:val="center"/>
            <w:hideMark/>
          </w:tcPr>
          <w:p w:rsidR="003656F3" w:rsidRPr="003656F3" w:rsidRDefault="003656F3" w:rsidP="003656F3"/>
        </w:tc>
        <w:tc>
          <w:tcPr>
            <w:tcW w:w="1222" w:type="pct"/>
            <w:vMerge/>
            <w:vAlign w:val="center"/>
            <w:hideMark/>
          </w:tcPr>
          <w:p w:rsidR="003656F3" w:rsidRPr="003656F3" w:rsidRDefault="003656F3" w:rsidP="003656F3"/>
        </w:tc>
        <w:tc>
          <w:tcPr>
            <w:tcW w:w="2748" w:type="pct"/>
            <w:vMerge/>
            <w:vAlign w:val="center"/>
            <w:hideMark/>
          </w:tcPr>
          <w:p w:rsidR="003656F3" w:rsidRPr="003656F3" w:rsidRDefault="003656F3" w:rsidP="003656F3"/>
        </w:tc>
      </w:tr>
      <w:tr w:rsidR="003656F3" w:rsidRPr="003656F3" w:rsidTr="003656F3">
        <w:trPr>
          <w:trHeight w:val="936"/>
        </w:trPr>
        <w:tc>
          <w:tcPr>
            <w:tcW w:w="158" w:type="pct"/>
            <w:vMerge/>
            <w:vAlign w:val="center"/>
            <w:hideMark/>
          </w:tcPr>
          <w:p w:rsidR="003656F3" w:rsidRPr="003656F3" w:rsidRDefault="003656F3" w:rsidP="003656F3"/>
        </w:tc>
        <w:tc>
          <w:tcPr>
            <w:tcW w:w="873" w:type="pct"/>
            <w:vMerge/>
            <w:vAlign w:val="center"/>
            <w:hideMark/>
          </w:tcPr>
          <w:p w:rsidR="003656F3" w:rsidRPr="003656F3" w:rsidRDefault="003656F3" w:rsidP="003656F3"/>
        </w:tc>
        <w:tc>
          <w:tcPr>
            <w:tcW w:w="1222" w:type="pct"/>
            <w:shd w:val="clear" w:color="000000" w:fill="FFFFFF"/>
            <w:vAlign w:val="center"/>
            <w:hideMark/>
          </w:tcPr>
          <w:p w:rsidR="003656F3" w:rsidRPr="003656F3" w:rsidRDefault="003656F3" w:rsidP="003656F3">
            <w:pPr>
              <w:jc w:val="center"/>
            </w:pPr>
            <w:r w:rsidRPr="003656F3">
              <w:t xml:space="preserve">пункт 2 статьи 34 Федерального закона от 5 апреля 2013 года № 44-ФЗ, </w:t>
            </w:r>
          </w:p>
        </w:tc>
        <w:tc>
          <w:tcPr>
            <w:tcW w:w="2748" w:type="pct"/>
            <w:shd w:val="clear" w:color="000000" w:fill="FFFFFF"/>
            <w:vAlign w:val="center"/>
            <w:hideMark/>
          </w:tcPr>
          <w:p w:rsidR="003656F3" w:rsidRPr="003656F3" w:rsidRDefault="003656F3" w:rsidP="003656F3">
            <w:pPr>
              <w:jc w:val="center"/>
            </w:pPr>
            <w:r w:rsidRPr="003656F3">
              <w:t xml:space="preserve">При заключении контрактов (договоров) с единственным поставщиком не указывается, что цена контракта </w:t>
            </w:r>
            <w:proofErr w:type="gramStart"/>
            <w:r w:rsidRPr="003656F3">
              <w:t>является твердой и определяется</w:t>
            </w:r>
            <w:proofErr w:type="gramEnd"/>
            <w:r w:rsidRPr="003656F3">
              <w:t xml:space="preserve"> на весь срок исполнения контракта.</w:t>
            </w:r>
          </w:p>
        </w:tc>
      </w:tr>
      <w:tr w:rsidR="003656F3" w:rsidRPr="003656F3" w:rsidTr="003656F3">
        <w:trPr>
          <w:trHeight w:val="528"/>
        </w:trPr>
        <w:tc>
          <w:tcPr>
            <w:tcW w:w="158" w:type="pct"/>
            <w:vMerge w:val="restart"/>
            <w:shd w:val="clear" w:color="000000" w:fill="FFFFFF"/>
            <w:vAlign w:val="center"/>
            <w:hideMark/>
          </w:tcPr>
          <w:p w:rsidR="003656F3" w:rsidRPr="003656F3" w:rsidRDefault="003656F3" w:rsidP="003656F3">
            <w:pPr>
              <w:jc w:val="center"/>
            </w:pPr>
            <w:r w:rsidRPr="003656F3">
              <w:t>5.</w:t>
            </w:r>
          </w:p>
        </w:tc>
        <w:tc>
          <w:tcPr>
            <w:tcW w:w="873" w:type="pct"/>
            <w:vMerge w:val="restart"/>
            <w:shd w:val="clear" w:color="000000" w:fill="FFFFFF"/>
            <w:vAlign w:val="center"/>
            <w:hideMark/>
          </w:tcPr>
          <w:p w:rsidR="003656F3" w:rsidRPr="003656F3" w:rsidRDefault="003656F3" w:rsidP="003656F3">
            <w:pPr>
              <w:jc w:val="center"/>
            </w:pPr>
            <w:r w:rsidRPr="003656F3">
              <w:t xml:space="preserve">Муниципальное бюджетное общеобразовательное </w:t>
            </w:r>
            <w:r w:rsidRPr="003656F3">
              <w:lastRenderedPageBreak/>
              <w:t>учреждение «</w:t>
            </w:r>
            <w:proofErr w:type="spellStart"/>
            <w:r w:rsidRPr="003656F3">
              <w:t>Белоручейская</w:t>
            </w:r>
            <w:proofErr w:type="spellEnd"/>
            <w:r w:rsidRPr="003656F3">
              <w:t xml:space="preserve"> средняя общеобразовательная школа».</w:t>
            </w:r>
          </w:p>
        </w:tc>
        <w:tc>
          <w:tcPr>
            <w:tcW w:w="1222" w:type="pct"/>
            <w:shd w:val="clear" w:color="000000" w:fill="FFFFFF"/>
            <w:vAlign w:val="center"/>
            <w:hideMark/>
          </w:tcPr>
          <w:p w:rsidR="003656F3" w:rsidRPr="003656F3" w:rsidRDefault="003656F3" w:rsidP="003656F3">
            <w:pPr>
              <w:jc w:val="center"/>
            </w:pPr>
            <w:r w:rsidRPr="003656F3">
              <w:lastRenderedPageBreak/>
              <w:t xml:space="preserve">пункт 2 статьи 34 Федерального закона от 5 апреля 2013 года № 44-ФЗ, </w:t>
            </w:r>
          </w:p>
        </w:tc>
        <w:tc>
          <w:tcPr>
            <w:tcW w:w="2748" w:type="pct"/>
            <w:shd w:val="clear" w:color="000000" w:fill="FFFFFF"/>
            <w:vAlign w:val="center"/>
            <w:hideMark/>
          </w:tcPr>
          <w:p w:rsidR="003656F3" w:rsidRPr="003656F3" w:rsidRDefault="003656F3" w:rsidP="003656F3">
            <w:pPr>
              <w:jc w:val="center"/>
            </w:pPr>
            <w:r w:rsidRPr="003656F3">
              <w:t xml:space="preserve">При заключении контрактов (договоров) с единственным поставщиком не указывается, что цена контракта </w:t>
            </w:r>
            <w:proofErr w:type="gramStart"/>
            <w:r w:rsidRPr="003656F3">
              <w:t>является твердой и определяется</w:t>
            </w:r>
            <w:proofErr w:type="gramEnd"/>
            <w:r w:rsidRPr="003656F3">
              <w:t xml:space="preserve"> на весь срок исполнения контракта.</w:t>
            </w:r>
          </w:p>
        </w:tc>
      </w:tr>
      <w:tr w:rsidR="003656F3" w:rsidRPr="003656F3" w:rsidTr="003656F3">
        <w:trPr>
          <w:trHeight w:val="1188"/>
        </w:trPr>
        <w:tc>
          <w:tcPr>
            <w:tcW w:w="158" w:type="pct"/>
            <w:vMerge/>
            <w:vAlign w:val="center"/>
            <w:hideMark/>
          </w:tcPr>
          <w:p w:rsidR="003656F3" w:rsidRPr="003656F3" w:rsidRDefault="003656F3" w:rsidP="003656F3"/>
        </w:tc>
        <w:tc>
          <w:tcPr>
            <w:tcW w:w="873" w:type="pct"/>
            <w:vMerge/>
            <w:vAlign w:val="center"/>
            <w:hideMark/>
          </w:tcPr>
          <w:p w:rsidR="003656F3" w:rsidRPr="003656F3" w:rsidRDefault="003656F3" w:rsidP="003656F3"/>
        </w:tc>
        <w:tc>
          <w:tcPr>
            <w:tcW w:w="1222" w:type="pct"/>
            <w:shd w:val="clear" w:color="000000" w:fill="FFFFFF"/>
            <w:vAlign w:val="center"/>
            <w:hideMark/>
          </w:tcPr>
          <w:p w:rsidR="003656F3" w:rsidRPr="003656F3" w:rsidRDefault="003656F3" w:rsidP="003656F3">
            <w:pPr>
              <w:jc w:val="center"/>
            </w:pPr>
            <w:r w:rsidRPr="003656F3">
              <w:t>пункт 9 статьи 94 Федерального закона от 5 апреля 2013 года № 44-ФЗ</w:t>
            </w:r>
          </w:p>
        </w:tc>
        <w:tc>
          <w:tcPr>
            <w:tcW w:w="2748" w:type="pct"/>
            <w:shd w:val="clear" w:color="000000" w:fill="FFFFFF"/>
            <w:vAlign w:val="center"/>
            <w:hideMark/>
          </w:tcPr>
          <w:p w:rsidR="003656F3" w:rsidRPr="003656F3" w:rsidRDefault="003656F3" w:rsidP="003656F3">
            <w:pPr>
              <w:jc w:val="center"/>
            </w:pPr>
            <w:r w:rsidRPr="003656F3">
              <w:t>Отчет об исполнении контракта № 20/03/17 от 10.05.2017 размещен Учреждением в единой информационной системе с нарушением установленного срока на 15 дней.</w:t>
            </w:r>
          </w:p>
        </w:tc>
      </w:tr>
    </w:tbl>
    <w:p w:rsidR="003656F3" w:rsidRPr="005811AE" w:rsidRDefault="003656F3" w:rsidP="00CB00BA">
      <w:pPr>
        <w:jc w:val="both"/>
        <w:rPr>
          <w:sz w:val="24"/>
          <w:szCs w:val="24"/>
        </w:rPr>
      </w:pPr>
    </w:p>
    <w:sectPr w:rsidR="003656F3" w:rsidRPr="005811AE" w:rsidSect="0083172F">
      <w:headerReference w:type="even" r:id="rId7"/>
      <w:headerReference w:type="default" r:id="rId8"/>
      <w:pgSz w:w="16838" w:h="11906" w:orient="landscape"/>
      <w:pgMar w:top="709" w:right="397"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EA5" w:rsidRDefault="00502EA5">
      <w:r>
        <w:separator/>
      </w:r>
    </w:p>
  </w:endnote>
  <w:endnote w:type="continuationSeparator" w:id="0">
    <w:p w:rsidR="00502EA5" w:rsidRDefault="00502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EA5" w:rsidRDefault="00502EA5">
      <w:r>
        <w:separator/>
      </w:r>
    </w:p>
  </w:footnote>
  <w:footnote w:type="continuationSeparator" w:id="0">
    <w:p w:rsidR="00502EA5" w:rsidRDefault="00502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63" w:rsidRDefault="005D7390" w:rsidP="00D86EBA">
    <w:pPr>
      <w:pStyle w:val="a5"/>
      <w:framePr w:wrap="around" w:vAnchor="text" w:hAnchor="margin" w:xAlign="center" w:y="1"/>
      <w:rPr>
        <w:rStyle w:val="a6"/>
      </w:rPr>
    </w:pPr>
    <w:r>
      <w:rPr>
        <w:rStyle w:val="a6"/>
      </w:rPr>
      <w:fldChar w:fldCharType="begin"/>
    </w:r>
    <w:r w:rsidR="00626E63">
      <w:rPr>
        <w:rStyle w:val="a6"/>
      </w:rPr>
      <w:instrText xml:space="preserve">PAGE  </w:instrText>
    </w:r>
    <w:r>
      <w:rPr>
        <w:rStyle w:val="a6"/>
      </w:rPr>
      <w:fldChar w:fldCharType="end"/>
    </w:r>
  </w:p>
  <w:p w:rsidR="00626E63" w:rsidRDefault="00626E6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63" w:rsidRDefault="005D7390" w:rsidP="00D86EBA">
    <w:pPr>
      <w:pStyle w:val="a5"/>
      <w:framePr w:wrap="around" w:vAnchor="text" w:hAnchor="margin" w:xAlign="center" w:y="1"/>
      <w:rPr>
        <w:rStyle w:val="a6"/>
      </w:rPr>
    </w:pPr>
    <w:r>
      <w:rPr>
        <w:rStyle w:val="a6"/>
      </w:rPr>
      <w:fldChar w:fldCharType="begin"/>
    </w:r>
    <w:r w:rsidR="00626E63">
      <w:rPr>
        <w:rStyle w:val="a6"/>
      </w:rPr>
      <w:instrText xml:space="preserve">PAGE  </w:instrText>
    </w:r>
    <w:r>
      <w:rPr>
        <w:rStyle w:val="a6"/>
      </w:rPr>
      <w:fldChar w:fldCharType="separate"/>
    </w:r>
    <w:r w:rsidR="000572A7">
      <w:rPr>
        <w:rStyle w:val="a6"/>
        <w:noProof/>
      </w:rPr>
      <w:t>2</w:t>
    </w:r>
    <w:r>
      <w:rPr>
        <w:rStyle w:val="a6"/>
      </w:rPr>
      <w:fldChar w:fldCharType="end"/>
    </w:r>
  </w:p>
  <w:p w:rsidR="00626E63" w:rsidRDefault="00626E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3"/>
    <w:lvl w:ilvl="0">
      <w:start w:val="1"/>
      <w:numFmt w:val="decimal"/>
      <w:lvlText w:val="%1."/>
      <w:lvlJc w:val="left"/>
      <w:pPr>
        <w:tabs>
          <w:tab w:val="num" w:pos="480"/>
        </w:tabs>
        <w:ind w:left="480" w:hanging="480"/>
      </w:p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none"/>
      <w:suff w:val="nothing"/>
      <w:lvlText w:val=""/>
      <w:lvlJc w:val="left"/>
      <w:pPr>
        <w:tabs>
          <w:tab w:val="num" w:pos="0"/>
        </w:tabs>
        <w:ind w:left="1800" w:hanging="360"/>
      </w:pPr>
    </w:lvl>
    <w:lvl w:ilvl="5">
      <w:start w:val="1"/>
      <w:numFmt w:val="none"/>
      <w:suff w:val="nothing"/>
      <w:lvlText w:val=""/>
      <w:lvlJc w:val="left"/>
      <w:pPr>
        <w:tabs>
          <w:tab w:val="num" w:pos="0"/>
        </w:tabs>
        <w:ind w:left="2160" w:hanging="360"/>
      </w:pPr>
    </w:lvl>
    <w:lvl w:ilvl="6">
      <w:start w:val="1"/>
      <w:numFmt w:val="none"/>
      <w:suff w:val="nothing"/>
      <w:lvlText w:val=""/>
      <w:lvlJc w:val="left"/>
      <w:pPr>
        <w:tabs>
          <w:tab w:val="num" w:pos="0"/>
        </w:tabs>
        <w:ind w:left="2520" w:hanging="360"/>
      </w:pPr>
    </w:lvl>
    <w:lvl w:ilvl="7">
      <w:start w:val="1"/>
      <w:numFmt w:val="none"/>
      <w:suff w:val="nothing"/>
      <w:lvlText w:val=""/>
      <w:lvlJc w:val="left"/>
      <w:pPr>
        <w:tabs>
          <w:tab w:val="num" w:pos="0"/>
        </w:tabs>
        <w:ind w:left="2880" w:hanging="360"/>
      </w:pPr>
    </w:lvl>
    <w:lvl w:ilvl="8">
      <w:start w:val="1"/>
      <w:numFmt w:val="none"/>
      <w:suff w:val="nothing"/>
      <w:lvlText w:val=""/>
      <w:lvlJc w:val="left"/>
      <w:pPr>
        <w:tabs>
          <w:tab w:val="num" w:pos="0"/>
        </w:tabs>
        <w:ind w:left="3240" w:hanging="360"/>
      </w:pPr>
    </w:lvl>
  </w:abstractNum>
  <w:abstractNum w:abstractNumId="1">
    <w:nsid w:val="027C7578"/>
    <w:multiLevelType w:val="hybridMultilevel"/>
    <w:tmpl w:val="7D2C76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F1645"/>
    <w:multiLevelType w:val="hybridMultilevel"/>
    <w:tmpl w:val="86748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9F5685"/>
    <w:multiLevelType w:val="hybridMultilevel"/>
    <w:tmpl w:val="6B1A1E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865E7"/>
    <w:multiLevelType w:val="hybridMultilevel"/>
    <w:tmpl w:val="0A408E82"/>
    <w:lvl w:ilvl="0" w:tplc="47ECB5CC">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D71706"/>
    <w:multiLevelType w:val="singleLevel"/>
    <w:tmpl w:val="503444F0"/>
    <w:lvl w:ilvl="0">
      <w:numFmt w:val="bullet"/>
      <w:lvlText w:val="-"/>
      <w:lvlJc w:val="left"/>
      <w:pPr>
        <w:tabs>
          <w:tab w:val="num" w:pos="360"/>
        </w:tabs>
        <w:ind w:left="360" w:hanging="360"/>
      </w:pPr>
      <w:rPr>
        <w:rFonts w:hint="default"/>
      </w:rPr>
    </w:lvl>
  </w:abstractNum>
  <w:abstractNum w:abstractNumId="6">
    <w:nsid w:val="2AE8497A"/>
    <w:multiLevelType w:val="multilevel"/>
    <w:tmpl w:val="F5F44084"/>
    <w:lvl w:ilvl="0">
      <w:start w:val="1"/>
      <w:numFmt w:val="decimal"/>
      <w:lvlText w:val="%1."/>
      <w:lvlJc w:val="left"/>
      <w:pPr>
        <w:ind w:left="502" w:hanging="360"/>
      </w:pPr>
      <w:rPr>
        <w:rFonts w:hint="default"/>
      </w:rPr>
    </w:lvl>
    <w:lvl w:ilvl="1">
      <w:start w:val="1"/>
      <w:numFmt w:val="decimal"/>
      <w:isLgl/>
      <w:lvlText w:val="%1.%2."/>
      <w:lvlJc w:val="left"/>
      <w:pPr>
        <w:ind w:left="1346" w:hanging="495"/>
      </w:pPr>
      <w:rPr>
        <w:rFonts w:hint="default"/>
        <w:b w:val="0"/>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7">
    <w:nsid w:val="2F5169E6"/>
    <w:multiLevelType w:val="hybridMultilevel"/>
    <w:tmpl w:val="30627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DC2436"/>
    <w:multiLevelType w:val="hybridMultilevel"/>
    <w:tmpl w:val="C9429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332780"/>
    <w:multiLevelType w:val="hybridMultilevel"/>
    <w:tmpl w:val="E21265AE"/>
    <w:lvl w:ilvl="0" w:tplc="625A82DC">
      <w:start w:val="1"/>
      <w:numFmt w:val="decimal"/>
      <w:lvlText w:val="%1."/>
      <w:lvlJc w:val="left"/>
      <w:pPr>
        <w:tabs>
          <w:tab w:val="num" w:pos="840"/>
        </w:tabs>
        <w:ind w:left="840" w:hanging="480"/>
      </w:pPr>
      <w:rPr>
        <w:rFonts w:hint="default"/>
      </w:rPr>
    </w:lvl>
    <w:lvl w:ilvl="1" w:tplc="CD0E1AD8">
      <w:numFmt w:val="none"/>
      <w:lvlText w:val=""/>
      <w:lvlJc w:val="left"/>
      <w:pPr>
        <w:tabs>
          <w:tab w:val="num" w:pos="360"/>
        </w:tabs>
      </w:pPr>
    </w:lvl>
    <w:lvl w:ilvl="2" w:tplc="4E125968">
      <w:numFmt w:val="none"/>
      <w:lvlText w:val=""/>
      <w:lvlJc w:val="left"/>
      <w:pPr>
        <w:tabs>
          <w:tab w:val="num" w:pos="360"/>
        </w:tabs>
      </w:pPr>
    </w:lvl>
    <w:lvl w:ilvl="3" w:tplc="7D0E23EE">
      <w:numFmt w:val="none"/>
      <w:lvlText w:val=""/>
      <w:lvlJc w:val="left"/>
      <w:pPr>
        <w:tabs>
          <w:tab w:val="num" w:pos="360"/>
        </w:tabs>
      </w:pPr>
    </w:lvl>
    <w:lvl w:ilvl="4" w:tplc="A2CAA4CA">
      <w:numFmt w:val="none"/>
      <w:lvlText w:val=""/>
      <w:lvlJc w:val="left"/>
      <w:pPr>
        <w:tabs>
          <w:tab w:val="num" w:pos="360"/>
        </w:tabs>
      </w:pPr>
    </w:lvl>
    <w:lvl w:ilvl="5" w:tplc="883264AC">
      <w:numFmt w:val="none"/>
      <w:lvlText w:val=""/>
      <w:lvlJc w:val="left"/>
      <w:pPr>
        <w:tabs>
          <w:tab w:val="num" w:pos="360"/>
        </w:tabs>
      </w:pPr>
    </w:lvl>
    <w:lvl w:ilvl="6" w:tplc="BA7A635C">
      <w:numFmt w:val="none"/>
      <w:lvlText w:val=""/>
      <w:lvlJc w:val="left"/>
      <w:pPr>
        <w:tabs>
          <w:tab w:val="num" w:pos="360"/>
        </w:tabs>
      </w:pPr>
    </w:lvl>
    <w:lvl w:ilvl="7" w:tplc="4B6A8A62">
      <w:numFmt w:val="none"/>
      <w:lvlText w:val=""/>
      <w:lvlJc w:val="left"/>
      <w:pPr>
        <w:tabs>
          <w:tab w:val="num" w:pos="360"/>
        </w:tabs>
      </w:pPr>
    </w:lvl>
    <w:lvl w:ilvl="8" w:tplc="58AE61BC">
      <w:numFmt w:val="none"/>
      <w:lvlText w:val=""/>
      <w:lvlJc w:val="left"/>
      <w:pPr>
        <w:tabs>
          <w:tab w:val="num" w:pos="360"/>
        </w:tabs>
      </w:pPr>
    </w:lvl>
  </w:abstractNum>
  <w:abstractNum w:abstractNumId="10">
    <w:nsid w:val="42266967"/>
    <w:multiLevelType w:val="multilevel"/>
    <w:tmpl w:val="AC9C7F2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9E52948"/>
    <w:multiLevelType w:val="hybridMultilevel"/>
    <w:tmpl w:val="B3E2568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540FAA"/>
    <w:multiLevelType w:val="hybridMultilevel"/>
    <w:tmpl w:val="349A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B00E8B"/>
    <w:multiLevelType w:val="hybridMultilevel"/>
    <w:tmpl w:val="36EC6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0B36EC0"/>
    <w:multiLevelType w:val="multilevel"/>
    <w:tmpl w:val="94087630"/>
    <w:lvl w:ilvl="0">
      <w:start w:val="1"/>
      <w:numFmt w:val="decimal"/>
      <w:lvlText w:val="%1."/>
      <w:lvlJc w:val="left"/>
      <w:pPr>
        <w:ind w:left="101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531"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93"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55" w:hanging="1440"/>
      </w:pPr>
      <w:rPr>
        <w:rFonts w:hint="default"/>
      </w:rPr>
    </w:lvl>
    <w:lvl w:ilvl="8">
      <w:start w:val="1"/>
      <w:numFmt w:val="decimal"/>
      <w:isLgl/>
      <w:lvlText w:val="%1.%2.%3.%4.%5.%6.%7.%8.%9."/>
      <w:lvlJc w:val="left"/>
      <w:pPr>
        <w:ind w:left="2866" w:hanging="1800"/>
      </w:pPr>
      <w:rPr>
        <w:rFonts w:hint="default"/>
      </w:rPr>
    </w:lvl>
  </w:abstractNum>
  <w:abstractNum w:abstractNumId="15">
    <w:nsid w:val="6BBA0954"/>
    <w:multiLevelType w:val="hybridMultilevel"/>
    <w:tmpl w:val="891EA7A2"/>
    <w:lvl w:ilvl="0" w:tplc="E802261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13"/>
  </w:num>
  <w:num w:numId="5">
    <w:abstractNumId w:val="2"/>
  </w:num>
  <w:num w:numId="6">
    <w:abstractNumId w:val="7"/>
  </w:num>
  <w:num w:numId="7">
    <w:abstractNumId w:val="12"/>
  </w:num>
  <w:num w:numId="8">
    <w:abstractNumId w:val="1"/>
  </w:num>
  <w:num w:numId="9">
    <w:abstractNumId w:val="3"/>
  </w:num>
  <w:num w:numId="10">
    <w:abstractNumId w:val="11"/>
  </w:num>
  <w:num w:numId="11">
    <w:abstractNumId w:val="6"/>
  </w:num>
  <w:num w:numId="12">
    <w:abstractNumId w:val="14"/>
  </w:num>
  <w:num w:numId="13">
    <w:abstractNumId w:val="9"/>
  </w:num>
  <w:num w:numId="14">
    <w:abstractNumId w:val="10"/>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F5B"/>
    <w:rsid w:val="00001C5B"/>
    <w:rsid w:val="000048C0"/>
    <w:rsid w:val="000144DB"/>
    <w:rsid w:val="00014790"/>
    <w:rsid w:val="00022C94"/>
    <w:rsid w:val="0002406A"/>
    <w:rsid w:val="00026024"/>
    <w:rsid w:val="000326CA"/>
    <w:rsid w:val="0004738F"/>
    <w:rsid w:val="00050CA9"/>
    <w:rsid w:val="000572A7"/>
    <w:rsid w:val="00060275"/>
    <w:rsid w:val="000708CB"/>
    <w:rsid w:val="00075B08"/>
    <w:rsid w:val="00080200"/>
    <w:rsid w:val="00086152"/>
    <w:rsid w:val="00086597"/>
    <w:rsid w:val="0008757A"/>
    <w:rsid w:val="0009367D"/>
    <w:rsid w:val="00096606"/>
    <w:rsid w:val="000B053A"/>
    <w:rsid w:val="000B1647"/>
    <w:rsid w:val="000B5AB0"/>
    <w:rsid w:val="000B5C8C"/>
    <w:rsid w:val="000B6047"/>
    <w:rsid w:val="000C3757"/>
    <w:rsid w:val="000D2708"/>
    <w:rsid w:val="000E0949"/>
    <w:rsid w:val="000E20F6"/>
    <w:rsid w:val="000E3D24"/>
    <w:rsid w:val="000E78FF"/>
    <w:rsid w:val="000F0193"/>
    <w:rsid w:val="000F3596"/>
    <w:rsid w:val="000F5BE9"/>
    <w:rsid w:val="001018FC"/>
    <w:rsid w:val="00101A89"/>
    <w:rsid w:val="001076CE"/>
    <w:rsid w:val="0012005A"/>
    <w:rsid w:val="001201E0"/>
    <w:rsid w:val="0012029F"/>
    <w:rsid w:val="0012299D"/>
    <w:rsid w:val="001248B0"/>
    <w:rsid w:val="001301B1"/>
    <w:rsid w:val="00140001"/>
    <w:rsid w:val="00141AD6"/>
    <w:rsid w:val="001427B5"/>
    <w:rsid w:val="00150209"/>
    <w:rsid w:val="00150E18"/>
    <w:rsid w:val="00153147"/>
    <w:rsid w:val="00163F96"/>
    <w:rsid w:val="00165E76"/>
    <w:rsid w:val="00174B77"/>
    <w:rsid w:val="0019249C"/>
    <w:rsid w:val="00193645"/>
    <w:rsid w:val="001A12FD"/>
    <w:rsid w:val="001A3815"/>
    <w:rsid w:val="001A5911"/>
    <w:rsid w:val="001A5EA5"/>
    <w:rsid w:val="001B3DF3"/>
    <w:rsid w:val="001B5B4F"/>
    <w:rsid w:val="001B660A"/>
    <w:rsid w:val="001C0EA4"/>
    <w:rsid w:val="001C2F6A"/>
    <w:rsid w:val="001C5478"/>
    <w:rsid w:val="001C75C9"/>
    <w:rsid w:val="001D4913"/>
    <w:rsid w:val="001E2176"/>
    <w:rsid w:val="001E7735"/>
    <w:rsid w:val="00227639"/>
    <w:rsid w:val="002348BE"/>
    <w:rsid w:val="002416B2"/>
    <w:rsid w:val="00245D19"/>
    <w:rsid w:val="002463C5"/>
    <w:rsid w:val="002519DE"/>
    <w:rsid w:val="00255AC1"/>
    <w:rsid w:val="002579E5"/>
    <w:rsid w:val="00262ABC"/>
    <w:rsid w:val="00264025"/>
    <w:rsid w:val="0026551E"/>
    <w:rsid w:val="00267128"/>
    <w:rsid w:val="00270449"/>
    <w:rsid w:val="002734B5"/>
    <w:rsid w:val="00274BEB"/>
    <w:rsid w:val="0029644D"/>
    <w:rsid w:val="0029725F"/>
    <w:rsid w:val="002B600F"/>
    <w:rsid w:val="002B74DF"/>
    <w:rsid w:val="002C5E8E"/>
    <w:rsid w:val="002D455B"/>
    <w:rsid w:val="002D560A"/>
    <w:rsid w:val="002D6E45"/>
    <w:rsid w:val="002E0F5B"/>
    <w:rsid w:val="002E4115"/>
    <w:rsid w:val="002E6E65"/>
    <w:rsid w:val="00300B5F"/>
    <w:rsid w:val="00300C6B"/>
    <w:rsid w:val="00301263"/>
    <w:rsid w:val="00304920"/>
    <w:rsid w:val="00312E8E"/>
    <w:rsid w:val="00320BBD"/>
    <w:rsid w:val="00323D9C"/>
    <w:rsid w:val="003243CD"/>
    <w:rsid w:val="003254AC"/>
    <w:rsid w:val="00332C07"/>
    <w:rsid w:val="00343732"/>
    <w:rsid w:val="00345B84"/>
    <w:rsid w:val="003528A1"/>
    <w:rsid w:val="00361F42"/>
    <w:rsid w:val="0036414B"/>
    <w:rsid w:val="00364C94"/>
    <w:rsid w:val="00364F71"/>
    <w:rsid w:val="003656F3"/>
    <w:rsid w:val="003675B6"/>
    <w:rsid w:val="0037018D"/>
    <w:rsid w:val="003740DD"/>
    <w:rsid w:val="00381FFB"/>
    <w:rsid w:val="003829F9"/>
    <w:rsid w:val="00383CC4"/>
    <w:rsid w:val="0039116F"/>
    <w:rsid w:val="003971AB"/>
    <w:rsid w:val="003A4608"/>
    <w:rsid w:val="003B41DD"/>
    <w:rsid w:val="003C1587"/>
    <w:rsid w:val="003C2C7B"/>
    <w:rsid w:val="003D0DA7"/>
    <w:rsid w:val="003D217D"/>
    <w:rsid w:val="003D4069"/>
    <w:rsid w:val="003D552A"/>
    <w:rsid w:val="003D5A0F"/>
    <w:rsid w:val="003E0FF7"/>
    <w:rsid w:val="003E4649"/>
    <w:rsid w:val="003F14B4"/>
    <w:rsid w:val="0040745A"/>
    <w:rsid w:val="00412C98"/>
    <w:rsid w:val="004135E9"/>
    <w:rsid w:val="00423541"/>
    <w:rsid w:val="00436148"/>
    <w:rsid w:val="00447CF2"/>
    <w:rsid w:val="00450145"/>
    <w:rsid w:val="00452EDE"/>
    <w:rsid w:val="0045792A"/>
    <w:rsid w:val="00460F72"/>
    <w:rsid w:val="0047262D"/>
    <w:rsid w:val="004825A4"/>
    <w:rsid w:val="00487722"/>
    <w:rsid w:val="00495B5C"/>
    <w:rsid w:val="004A0F77"/>
    <w:rsid w:val="004A52D0"/>
    <w:rsid w:val="004B291E"/>
    <w:rsid w:val="004B4066"/>
    <w:rsid w:val="004C065E"/>
    <w:rsid w:val="004C0B11"/>
    <w:rsid w:val="004D04F5"/>
    <w:rsid w:val="004D3E16"/>
    <w:rsid w:val="004E06B8"/>
    <w:rsid w:val="004E386A"/>
    <w:rsid w:val="004F060B"/>
    <w:rsid w:val="004F21BA"/>
    <w:rsid w:val="004F56A0"/>
    <w:rsid w:val="005024E9"/>
    <w:rsid w:val="00502EA5"/>
    <w:rsid w:val="00507061"/>
    <w:rsid w:val="00523AF5"/>
    <w:rsid w:val="00524C19"/>
    <w:rsid w:val="00525FFD"/>
    <w:rsid w:val="0053029B"/>
    <w:rsid w:val="005362CC"/>
    <w:rsid w:val="00543D8C"/>
    <w:rsid w:val="00553369"/>
    <w:rsid w:val="00556017"/>
    <w:rsid w:val="00560A10"/>
    <w:rsid w:val="0056346E"/>
    <w:rsid w:val="0056777B"/>
    <w:rsid w:val="005811AE"/>
    <w:rsid w:val="00583DA9"/>
    <w:rsid w:val="005840A9"/>
    <w:rsid w:val="00597D17"/>
    <w:rsid w:val="005A0466"/>
    <w:rsid w:val="005A5E84"/>
    <w:rsid w:val="005B18B9"/>
    <w:rsid w:val="005B3EB0"/>
    <w:rsid w:val="005B629C"/>
    <w:rsid w:val="005C0FB3"/>
    <w:rsid w:val="005C466C"/>
    <w:rsid w:val="005C4784"/>
    <w:rsid w:val="005D7390"/>
    <w:rsid w:val="005E0EF4"/>
    <w:rsid w:val="005E2906"/>
    <w:rsid w:val="005E6DC5"/>
    <w:rsid w:val="005F1076"/>
    <w:rsid w:val="005F1150"/>
    <w:rsid w:val="006049F9"/>
    <w:rsid w:val="0060670B"/>
    <w:rsid w:val="00606AC1"/>
    <w:rsid w:val="0060701B"/>
    <w:rsid w:val="00610E96"/>
    <w:rsid w:val="0061393C"/>
    <w:rsid w:val="0061446F"/>
    <w:rsid w:val="00626E63"/>
    <w:rsid w:val="0063265C"/>
    <w:rsid w:val="00633552"/>
    <w:rsid w:val="00641995"/>
    <w:rsid w:val="00644FFB"/>
    <w:rsid w:val="00646DA6"/>
    <w:rsid w:val="00664511"/>
    <w:rsid w:val="0067272D"/>
    <w:rsid w:val="00672B05"/>
    <w:rsid w:val="00673526"/>
    <w:rsid w:val="006764F2"/>
    <w:rsid w:val="006861CA"/>
    <w:rsid w:val="0069022D"/>
    <w:rsid w:val="00690C71"/>
    <w:rsid w:val="0069429F"/>
    <w:rsid w:val="006A32CF"/>
    <w:rsid w:val="006A4E0D"/>
    <w:rsid w:val="006A75E1"/>
    <w:rsid w:val="006B479F"/>
    <w:rsid w:val="006B4F09"/>
    <w:rsid w:val="006C4B11"/>
    <w:rsid w:val="006D05E3"/>
    <w:rsid w:val="006D3A84"/>
    <w:rsid w:val="006E047F"/>
    <w:rsid w:val="006E6DDA"/>
    <w:rsid w:val="006E6E60"/>
    <w:rsid w:val="00707B1F"/>
    <w:rsid w:val="00717F5B"/>
    <w:rsid w:val="00721C16"/>
    <w:rsid w:val="00723346"/>
    <w:rsid w:val="00727A40"/>
    <w:rsid w:val="00732C33"/>
    <w:rsid w:val="0074397C"/>
    <w:rsid w:val="00744AE8"/>
    <w:rsid w:val="00745EEF"/>
    <w:rsid w:val="007501EE"/>
    <w:rsid w:val="007557B0"/>
    <w:rsid w:val="00766B9E"/>
    <w:rsid w:val="00767F2B"/>
    <w:rsid w:val="00771FFA"/>
    <w:rsid w:val="00773D41"/>
    <w:rsid w:val="00774F13"/>
    <w:rsid w:val="00782F5D"/>
    <w:rsid w:val="0079283C"/>
    <w:rsid w:val="00794CFE"/>
    <w:rsid w:val="00796275"/>
    <w:rsid w:val="007A3425"/>
    <w:rsid w:val="007A57FE"/>
    <w:rsid w:val="007A607A"/>
    <w:rsid w:val="007B24FE"/>
    <w:rsid w:val="007C7095"/>
    <w:rsid w:val="007E3200"/>
    <w:rsid w:val="007E4632"/>
    <w:rsid w:val="007E5A87"/>
    <w:rsid w:val="007E662F"/>
    <w:rsid w:val="007E6C81"/>
    <w:rsid w:val="007F2BD1"/>
    <w:rsid w:val="007F498D"/>
    <w:rsid w:val="007F5459"/>
    <w:rsid w:val="007F63AB"/>
    <w:rsid w:val="00802277"/>
    <w:rsid w:val="00804536"/>
    <w:rsid w:val="00807DBF"/>
    <w:rsid w:val="00813BD6"/>
    <w:rsid w:val="00815F7D"/>
    <w:rsid w:val="008179E1"/>
    <w:rsid w:val="008239D9"/>
    <w:rsid w:val="00827177"/>
    <w:rsid w:val="0083172F"/>
    <w:rsid w:val="0084197F"/>
    <w:rsid w:val="00845318"/>
    <w:rsid w:val="008507DA"/>
    <w:rsid w:val="008546B6"/>
    <w:rsid w:val="00854976"/>
    <w:rsid w:val="00863019"/>
    <w:rsid w:val="00872780"/>
    <w:rsid w:val="00873FAF"/>
    <w:rsid w:val="00881B65"/>
    <w:rsid w:val="00885E97"/>
    <w:rsid w:val="0089106C"/>
    <w:rsid w:val="00891896"/>
    <w:rsid w:val="008A42ED"/>
    <w:rsid w:val="008A692B"/>
    <w:rsid w:val="008A7569"/>
    <w:rsid w:val="008B030A"/>
    <w:rsid w:val="008C223D"/>
    <w:rsid w:val="008C4CEE"/>
    <w:rsid w:val="008D542A"/>
    <w:rsid w:val="008E5082"/>
    <w:rsid w:val="00903B3B"/>
    <w:rsid w:val="00912728"/>
    <w:rsid w:val="00915BF3"/>
    <w:rsid w:val="009178C6"/>
    <w:rsid w:val="0092125B"/>
    <w:rsid w:val="00925D0D"/>
    <w:rsid w:val="0093057F"/>
    <w:rsid w:val="009314C8"/>
    <w:rsid w:val="009347D0"/>
    <w:rsid w:val="00941385"/>
    <w:rsid w:val="00945A26"/>
    <w:rsid w:val="00953487"/>
    <w:rsid w:val="00956244"/>
    <w:rsid w:val="0096127F"/>
    <w:rsid w:val="00965B13"/>
    <w:rsid w:val="0097391E"/>
    <w:rsid w:val="009815E4"/>
    <w:rsid w:val="0098271C"/>
    <w:rsid w:val="009918D9"/>
    <w:rsid w:val="009A0459"/>
    <w:rsid w:val="009A0E96"/>
    <w:rsid w:val="009A5774"/>
    <w:rsid w:val="009A5E7A"/>
    <w:rsid w:val="009A6157"/>
    <w:rsid w:val="009A760D"/>
    <w:rsid w:val="009B2B47"/>
    <w:rsid w:val="009B547F"/>
    <w:rsid w:val="009C3262"/>
    <w:rsid w:val="009D67E6"/>
    <w:rsid w:val="009D71A4"/>
    <w:rsid w:val="009D7496"/>
    <w:rsid w:val="009E01A5"/>
    <w:rsid w:val="009E5080"/>
    <w:rsid w:val="009F3509"/>
    <w:rsid w:val="009F6EFB"/>
    <w:rsid w:val="00A02296"/>
    <w:rsid w:val="00A03D4F"/>
    <w:rsid w:val="00A10391"/>
    <w:rsid w:val="00A21FAF"/>
    <w:rsid w:val="00A3310F"/>
    <w:rsid w:val="00A40522"/>
    <w:rsid w:val="00A45177"/>
    <w:rsid w:val="00A45763"/>
    <w:rsid w:val="00A503B3"/>
    <w:rsid w:val="00A517FB"/>
    <w:rsid w:val="00A565B8"/>
    <w:rsid w:val="00A56AA5"/>
    <w:rsid w:val="00A6313C"/>
    <w:rsid w:val="00A70457"/>
    <w:rsid w:val="00A70911"/>
    <w:rsid w:val="00A864A1"/>
    <w:rsid w:val="00A86611"/>
    <w:rsid w:val="00A90C21"/>
    <w:rsid w:val="00A917DD"/>
    <w:rsid w:val="00AA5ACB"/>
    <w:rsid w:val="00AB5A9A"/>
    <w:rsid w:val="00AB5F8B"/>
    <w:rsid w:val="00AC10AE"/>
    <w:rsid w:val="00AC175A"/>
    <w:rsid w:val="00AC5ADD"/>
    <w:rsid w:val="00AC6875"/>
    <w:rsid w:val="00AD470E"/>
    <w:rsid w:val="00AD50E0"/>
    <w:rsid w:val="00AE3918"/>
    <w:rsid w:val="00AE4F14"/>
    <w:rsid w:val="00AE7422"/>
    <w:rsid w:val="00AF2688"/>
    <w:rsid w:val="00AF5295"/>
    <w:rsid w:val="00AF6CDF"/>
    <w:rsid w:val="00AF7925"/>
    <w:rsid w:val="00B00E59"/>
    <w:rsid w:val="00B05F53"/>
    <w:rsid w:val="00B073C4"/>
    <w:rsid w:val="00B16847"/>
    <w:rsid w:val="00B269E2"/>
    <w:rsid w:val="00B2763F"/>
    <w:rsid w:val="00B35AE6"/>
    <w:rsid w:val="00B42116"/>
    <w:rsid w:val="00B471BC"/>
    <w:rsid w:val="00B512C0"/>
    <w:rsid w:val="00B558A9"/>
    <w:rsid w:val="00B55E21"/>
    <w:rsid w:val="00B62A5A"/>
    <w:rsid w:val="00B66499"/>
    <w:rsid w:val="00B677E7"/>
    <w:rsid w:val="00B7600F"/>
    <w:rsid w:val="00B81514"/>
    <w:rsid w:val="00B913EF"/>
    <w:rsid w:val="00BA0C9C"/>
    <w:rsid w:val="00BA1545"/>
    <w:rsid w:val="00BA3137"/>
    <w:rsid w:val="00BA5FFA"/>
    <w:rsid w:val="00BA710A"/>
    <w:rsid w:val="00BB05CC"/>
    <w:rsid w:val="00BB1FD2"/>
    <w:rsid w:val="00BC1D01"/>
    <w:rsid w:val="00BC4AAE"/>
    <w:rsid w:val="00BC7E74"/>
    <w:rsid w:val="00BD5FC1"/>
    <w:rsid w:val="00BE6834"/>
    <w:rsid w:val="00BF308C"/>
    <w:rsid w:val="00BF3E35"/>
    <w:rsid w:val="00BF76A0"/>
    <w:rsid w:val="00C0042F"/>
    <w:rsid w:val="00C02E0D"/>
    <w:rsid w:val="00C07E87"/>
    <w:rsid w:val="00C20865"/>
    <w:rsid w:val="00C23A5B"/>
    <w:rsid w:val="00C30C47"/>
    <w:rsid w:val="00C30E01"/>
    <w:rsid w:val="00C50D3C"/>
    <w:rsid w:val="00C510A9"/>
    <w:rsid w:val="00C56022"/>
    <w:rsid w:val="00C65788"/>
    <w:rsid w:val="00C75520"/>
    <w:rsid w:val="00C764C4"/>
    <w:rsid w:val="00C771C7"/>
    <w:rsid w:val="00C85481"/>
    <w:rsid w:val="00C9079E"/>
    <w:rsid w:val="00CA0257"/>
    <w:rsid w:val="00CA391D"/>
    <w:rsid w:val="00CA765D"/>
    <w:rsid w:val="00CB00BA"/>
    <w:rsid w:val="00CB1471"/>
    <w:rsid w:val="00CC4965"/>
    <w:rsid w:val="00CD11CC"/>
    <w:rsid w:val="00CE2778"/>
    <w:rsid w:val="00CE429F"/>
    <w:rsid w:val="00CF1E4E"/>
    <w:rsid w:val="00CF368A"/>
    <w:rsid w:val="00CF4E73"/>
    <w:rsid w:val="00D01FE1"/>
    <w:rsid w:val="00D0688D"/>
    <w:rsid w:val="00D13B38"/>
    <w:rsid w:val="00D2193A"/>
    <w:rsid w:val="00D3390E"/>
    <w:rsid w:val="00D41386"/>
    <w:rsid w:val="00D41CB0"/>
    <w:rsid w:val="00D56BFD"/>
    <w:rsid w:val="00D75E85"/>
    <w:rsid w:val="00D77040"/>
    <w:rsid w:val="00D8056E"/>
    <w:rsid w:val="00D83EAA"/>
    <w:rsid w:val="00D847B0"/>
    <w:rsid w:val="00D857C2"/>
    <w:rsid w:val="00D861E5"/>
    <w:rsid w:val="00D86EBA"/>
    <w:rsid w:val="00D903FD"/>
    <w:rsid w:val="00D9225B"/>
    <w:rsid w:val="00DA2F31"/>
    <w:rsid w:val="00DB3B7C"/>
    <w:rsid w:val="00DD18BB"/>
    <w:rsid w:val="00DD7BAE"/>
    <w:rsid w:val="00DF30CA"/>
    <w:rsid w:val="00E03858"/>
    <w:rsid w:val="00E05AF0"/>
    <w:rsid w:val="00E135A5"/>
    <w:rsid w:val="00E14814"/>
    <w:rsid w:val="00E175DD"/>
    <w:rsid w:val="00E25473"/>
    <w:rsid w:val="00E265CC"/>
    <w:rsid w:val="00E3059F"/>
    <w:rsid w:val="00E30C33"/>
    <w:rsid w:val="00E36004"/>
    <w:rsid w:val="00E417F9"/>
    <w:rsid w:val="00E42124"/>
    <w:rsid w:val="00E53FFA"/>
    <w:rsid w:val="00E557BB"/>
    <w:rsid w:val="00E608C2"/>
    <w:rsid w:val="00E717CD"/>
    <w:rsid w:val="00E7736E"/>
    <w:rsid w:val="00E813FA"/>
    <w:rsid w:val="00E81E63"/>
    <w:rsid w:val="00E91762"/>
    <w:rsid w:val="00E944C8"/>
    <w:rsid w:val="00E966D1"/>
    <w:rsid w:val="00EB7C0B"/>
    <w:rsid w:val="00EC51DC"/>
    <w:rsid w:val="00ED15A6"/>
    <w:rsid w:val="00ED165D"/>
    <w:rsid w:val="00ED73F2"/>
    <w:rsid w:val="00EE1C87"/>
    <w:rsid w:val="00EE1D2B"/>
    <w:rsid w:val="00EE3AF9"/>
    <w:rsid w:val="00EE3FB9"/>
    <w:rsid w:val="00EF2105"/>
    <w:rsid w:val="00EF294B"/>
    <w:rsid w:val="00F002F8"/>
    <w:rsid w:val="00F033DF"/>
    <w:rsid w:val="00F079E2"/>
    <w:rsid w:val="00F11E21"/>
    <w:rsid w:val="00F143D6"/>
    <w:rsid w:val="00F22AEC"/>
    <w:rsid w:val="00F242B8"/>
    <w:rsid w:val="00F264ED"/>
    <w:rsid w:val="00F36EB2"/>
    <w:rsid w:val="00F3744F"/>
    <w:rsid w:val="00F50A27"/>
    <w:rsid w:val="00F51B75"/>
    <w:rsid w:val="00F52677"/>
    <w:rsid w:val="00F57D2C"/>
    <w:rsid w:val="00F67DA5"/>
    <w:rsid w:val="00F7427F"/>
    <w:rsid w:val="00F756D7"/>
    <w:rsid w:val="00F84838"/>
    <w:rsid w:val="00F86C18"/>
    <w:rsid w:val="00F94B8F"/>
    <w:rsid w:val="00F9541A"/>
    <w:rsid w:val="00FA4610"/>
    <w:rsid w:val="00FA529F"/>
    <w:rsid w:val="00FB04EA"/>
    <w:rsid w:val="00FB15EC"/>
    <w:rsid w:val="00FB29BC"/>
    <w:rsid w:val="00FC12BF"/>
    <w:rsid w:val="00FC1B86"/>
    <w:rsid w:val="00FC1C0A"/>
    <w:rsid w:val="00FC2D49"/>
    <w:rsid w:val="00FC2D98"/>
    <w:rsid w:val="00FC5C1C"/>
    <w:rsid w:val="00FC5D86"/>
    <w:rsid w:val="00FF0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514"/>
  </w:style>
  <w:style w:type="paragraph" w:styleId="4">
    <w:name w:val="heading 4"/>
    <w:basedOn w:val="a"/>
    <w:next w:val="a"/>
    <w:qFormat/>
    <w:rsid w:val="00B81514"/>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81514"/>
    <w:pPr>
      <w:jc w:val="center"/>
    </w:pPr>
    <w:rPr>
      <w:sz w:val="24"/>
    </w:rPr>
  </w:style>
  <w:style w:type="table" w:styleId="a4">
    <w:name w:val="Table Grid"/>
    <w:basedOn w:val="a1"/>
    <w:rsid w:val="00364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41CB0"/>
    <w:pPr>
      <w:tabs>
        <w:tab w:val="center" w:pos="4677"/>
        <w:tab w:val="right" w:pos="9355"/>
      </w:tabs>
    </w:pPr>
  </w:style>
  <w:style w:type="character" w:styleId="a6">
    <w:name w:val="page number"/>
    <w:basedOn w:val="a0"/>
    <w:rsid w:val="00D41CB0"/>
  </w:style>
  <w:style w:type="paragraph" w:customStyle="1" w:styleId="ConsPlusNormal">
    <w:name w:val="ConsPlusNormal"/>
    <w:rsid w:val="00AF2688"/>
    <w:pPr>
      <w:widowControl w:val="0"/>
      <w:autoSpaceDE w:val="0"/>
      <w:autoSpaceDN w:val="0"/>
      <w:adjustRightInd w:val="0"/>
      <w:ind w:firstLine="720"/>
    </w:pPr>
    <w:rPr>
      <w:rFonts w:ascii="Arial" w:hAnsi="Arial" w:cs="Arial"/>
    </w:rPr>
  </w:style>
  <w:style w:type="paragraph" w:customStyle="1" w:styleId="1">
    <w:name w:val="1"/>
    <w:basedOn w:val="a"/>
    <w:rsid w:val="00FA529F"/>
    <w:pPr>
      <w:spacing w:after="160" w:line="240" w:lineRule="exact"/>
    </w:pPr>
    <w:rPr>
      <w:rFonts w:ascii="Verdana" w:hAnsi="Verdana"/>
      <w:lang w:val="en-US" w:eastAsia="en-US"/>
    </w:rPr>
  </w:style>
  <w:style w:type="paragraph" w:styleId="a7">
    <w:name w:val="List Paragraph"/>
    <w:basedOn w:val="a"/>
    <w:uiPriority w:val="34"/>
    <w:qFormat/>
    <w:rsid w:val="004A0F77"/>
    <w:pPr>
      <w:ind w:left="708"/>
    </w:pPr>
  </w:style>
  <w:style w:type="paragraph" w:styleId="a8">
    <w:name w:val="Balloon Text"/>
    <w:basedOn w:val="a"/>
    <w:link w:val="a9"/>
    <w:uiPriority w:val="99"/>
    <w:semiHidden/>
    <w:unhideWhenUsed/>
    <w:rsid w:val="00C30C47"/>
    <w:rPr>
      <w:rFonts w:ascii="Tahoma" w:hAnsi="Tahoma" w:cs="Tahoma"/>
      <w:sz w:val="16"/>
      <w:szCs w:val="16"/>
    </w:rPr>
  </w:style>
  <w:style w:type="character" w:customStyle="1" w:styleId="a9">
    <w:name w:val="Текст выноски Знак"/>
    <w:basedOn w:val="a0"/>
    <w:link w:val="a8"/>
    <w:uiPriority w:val="99"/>
    <w:semiHidden/>
    <w:rsid w:val="00C30C47"/>
    <w:rPr>
      <w:rFonts w:ascii="Tahoma" w:hAnsi="Tahoma" w:cs="Tahoma"/>
      <w:sz w:val="16"/>
      <w:szCs w:val="16"/>
    </w:rPr>
  </w:style>
  <w:style w:type="paragraph" w:customStyle="1" w:styleId="ConsPlusNonformat">
    <w:name w:val="ConsPlusNonformat"/>
    <w:rsid w:val="009314C8"/>
    <w:pPr>
      <w:widowControl w:val="0"/>
      <w:autoSpaceDE w:val="0"/>
      <w:autoSpaceDN w:val="0"/>
      <w:adjustRightInd w:val="0"/>
    </w:pPr>
    <w:rPr>
      <w:rFonts w:ascii="Courier New" w:eastAsia="Calibri" w:hAnsi="Courier New" w:cs="Courier New"/>
    </w:rPr>
  </w:style>
  <w:style w:type="paragraph" w:customStyle="1" w:styleId="normal">
    <w:name w:val="normal"/>
    <w:basedOn w:val="a"/>
    <w:rsid w:val="008A7569"/>
    <w:pPr>
      <w:spacing w:before="100" w:beforeAutospacing="1" w:after="100" w:afterAutospacing="1"/>
    </w:pPr>
    <w:rPr>
      <w:rFonts w:eastAsia="Calibri"/>
      <w:sz w:val="24"/>
      <w:szCs w:val="24"/>
    </w:rPr>
  </w:style>
  <w:style w:type="paragraph" w:customStyle="1" w:styleId="3">
    <w:name w:val="Абзац списка3"/>
    <w:basedOn w:val="a"/>
    <w:rsid w:val="008A7569"/>
    <w:pPr>
      <w:ind w:left="720"/>
      <w:contextualSpacing/>
    </w:pPr>
    <w:rPr>
      <w:rFonts w:eastAsia="Calibri"/>
      <w:sz w:val="24"/>
      <w:szCs w:val="24"/>
    </w:rPr>
  </w:style>
  <w:style w:type="paragraph" w:customStyle="1" w:styleId="5">
    <w:name w:val="Абзац списка5"/>
    <w:basedOn w:val="a"/>
    <w:rsid w:val="008A7569"/>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428228988">
      <w:bodyDiv w:val="1"/>
      <w:marLeft w:val="0"/>
      <w:marRight w:val="0"/>
      <w:marTop w:val="0"/>
      <w:marBottom w:val="0"/>
      <w:divBdr>
        <w:top w:val="none" w:sz="0" w:space="0" w:color="auto"/>
        <w:left w:val="none" w:sz="0" w:space="0" w:color="auto"/>
        <w:bottom w:val="none" w:sz="0" w:space="0" w:color="auto"/>
        <w:right w:val="none" w:sz="0" w:space="0" w:color="auto"/>
      </w:divBdr>
    </w:div>
    <w:div w:id="1817910153">
      <w:bodyDiv w:val="1"/>
      <w:marLeft w:val="0"/>
      <w:marRight w:val="0"/>
      <w:marTop w:val="0"/>
      <w:marBottom w:val="0"/>
      <w:divBdr>
        <w:top w:val="none" w:sz="0" w:space="0" w:color="auto"/>
        <w:left w:val="none" w:sz="0" w:space="0" w:color="auto"/>
        <w:bottom w:val="none" w:sz="0" w:space="0" w:color="auto"/>
        <w:right w:val="none" w:sz="0" w:space="0" w:color="auto"/>
      </w:divBdr>
    </w:div>
    <w:div w:id="1943492603">
      <w:bodyDiv w:val="1"/>
      <w:marLeft w:val="0"/>
      <w:marRight w:val="0"/>
      <w:marTop w:val="0"/>
      <w:marBottom w:val="0"/>
      <w:divBdr>
        <w:top w:val="none" w:sz="0" w:space="0" w:color="auto"/>
        <w:left w:val="none" w:sz="0" w:space="0" w:color="auto"/>
        <w:bottom w:val="none" w:sz="0" w:space="0" w:color="auto"/>
        <w:right w:val="none" w:sz="0" w:space="0" w:color="auto"/>
      </w:divBdr>
    </w:div>
    <w:div w:id="1983532692">
      <w:bodyDiv w:val="1"/>
      <w:marLeft w:val="0"/>
      <w:marRight w:val="0"/>
      <w:marTop w:val="0"/>
      <w:marBottom w:val="0"/>
      <w:divBdr>
        <w:top w:val="none" w:sz="0" w:space="0" w:color="auto"/>
        <w:left w:val="none" w:sz="0" w:space="0" w:color="auto"/>
        <w:bottom w:val="none" w:sz="0" w:space="0" w:color="auto"/>
        <w:right w:val="none" w:sz="0" w:space="0" w:color="auto"/>
      </w:divBdr>
    </w:div>
    <w:div w:id="21340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РФ</vt:lpstr>
    </vt:vector>
  </TitlesOfParts>
  <Company>Home and Office</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Давыдов А.А.</dc:creator>
  <cp:lastModifiedBy>райфо29</cp:lastModifiedBy>
  <cp:revision>2</cp:revision>
  <cp:lastPrinted>2017-12-27T08:03:00Z</cp:lastPrinted>
  <dcterms:created xsi:type="dcterms:W3CDTF">2018-03-28T13:01:00Z</dcterms:created>
  <dcterms:modified xsi:type="dcterms:W3CDTF">2018-03-28T13:01:00Z</dcterms:modified>
</cp:coreProperties>
</file>