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7A" w:rsidRDefault="0085107A">
      <w:pPr>
        <w:widowControl w:val="0"/>
        <w:autoSpaceDE w:val="0"/>
        <w:autoSpaceDN w:val="0"/>
        <w:adjustRightInd w:val="0"/>
        <w:spacing w:after="0" w:line="240" w:lineRule="auto"/>
        <w:jc w:val="center"/>
        <w:outlineLvl w:val="0"/>
        <w:rPr>
          <w:rFonts w:ascii="Calibri" w:hAnsi="Calibri" w:cs="Calibri"/>
        </w:rPr>
      </w:pPr>
    </w:p>
    <w:p w:rsidR="0085107A" w:rsidRDefault="0085107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5107A" w:rsidRDefault="0085107A">
      <w:pPr>
        <w:widowControl w:val="0"/>
        <w:autoSpaceDE w:val="0"/>
        <w:autoSpaceDN w:val="0"/>
        <w:adjustRightInd w:val="0"/>
        <w:spacing w:after="0" w:line="240" w:lineRule="auto"/>
        <w:jc w:val="center"/>
        <w:rPr>
          <w:rFonts w:ascii="Calibri" w:hAnsi="Calibri" w:cs="Calibri"/>
          <w:b/>
          <w:bCs/>
        </w:rPr>
      </w:pP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1156</w:t>
      </w:r>
    </w:p>
    <w:p w:rsidR="0085107A" w:rsidRDefault="0085107A">
      <w:pPr>
        <w:widowControl w:val="0"/>
        <w:autoSpaceDE w:val="0"/>
        <w:autoSpaceDN w:val="0"/>
        <w:adjustRightInd w:val="0"/>
        <w:spacing w:after="0" w:line="240" w:lineRule="auto"/>
        <w:jc w:val="center"/>
        <w:rPr>
          <w:rFonts w:ascii="Calibri" w:hAnsi="Calibri" w:cs="Calibri"/>
          <w:b/>
          <w:bCs/>
        </w:rPr>
      </w:pP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ПОВЕДЕНИЯ ЗРИТЕЛЕЙ ПРИ ПРОВЕДЕНИИ ОФИЦИАЛЬНЫХ</w:t>
      </w: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СОРЕВНОВАНИЙ</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30.01.2014 N 65)</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1.3 статьи 20</w:t>
        </w:r>
      </w:hyperlink>
      <w:r>
        <w:rPr>
          <w:rFonts w:ascii="Calibri" w:hAnsi="Calibri" w:cs="Calibri"/>
        </w:rPr>
        <w:t xml:space="preserve"> Федерального закона "О физической культуре и спорте в Российской Федерации" Правительство Российской Федерации постановляет:</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поведения зрителей при проведении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20 января 2014 г.</w:t>
      </w:r>
    </w:p>
    <w:p w:rsidR="0085107A" w:rsidRDefault="0085107A">
      <w:pPr>
        <w:widowControl w:val="0"/>
        <w:autoSpaceDE w:val="0"/>
        <w:autoSpaceDN w:val="0"/>
        <w:adjustRightInd w:val="0"/>
        <w:spacing w:after="0" w:line="240" w:lineRule="auto"/>
        <w:jc w:val="right"/>
        <w:rPr>
          <w:rFonts w:ascii="Calibri" w:hAnsi="Calibri" w:cs="Calibri"/>
        </w:rPr>
      </w:pP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5107A" w:rsidRDefault="0085107A">
      <w:pPr>
        <w:widowControl w:val="0"/>
        <w:autoSpaceDE w:val="0"/>
        <w:autoSpaceDN w:val="0"/>
        <w:adjustRightInd w:val="0"/>
        <w:spacing w:after="0" w:line="240" w:lineRule="auto"/>
        <w:jc w:val="right"/>
        <w:rPr>
          <w:rFonts w:ascii="Calibri" w:hAnsi="Calibri" w:cs="Calibri"/>
        </w:rPr>
      </w:pPr>
    </w:p>
    <w:p w:rsidR="0085107A" w:rsidRDefault="0085107A">
      <w:pPr>
        <w:widowControl w:val="0"/>
        <w:autoSpaceDE w:val="0"/>
        <w:autoSpaceDN w:val="0"/>
        <w:adjustRightInd w:val="0"/>
        <w:spacing w:after="0" w:line="240" w:lineRule="auto"/>
        <w:jc w:val="right"/>
        <w:rPr>
          <w:rFonts w:ascii="Calibri" w:hAnsi="Calibri" w:cs="Calibri"/>
        </w:rPr>
      </w:pPr>
    </w:p>
    <w:p w:rsidR="0085107A" w:rsidRDefault="0085107A">
      <w:pPr>
        <w:widowControl w:val="0"/>
        <w:autoSpaceDE w:val="0"/>
        <w:autoSpaceDN w:val="0"/>
        <w:adjustRightInd w:val="0"/>
        <w:spacing w:after="0" w:line="240" w:lineRule="auto"/>
        <w:jc w:val="right"/>
        <w:rPr>
          <w:rFonts w:ascii="Calibri" w:hAnsi="Calibri" w:cs="Calibri"/>
        </w:rPr>
      </w:pPr>
    </w:p>
    <w:p w:rsidR="0085107A" w:rsidRDefault="0085107A">
      <w:pPr>
        <w:widowControl w:val="0"/>
        <w:autoSpaceDE w:val="0"/>
        <w:autoSpaceDN w:val="0"/>
        <w:adjustRightInd w:val="0"/>
        <w:spacing w:after="0" w:line="240" w:lineRule="auto"/>
        <w:jc w:val="right"/>
        <w:rPr>
          <w:rFonts w:ascii="Calibri" w:hAnsi="Calibri" w:cs="Calibri"/>
        </w:rPr>
      </w:pPr>
    </w:p>
    <w:p w:rsidR="0085107A" w:rsidRDefault="0085107A">
      <w:pPr>
        <w:widowControl w:val="0"/>
        <w:autoSpaceDE w:val="0"/>
        <w:autoSpaceDN w:val="0"/>
        <w:adjustRightInd w:val="0"/>
        <w:spacing w:after="0" w:line="240" w:lineRule="auto"/>
        <w:jc w:val="right"/>
        <w:rPr>
          <w:rFonts w:ascii="Calibri" w:hAnsi="Calibri" w:cs="Calibri"/>
        </w:rPr>
      </w:pPr>
    </w:p>
    <w:p w:rsidR="0085107A" w:rsidRDefault="0085107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от 16 декабря 2013 г. N 1156</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ПОВЕДЕНИЯ ЗРИТЕЛЕЙ ПРИ ПРОВЕДЕНИИ ОФИЦИАЛЬНЫХ</w:t>
      </w:r>
    </w:p>
    <w:p w:rsidR="0085107A" w:rsidRDefault="008510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СОРЕВНОВАНИЙ</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30.01.2014 N 65)</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поведения зрителей, их права и обязанности при проведении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настоящих Правил распространяется на официальные спортивные соревнования в рамках проведения XXII Олимпийских зимних игр и XI Паралимпийских зимних игр 2014 года в г. Сочи в части, не противоречащей Федеральному </w:t>
      </w:r>
      <w:hyperlink r:id="rId7" w:history="1">
        <w:r>
          <w:rPr>
            <w:rFonts w:ascii="Calibri" w:hAnsi="Calibri" w:cs="Calibri"/>
            <w:color w:val="0000FF"/>
          </w:rPr>
          <w:t>закону</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w:t>
      </w:r>
      <w:proofErr w:type="gramEnd"/>
      <w:r>
        <w:rPr>
          <w:rFonts w:ascii="Calibri" w:hAnsi="Calibri" w:cs="Calibri"/>
        </w:rPr>
        <w:t xml:space="preserve"> отдельные 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паралимпийского комитета.</w:t>
      </w:r>
    </w:p>
    <w:p w:rsidR="0085107A" w:rsidRDefault="00851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 w:history="1">
        <w:r>
          <w:rPr>
            <w:rFonts w:ascii="Calibri" w:hAnsi="Calibri" w:cs="Calibri"/>
            <w:color w:val="0000FF"/>
          </w:rPr>
          <w:t>Постановлением</w:t>
        </w:r>
      </w:hyperlink>
      <w:r>
        <w:rPr>
          <w:rFonts w:ascii="Calibri" w:hAnsi="Calibri" w:cs="Calibri"/>
        </w:rPr>
        <w:t xml:space="preserve"> Правительства РФ от 30.01.2014 N 65)</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настоящих Правил, не предусмотренные требованиями Международного олимпийского комитета и Международного паралимпийского комитета, не применяются при проведении XXII Олимпийских зимних игр и XI Паралимпийских зимних игр 2014 года в </w:t>
      </w:r>
      <w:proofErr w:type="gramStart"/>
      <w:r>
        <w:rPr>
          <w:rFonts w:ascii="Calibri" w:hAnsi="Calibri" w:cs="Calibri"/>
        </w:rPr>
        <w:t>г</w:t>
      </w:r>
      <w:proofErr w:type="gramEnd"/>
      <w:r>
        <w:rPr>
          <w:rFonts w:ascii="Calibri" w:hAnsi="Calibri" w:cs="Calibri"/>
        </w:rPr>
        <w:t>. Сочи.</w:t>
      </w:r>
    </w:p>
    <w:p w:rsidR="0085107A" w:rsidRDefault="008510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 w:history="1">
        <w:r>
          <w:rPr>
            <w:rFonts w:ascii="Calibri" w:hAnsi="Calibri" w:cs="Calibri"/>
            <w:color w:val="0000FF"/>
          </w:rPr>
          <w:t>Постановлением</w:t>
        </w:r>
      </w:hyperlink>
      <w:r>
        <w:rPr>
          <w:rFonts w:ascii="Calibri" w:hAnsi="Calibri" w:cs="Calibri"/>
        </w:rPr>
        <w:t xml:space="preserve"> Правительства РФ от 30.01.2014 N 65)</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целей настоящих Правил используются следующие основные понятия:</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"громоздкий предмет" - любой объект, размеры которого по длине, ширине и высоте превышают 40 x 40 x 45 сантиметров;</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"объединение зрителей" - группа лиц, состоящая </w:t>
      </w:r>
      <w:proofErr w:type="gramStart"/>
      <w:r>
        <w:rPr>
          <w:rFonts w:ascii="Calibri" w:hAnsi="Calibri" w:cs="Calibri"/>
        </w:rPr>
        <w:t>из</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ar95" w:history="1">
        <w:r>
          <w:rPr>
            <w:rFonts w:ascii="Calibri" w:hAnsi="Calibri" w:cs="Calibri"/>
            <w:color w:val="0000FF"/>
          </w:rPr>
          <w:t>подпунктом "м" пункта 5</w:t>
        </w:r>
      </w:hyperlink>
      <w:r>
        <w:rPr>
          <w:rFonts w:ascii="Calibri" w:hAnsi="Calibri" w:cs="Calibri"/>
        </w:rPr>
        <w:t xml:space="preserve"> настоящих Правил;</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hyperlink r:id="rId10" w:history="1">
        <w:r>
          <w:rPr>
            <w:rFonts w:ascii="Calibri" w:hAnsi="Calibri" w:cs="Calibri"/>
            <w:color w:val="0000FF"/>
          </w:rPr>
          <w:t>законом</w:t>
        </w:r>
      </w:hyperlink>
      <w:r>
        <w:rPr>
          <w:rFonts w:ascii="Calibri" w:hAnsi="Calibri" w:cs="Calibri"/>
        </w:rPr>
        <w:t xml:space="preserve"> "О физической культуре и спорте в Российской Федерации".</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Права и обязанности зрителей, а также запреты,</w:t>
      </w:r>
    </w:p>
    <w:p w:rsidR="0085107A" w:rsidRDefault="008510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распространяемые</w:t>
      </w:r>
      <w:proofErr w:type="gramEnd"/>
      <w:r>
        <w:rPr>
          <w:rFonts w:ascii="Calibri" w:hAnsi="Calibri" w:cs="Calibri"/>
        </w:rPr>
        <w:t xml:space="preserve"> на зрителей при проведении официальных</w:t>
      </w:r>
    </w:p>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спортивных соревнований</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Зрители при проведении официальных спортивных соревнований имеют право:</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оказание необходимой медицинской помощи в случаях и в порядке, которые установлены законодательством Российской Федерации;</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roofErr w:type="gramEnd"/>
      <w:r>
        <w:rPr>
          <w:rFonts w:ascii="Calibri" w:hAnsi="Calibri" w:cs="Calibri"/>
        </w:rPr>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нахождение в месте проведения официального спортивного соревнования в течение всего времени проведения такого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 пользование всеми услугами, предоставляемыми в местах проведения официальных </w:t>
      </w:r>
      <w:r>
        <w:rPr>
          <w:rFonts w:ascii="Calibri" w:hAnsi="Calibri" w:cs="Calibri"/>
        </w:rPr>
        <w:lastRenderedPageBreak/>
        <w:t>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пронос в места проведения официальных спортивных соревнований и использование при проведении таких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личных вещей, не запрещенных к проносу настоящими Правилами;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поддержки, отвечающих требованиям, предусмотренным </w:t>
      </w:r>
      <w:hyperlink w:anchor="Par112" w:history="1">
        <w:r>
          <w:rPr>
            <w:rFonts w:ascii="Calibri" w:hAnsi="Calibri" w:cs="Calibri"/>
            <w:color w:val="0000FF"/>
          </w:rPr>
          <w:t>пунктом 7</w:t>
        </w:r>
      </w:hyperlink>
      <w:r>
        <w:rPr>
          <w:rFonts w:ascii="Calibri" w:hAnsi="Calibri" w:cs="Calibri"/>
        </w:rPr>
        <w:t xml:space="preserve"> настоящих Правил;</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 поддержку участников официальных спортивных соревнований стоя при отсутствии возражений со стороны других зрителей;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на сохранность личных вещей, сдаваемых в камеру хранения, расположенную на объекте спорта;</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Зрители при проведении официальных спортивных соревнований обязаны:</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сдавать в камеру хранения громоздкие предметы, кроме случаев, когда пронос громоздких предметов </w:t>
      </w:r>
      <w:proofErr w:type="gramStart"/>
      <w:r>
        <w:rPr>
          <w:rFonts w:ascii="Calibri" w:hAnsi="Calibri" w:cs="Calibri"/>
        </w:rPr>
        <w:t>в место проведения</w:t>
      </w:r>
      <w:proofErr w:type="gramEnd"/>
      <w:r>
        <w:rPr>
          <w:rFonts w:ascii="Calibri" w:hAnsi="Calibri" w:cs="Calibri"/>
        </w:rPr>
        <w:t xml:space="preserve"> официального спортивного соревнования согласован с организатором 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w:t>
      </w:r>
      <w:r>
        <w:rPr>
          <w:rFonts w:ascii="Calibri" w:hAnsi="Calibri" w:cs="Calibri"/>
        </w:rPr>
        <w:lastRenderedPageBreak/>
        <w:t>проведения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12" w:history="1">
        <w:r>
          <w:rPr>
            <w:rFonts w:ascii="Calibri" w:hAnsi="Calibri" w:cs="Calibri"/>
            <w:color w:val="0000FF"/>
          </w:rPr>
          <w:t>правилами</w:t>
        </w:r>
      </w:hyperlink>
      <w:r>
        <w:rPr>
          <w:rFonts w:ascii="Calibri" w:hAnsi="Calibri" w:cs="Calibri"/>
        </w:rPr>
        <w:t xml:space="preserve"> пожарной безопасности и утвержденному плану эвакуации, сохраняя спокойствие и не создавая паники.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Зрителям в местах проведения официальных спортивных соревнований запрещается: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состоянии опьянения, оскорбляющем человеческое достоинство и общественную нравственность;</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w:t>
      </w:r>
      <w:r>
        <w:rPr>
          <w:rFonts w:ascii="Calibri" w:hAnsi="Calibri" w:cs="Calibri"/>
        </w:rPr>
        <w:lastRenderedPageBreak/>
        <w:t>спортивного соревнования или собственников (пользователей) объектов спорта;</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проводить публичные мероприятия, не предусмотренные положением (регламентом) проведения 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м) проносить в место проведения официального спортивного соревнования и использовать:</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огнеопасные и пиротехнические вещества или изделия (за исключением спичек, карманных зажигалок), включая сигнальные ракеты, файеры,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вещества, предметы, изделия, в том числе самодельного изготовления, использование которых может привести к задымлению, воспламенению;</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(пневмохлопушки);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красящие вещества;</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духовые приспособления для извлечения звуков (в том числе вувузелы), за исключением горнов и дудок;</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алкогольные напитки любого рода, наркотические и токсические вещества или стимуляторы;</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прохладительные напитки в стеклянной или жестяной таре, а также в пластиковой таре объемом более 0,5 литра;</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rPr>
          <w:rFonts w:ascii="Calibri" w:hAnsi="Calibri" w:cs="Calibri"/>
        </w:rPr>
        <w:t xml:space="preserve">, без возмещения его стоимости. </w:t>
      </w:r>
      <w:proofErr w:type="gramStart"/>
      <w:r>
        <w:rPr>
          <w:rFonts w:ascii="Calibri" w:hAnsi="Calibri" w:cs="Calibri"/>
        </w:rPr>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III. Средства поддержки</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85107A" w:rsidRDefault="0085107A">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lastRenderedPageBreak/>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85107A" w:rsidRDefault="0085107A">
      <w:pPr>
        <w:widowControl w:val="0"/>
        <w:autoSpaceDE w:val="0"/>
        <w:autoSpaceDN w:val="0"/>
        <w:adjustRightInd w:val="0"/>
        <w:spacing w:after="0" w:line="240" w:lineRule="auto"/>
        <w:ind w:firstLine="540"/>
        <w:jc w:val="both"/>
        <w:rPr>
          <w:rFonts w:ascii="Calibri" w:hAnsi="Calibri" w:cs="Calibri"/>
        </w:rPr>
      </w:pPr>
      <w:bookmarkStart w:id="9" w:name="Par115"/>
      <w:bookmarkEnd w:id="9"/>
      <w:r>
        <w:rPr>
          <w:rFonts w:ascii="Calibri" w:hAnsi="Calibri" w:cs="Calibri"/>
        </w:rPr>
        <w:t>в) не иметь целью оскорбление чести и достоинства участников, зрителей и (или) организаторов 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баннеров и флагов - не превышать размеров 2 метра x 1,5 метра, в том числе на пустотельных древках, не превышающих 1,5 метра в длину и 2,5 сантиметра в диаметре;</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являться предметами, использование и (или) хранение которых не допускается законодательством Российской Федерации;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rPr>
          <w:rFonts w:ascii="Calibri" w:hAnsi="Calibri" w:cs="Calibri"/>
        </w:rPr>
        <w:t>в место проведения</w:t>
      </w:r>
      <w:proofErr w:type="gramEnd"/>
      <w:r>
        <w:rPr>
          <w:rFonts w:ascii="Calibri" w:hAnsi="Calibri" w:cs="Calibri"/>
        </w:rPr>
        <w:t xml:space="preserve"> 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сектор для активной поддержки по предварительному согласованию с организатором официального спортивного соревнования в порядке</w:t>
      </w:r>
      <w:proofErr w:type="gramEnd"/>
      <w:r>
        <w:rPr>
          <w:rFonts w:ascii="Calibri" w:hAnsi="Calibri" w:cs="Calibri"/>
        </w:rPr>
        <w:t xml:space="preserve">, установленном </w:t>
      </w:r>
      <w:hyperlink w:anchor="Par122" w:history="1">
        <w:r>
          <w:rPr>
            <w:rFonts w:ascii="Calibri" w:hAnsi="Calibri" w:cs="Calibri"/>
            <w:color w:val="0000FF"/>
          </w:rPr>
          <w:t>пунктом 11</w:t>
        </w:r>
      </w:hyperlink>
      <w:r>
        <w:rPr>
          <w:rFonts w:ascii="Calibri" w:hAnsi="Calibri" w:cs="Calibri"/>
        </w:rPr>
        <w:t xml:space="preserve"> настоящих Правил, допускается пронос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Пронос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bookmarkStart w:id="10" w:name="Par122"/>
      <w:bookmarkEnd w:id="10"/>
      <w:r>
        <w:rPr>
          <w:rFonts w:ascii="Calibri" w:hAnsi="Calibri" w:cs="Calibri"/>
        </w:rPr>
        <w:t xml:space="preserve">11. В целях согласования средств поддержки, не соответствующих требованиям, предусмотренным </w:t>
      </w:r>
      <w:hyperlink w:anchor="Par112" w:history="1">
        <w:r>
          <w:rPr>
            <w:rFonts w:ascii="Calibri" w:hAnsi="Calibri" w:cs="Calibri"/>
            <w:color w:val="0000FF"/>
          </w:rPr>
          <w:t>пунктом 7</w:t>
        </w:r>
      </w:hyperlink>
      <w:r>
        <w:rPr>
          <w:rFonts w:ascii="Calibri" w:hAnsi="Calibri" w:cs="Calibri"/>
        </w:rP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поддержки, не соответствующие требованиям, предусмотренным </w:t>
      </w:r>
      <w:hyperlink w:anchor="Par113" w:history="1">
        <w:r>
          <w:rPr>
            <w:rFonts w:ascii="Calibri" w:hAnsi="Calibri" w:cs="Calibri"/>
            <w:color w:val="0000FF"/>
          </w:rPr>
          <w:t>подпунктами "а"</w:t>
        </w:r>
      </w:hyperlink>
      <w:r>
        <w:rPr>
          <w:rFonts w:ascii="Calibri" w:hAnsi="Calibri" w:cs="Calibri"/>
        </w:rPr>
        <w:t xml:space="preserve"> - </w:t>
      </w:r>
      <w:hyperlink w:anchor="Par115" w:history="1">
        <w:r>
          <w:rPr>
            <w:rFonts w:ascii="Calibri" w:hAnsi="Calibri" w:cs="Calibri"/>
            <w:color w:val="0000FF"/>
          </w:rPr>
          <w:t>"в" пункта 7</w:t>
        </w:r>
      </w:hyperlink>
      <w:r>
        <w:rPr>
          <w:rFonts w:ascii="Calibri" w:hAnsi="Calibri" w:cs="Calibri"/>
        </w:rPr>
        <w:t xml:space="preserve"> настоящих Правил, не подлежат согласованию.</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каждое средство поддержки, согласованное в порядке, предусмотренном </w:t>
      </w:r>
      <w:hyperlink w:anchor="Par122" w:history="1">
        <w:r>
          <w:rPr>
            <w:rFonts w:ascii="Calibri" w:hAnsi="Calibri" w:cs="Calibri"/>
            <w:color w:val="0000FF"/>
          </w:rPr>
          <w:t>пунктом 11</w:t>
        </w:r>
      </w:hyperlink>
      <w:r>
        <w:rPr>
          <w:rFonts w:ascii="Calibri" w:hAnsi="Calibri" w:cs="Calibri"/>
        </w:rPr>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лице, ответственном за средство поддержки, согласованное в порядке, предусмотренном </w:t>
      </w:r>
      <w:hyperlink w:anchor="Par122" w:history="1">
        <w:r>
          <w:rPr>
            <w:rFonts w:ascii="Calibri" w:hAnsi="Calibri" w:cs="Calibri"/>
            <w:color w:val="0000FF"/>
          </w:rPr>
          <w:t>пунктом 11</w:t>
        </w:r>
      </w:hyperlink>
      <w:r>
        <w:rPr>
          <w:rFonts w:ascii="Calibri" w:hAnsi="Calibri" w:cs="Calibri"/>
        </w:rP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Количество и места размещения средств поддержки, согласованных в порядке, предусмотренном </w:t>
      </w:r>
      <w:hyperlink w:anchor="Par122" w:history="1">
        <w:r>
          <w:rPr>
            <w:rFonts w:ascii="Calibri" w:hAnsi="Calibri" w:cs="Calibri"/>
            <w:color w:val="0000FF"/>
          </w:rPr>
          <w:t>пунктом 11</w:t>
        </w:r>
      </w:hyperlink>
      <w:r>
        <w:rPr>
          <w:rFonts w:ascii="Calibri" w:hAnsi="Calibri" w:cs="Calibri"/>
        </w:rPr>
        <w:t xml:space="preserve"> настоящих Правил, определяются организатором официального спортивного соревнования или лицом, им уполномоченным.</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w:t>
      </w:r>
      <w:r>
        <w:rPr>
          <w:rFonts w:ascii="Calibri" w:hAnsi="Calibri" w:cs="Calibri"/>
        </w:rPr>
        <w:lastRenderedPageBreak/>
        <w:t>официального спортивного соревнования.</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w:t>
      </w:r>
      <w:proofErr w:type="gramEnd"/>
      <w:r>
        <w:rPr>
          <w:rFonts w:ascii="Calibri" w:hAnsi="Calibri" w:cs="Calibri"/>
        </w:rPr>
        <w:t xml:space="preserve"> средств поддержки, предназначенных для другого участника, не допускается.</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outlineLvl w:val="1"/>
        <w:rPr>
          <w:rFonts w:ascii="Calibri" w:hAnsi="Calibri" w:cs="Calibri"/>
        </w:rPr>
      </w:pPr>
      <w:bookmarkStart w:id="11" w:name="Par131"/>
      <w:bookmarkEnd w:id="11"/>
      <w:r>
        <w:rPr>
          <w:rFonts w:ascii="Calibri" w:hAnsi="Calibri" w:cs="Calibri"/>
        </w:rPr>
        <w:t>IV. Заключительные положения</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13" w:history="1">
        <w:r>
          <w:rPr>
            <w:rFonts w:ascii="Calibri" w:hAnsi="Calibri" w:cs="Calibri"/>
            <w:color w:val="0000FF"/>
          </w:rPr>
          <w:t>закона</w:t>
        </w:r>
      </w:hyperlink>
      <w:r>
        <w:rPr>
          <w:rFonts w:ascii="Calibri" w:hAnsi="Calibri" w:cs="Calibri"/>
        </w:rPr>
        <w:t xml:space="preserve"> "О физической культуре и спорте в Российской Федерации" и положениям настоящих Правил.</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85107A" w:rsidRDefault="008510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Перечень предметов, запрещенных к проносу в места проведения официальных спортивных соревнований в соответствии с </w:t>
      </w:r>
      <w:hyperlink w:anchor="Par95" w:history="1">
        <w:r>
          <w:rPr>
            <w:rFonts w:ascii="Calibri" w:hAnsi="Calibri" w:cs="Calibri"/>
            <w:color w:val="0000FF"/>
          </w:rPr>
          <w:t>подпунктом "м" пункта 5</w:t>
        </w:r>
      </w:hyperlink>
      <w:r>
        <w:rPr>
          <w:rFonts w:ascii="Calibri" w:hAnsi="Calibri" w:cs="Calibri"/>
        </w:rPr>
        <w:t xml:space="preserve"> настоящих Правил, размещается на входных билетах.</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right"/>
        <w:outlineLvl w:val="1"/>
        <w:rPr>
          <w:rFonts w:ascii="Calibri" w:hAnsi="Calibri" w:cs="Calibri"/>
        </w:rPr>
      </w:pPr>
      <w:bookmarkStart w:id="12" w:name="Par144"/>
      <w:bookmarkEnd w:id="12"/>
      <w:r>
        <w:rPr>
          <w:rFonts w:ascii="Calibri" w:hAnsi="Calibri" w:cs="Calibri"/>
        </w:rPr>
        <w:t>Приложение</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поведения зрителей</w:t>
      </w:r>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 проведении </w:t>
      </w:r>
      <w:proofErr w:type="gramStart"/>
      <w:r>
        <w:rPr>
          <w:rFonts w:ascii="Calibri" w:hAnsi="Calibri" w:cs="Calibri"/>
        </w:rPr>
        <w:t>официальных</w:t>
      </w:r>
      <w:proofErr w:type="gramEnd"/>
    </w:p>
    <w:p w:rsidR="0085107A" w:rsidRDefault="0085107A">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спортивных соревнований</w:t>
      </w:r>
    </w:p>
    <w:p w:rsidR="0085107A" w:rsidRDefault="0085107A">
      <w:pPr>
        <w:widowControl w:val="0"/>
        <w:autoSpaceDE w:val="0"/>
        <w:autoSpaceDN w:val="0"/>
        <w:adjustRightInd w:val="0"/>
        <w:spacing w:after="0" w:line="240" w:lineRule="auto"/>
        <w:jc w:val="center"/>
        <w:rPr>
          <w:rFonts w:ascii="Calibri" w:hAnsi="Calibri" w:cs="Calibri"/>
        </w:rPr>
      </w:pPr>
    </w:p>
    <w:p w:rsidR="0085107A" w:rsidRDefault="0085107A">
      <w:pPr>
        <w:widowControl w:val="0"/>
        <w:autoSpaceDE w:val="0"/>
        <w:autoSpaceDN w:val="0"/>
        <w:adjustRightInd w:val="0"/>
        <w:spacing w:after="0" w:line="240" w:lineRule="auto"/>
        <w:jc w:val="center"/>
        <w:rPr>
          <w:rFonts w:ascii="Calibri" w:hAnsi="Calibri" w:cs="Calibri"/>
        </w:rPr>
      </w:pPr>
      <w:bookmarkStart w:id="13" w:name="Par149"/>
      <w:bookmarkEnd w:id="13"/>
      <w:r>
        <w:rPr>
          <w:rFonts w:ascii="Calibri" w:hAnsi="Calibri" w:cs="Calibri"/>
        </w:rPr>
        <w:t>СРЕДСТВА</w:t>
      </w:r>
    </w:p>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ТРЕБУЮЩИЕ ПРЕДВАРИТЕЛЬНОГО СОГЛАСОВАНИЯ</w:t>
      </w:r>
    </w:p>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ОРГАНИЗАТОРОМ ОФИЦИАЛЬНОГО СПОРТИВНОГО СОРЕВНОВАНИЯ</w:t>
      </w:r>
    </w:p>
    <w:p w:rsidR="0085107A" w:rsidRDefault="0085107A">
      <w:pPr>
        <w:widowControl w:val="0"/>
        <w:autoSpaceDE w:val="0"/>
        <w:autoSpaceDN w:val="0"/>
        <w:adjustRightInd w:val="0"/>
        <w:spacing w:after="0" w:line="240" w:lineRule="auto"/>
        <w:jc w:val="center"/>
        <w:rPr>
          <w:rFonts w:ascii="Calibri" w:hAnsi="Calibri" w:cs="Calibri"/>
        </w:rPr>
        <w:sectPr w:rsidR="0085107A" w:rsidSect="002357E7">
          <w:pgSz w:w="11906" w:h="16838"/>
          <w:pgMar w:top="1134" w:right="850" w:bottom="1134" w:left="1701" w:header="708" w:footer="708" w:gutter="0"/>
          <w:cols w:space="708"/>
          <w:docGrid w:linePitch="360"/>
        </w:sectPr>
      </w:pPr>
    </w:p>
    <w:p w:rsidR="0085107A" w:rsidRDefault="0085107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5"/>
        <w:gridCol w:w="2266"/>
        <w:gridCol w:w="4989"/>
      </w:tblGrid>
      <w:tr w:rsidR="0085107A">
        <w:tblPrEx>
          <w:tblCellMar>
            <w:top w:w="0" w:type="dxa"/>
            <w:bottom w:w="0" w:type="dxa"/>
          </w:tblCellMar>
        </w:tblPrEx>
        <w:trPr>
          <w:tblCellSpacing w:w="5" w:type="nil"/>
        </w:trPr>
        <w:tc>
          <w:tcPr>
            <w:tcW w:w="2405" w:type="dxa"/>
            <w:tcBorders>
              <w:top w:val="single" w:sz="4" w:space="0" w:color="auto"/>
              <w:bottom w:val="single" w:sz="4" w:space="0" w:color="auto"/>
              <w:right w:val="single" w:sz="4" w:space="0" w:color="auto"/>
            </w:tcBorders>
          </w:tcPr>
          <w:p w:rsidR="0085107A" w:rsidRDefault="0085107A">
            <w:pPr>
              <w:widowControl w:val="0"/>
              <w:autoSpaceDE w:val="0"/>
              <w:autoSpaceDN w:val="0"/>
              <w:adjustRightInd w:val="0"/>
              <w:spacing w:after="0" w:line="240" w:lineRule="auto"/>
              <w:jc w:val="center"/>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Pr>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989" w:type="dxa"/>
            <w:tcBorders>
              <w:top w:val="single" w:sz="4" w:space="0" w:color="auto"/>
              <w:left w:val="single" w:sz="4" w:space="0" w:color="auto"/>
              <w:bottom w:val="single" w:sz="4" w:space="0" w:color="auto"/>
            </w:tcBorders>
          </w:tcPr>
          <w:p w:rsidR="0085107A" w:rsidRDefault="008510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85107A">
        <w:tblPrEx>
          <w:tblCellMar>
            <w:top w:w="0" w:type="dxa"/>
            <w:bottom w:w="0" w:type="dxa"/>
          </w:tblCellMar>
        </w:tblPrEx>
        <w:trPr>
          <w:tblCellSpacing w:w="5" w:type="nil"/>
        </w:trPr>
        <w:tc>
          <w:tcPr>
            <w:tcW w:w="2405" w:type="dxa"/>
            <w:tcBorders>
              <w:top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Мегафон</w:t>
            </w:r>
          </w:p>
        </w:tc>
        <w:tc>
          <w:tcPr>
            <w:tcW w:w="2266" w:type="dxa"/>
            <w:tcBorders>
              <w:top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tcBorders>
              <w:top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мощность не более 200 Вт;</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в количестве не более 1 единицы на сектор объекта спорта;</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85107A">
        <w:tblPrEx>
          <w:tblCellMar>
            <w:top w:w="0" w:type="dxa"/>
            <w:bottom w:w="0" w:type="dxa"/>
          </w:tblCellMar>
        </w:tblPrEx>
        <w:trPr>
          <w:tblCellSpacing w:w="5" w:type="nil"/>
        </w:trPr>
        <w:tc>
          <w:tcPr>
            <w:tcW w:w="2405"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Барабан</w:t>
            </w:r>
          </w:p>
        </w:tc>
        <w:tc>
          <w:tcPr>
            <w:tcW w:w="2266"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диаметром до 60 см высотой до 40 см</w:t>
            </w:r>
          </w:p>
        </w:tc>
        <w:tc>
          <w:tcPr>
            <w:tcW w:w="4989"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без днища или с прозрачным дном</w:t>
            </w:r>
          </w:p>
        </w:tc>
      </w:tr>
      <w:tr w:rsidR="0085107A">
        <w:tblPrEx>
          <w:tblCellMar>
            <w:top w:w="0" w:type="dxa"/>
            <w:bottom w:w="0" w:type="dxa"/>
          </w:tblCellMar>
        </w:tblPrEx>
        <w:trPr>
          <w:tblCellSpacing w:w="5" w:type="nil"/>
        </w:trPr>
        <w:tc>
          <w:tcPr>
            <w:tcW w:w="2405"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Духовые приспособления для извлечения звуков (дудки и горны)</w:t>
            </w:r>
          </w:p>
        </w:tc>
        <w:tc>
          <w:tcPr>
            <w:tcW w:w="2266"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уровень звука - до 90 дБ и до 120 дБ;</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85107A">
        <w:tblPrEx>
          <w:tblCellMar>
            <w:top w:w="0" w:type="dxa"/>
            <w:bottom w:w="0" w:type="dxa"/>
          </w:tblCellMar>
        </w:tblPrEx>
        <w:trPr>
          <w:tblCellSpacing w:w="5" w:type="nil"/>
        </w:trPr>
        <w:tc>
          <w:tcPr>
            <w:tcW w:w="2405"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Флаг</w:t>
            </w:r>
          </w:p>
        </w:tc>
        <w:tc>
          <w:tcPr>
            <w:tcW w:w="2266"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до 2 метров x 1,5 метра, на древках не более 1,5 метра в длину и 2,5 сантиметра в диаметре</w:t>
            </w:r>
          </w:p>
        </w:tc>
        <w:tc>
          <w:tcPr>
            <w:tcW w:w="4989"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только на пластиковых пустотелых (телескопических) древках;</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85107A">
        <w:tblPrEx>
          <w:tblCellMar>
            <w:top w:w="0" w:type="dxa"/>
            <w:bottom w:w="0" w:type="dxa"/>
          </w:tblCellMar>
        </w:tblPrEx>
        <w:trPr>
          <w:tblCellSpacing w:w="5" w:type="nil"/>
        </w:trPr>
        <w:tc>
          <w:tcPr>
            <w:tcW w:w="2405"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Баннер-транспарант</w:t>
            </w:r>
          </w:p>
        </w:tc>
        <w:tc>
          <w:tcPr>
            <w:tcW w:w="2266"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до 2 метра x 1,5 метра</w:t>
            </w:r>
          </w:p>
        </w:tc>
        <w:tc>
          <w:tcPr>
            <w:tcW w:w="4989"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наличие сертификата противопожарной безопасности;</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85107A">
        <w:tblPrEx>
          <w:tblCellMar>
            <w:top w:w="0" w:type="dxa"/>
            <w:bottom w:w="0" w:type="dxa"/>
          </w:tblCellMar>
        </w:tblPrEx>
        <w:trPr>
          <w:tblCellSpacing w:w="5" w:type="nil"/>
        </w:trPr>
        <w:tc>
          <w:tcPr>
            <w:tcW w:w="2405"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lastRenderedPageBreak/>
              <w:t>Баннер-полотнище</w:t>
            </w:r>
          </w:p>
        </w:tc>
        <w:tc>
          <w:tcPr>
            <w:tcW w:w="2266" w:type="dxa"/>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vMerge w:val="restart"/>
            <w:tcBorders>
              <w:bottom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наличие сертификата противопожарной безопасности;</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85107A">
        <w:tblPrEx>
          <w:tblCellMar>
            <w:top w:w="0" w:type="dxa"/>
            <w:bottom w:w="0" w:type="dxa"/>
          </w:tblCellMar>
        </w:tblPrEx>
        <w:trPr>
          <w:tblCellSpacing w:w="5" w:type="nil"/>
        </w:trPr>
        <w:tc>
          <w:tcPr>
            <w:tcW w:w="2405" w:type="dxa"/>
            <w:tcBorders>
              <w:bottom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Флаг-полотнище</w:t>
            </w:r>
          </w:p>
        </w:tc>
        <w:tc>
          <w:tcPr>
            <w:tcW w:w="2266" w:type="dxa"/>
            <w:tcBorders>
              <w:bottom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vMerge/>
            <w:tcBorders>
              <w:bottom w:val="single" w:sz="4" w:space="0" w:color="auto"/>
            </w:tcBorders>
          </w:tcPr>
          <w:p w:rsidR="0085107A" w:rsidRDefault="0085107A">
            <w:pPr>
              <w:widowControl w:val="0"/>
              <w:autoSpaceDE w:val="0"/>
              <w:autoSpaceDN w:val="0"/>
              <w:adjustRightInd w:val="0"/>
              <w:spacing w:after="0" w:line="240" w:lineRule="auto"/>
              <w:rPr>
                <w:rFonts w:ascii="Calibri" w:hAnsi="Calibri" w:cs="Calibri"/>
              </w:rPr>
            </w:pPr>
          </w:p>
        </w:tc>
      </w:tr>
    </w:tbl>
    <w:p w:rsidR="0085107A" w:rsidRDefault="0085107A">
      <w:pPr>
        <w:widowControl w:val="0"/>
        <w:autoSpaceDE w:val="0"/>
        <w:autoSpaceDN w:val="0"/>
        <w:adjustRightInd w:val="0"/>
        <w:spacing w:after="0" w:line="240" w:lineRule="auto"/>
        <w:ind w:firstLine="540"/>
        <w:jc w:val="both"/>
        <w:rPr>
          <w:rFonts w:ascii="Calibri" w:hAnsi="Calibri" w:cs="Calibri"/>
        </w:rPr>
      </w:pPr>
    </w:p>
    <w:p w:rsidR="0085107A" w:rsidRDefault="0085107A">
      <w:pPr>
        <w:widowControl w:val="0"/>
        <w:autoSpaceDE w:val="0"/>
        <w:autoSpaceDN w:val="0"/>
        <w:adjustRightInd w:val="0"/>
        <w:spacing w:after="0" w:line="240" w:lineRule="auto"/>
        <w:ind w:firstLine="540"/>
        <w:jc w:val="both"/>
        <w:rPr>
          <w:rFonts w:ascii="Calibri" w:hAnsi="Calibri" w:cs="Calibri"/>
        </w:rPr>
      </w:pPr>
    </w:p>
    <w:p w:rsidR="0085107A" w:rsidRDefault="008510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7EE8" w:rsidRDefault="00CC7EE8"/>
    <w:sectPr w:rsidR="00CC7EE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5107A"/>
    <w:rsid w:val="0085107A"/>
    <w:rsid w:val="00CC7EE8"/>
    <w:rsid w:val="00DF3135"/>
    <w:rsid w:val="00E21946"/>
    <w:rsid w:val="00EB1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4082A97B382465D83E6B6F0C7ABF3AE702279EAB46342E18F691474A7ACC8A426A8DB5BC8E240k4v0K" TargetMode="External"/><Relationship Id="rId13" Type="http://schemas.openxmlformats.org/officeDocument/2006/relationships/hyperlink" Target="consultantplus://offline/ref=ECF4082A97B382465D83E6B6F0C7ABF3AE712372E7B66342E18F691474kAv7K" TargetMode="External"/><Relationship Id="rId3" Type="http://schemas.openxmlformats.org/officeDocument/2006/relationships/webSettings" Target="webSettings.xml"/><Relationship Id="rId7" Type="http://schemas.openxmlformats.org/officeDocument/2006/relationships/hyperlink" Target="consultantplus://offline/ref=ECF4082A97B382465D83E6B6F0C7ABF3AE71227DEBB76342E18F691474kAv7K" TargetMode="External"/><Relationship Id="rId12" Type="http://schemas.openxmlformats.org/officeDocument/2006/relationships/hyperlink" Target="consultantplus://offline/ref=ECF4082A97B382465D83E6B6F0C7ABF3A67C2D78E3BC3E48E9D66516k7v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F4082A97B382465D83E6B6F0C7ABF3AE702279EAB46342E18F691474A7ACC8A426A8DB5BC8E240k4v0K" TargetMode="External"/><Relationship Id="rId11" Type="http://schemas.openxmlformats.org/officeDocument/2006/relationships/hyperlink" Target="consultantplus://offline/ref=ECF4082A97B382465D83E6B6F0C7ABF3AE732872E2B46342E18F691474A7ACC8A426A8DE5CC0kEvBK" TargetMode="External"/><Relationship Id="rId5" Type="http://schemas.openxmlformats.org/officeDocument/2006/relationships/hyperlink" Target="consultantplus://offline/ref=ECF4082A97B382465D83E6B6F0C7ABF3AE712372E7B66342E18F691474A7ACC8A426A8D85CkCv0K" TargetMode="External"/><Relationship Id="rId15" Type="http://schemas.openxmlformats.org/officeDocument/2006/relationships/theme" Target="theme/theme1.xml"/><Relationship Id="rId10" Type="http://schemas.openxmlformats.org/officeDocument/2006/relationships/hyperlink" Target="consultantplus://offline/ref=ECF4082A97B382465D83E6B6F0C7ABF3AE712372E7B66342E18F691474A7ACC8A426A8DB5BC8E241k4v4K" TargetMode="External"/><Relationship Id="rId4" Type="http://schemas.openxmlformats.org/officeDocument/2006/relationships/hyperlink" Target="consultantplus://offline/ref=ECF4082A97B382465D83E6B6F0C7ABF3AE702279EAB46342E18F691474A7ACC8A426A8DB5BC8E240k4v0K" TargetMode="External"/><Relationship Id="rId9" Type="http://schemas.openxmlformats.org/officeDocument/2006/relationships/hyperlink" Target="consultantplus://offline/ref=ECF4082A97B382465D83E6B6F0C7ABF3AE702279EAB46342E18F691474A7ACC8A426A8DB5BC8E240k4v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4093</Words>
  <Characters>23332</Characters>
  <Application>Microsoft Office Word</Application>
  <DocSecurity>0</DocSecurity>
  <Lines>194</Lines>
  <Paragraphs>54</Paragraphs>
  <ScaleCrop>false</ScaleCrop>
  <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2014-06-20T10:47:00Z</dcterms:created>
  <dcterms:modified xsi:type="dcterms:W3CDTF">2014-06-20T10:48:00Z</dcterms:modified>
</cp:coreProperties>
</file>