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24638D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 от    сентября 2021</w:t>
      </w:r>
      <w:r w:rsidR="00C16BF4">
        <w:rPr>
          <w:sz w:val="28"/>
          <w:szCs w:val="28"/>
        </w:rPr>
        <w:t xml:space="preserve">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B81139" w:rsidRPr="001D48D2">
        <w:rPr>
          <w:sz w:val="28"/>
          <w:szCs w:val="28"/>
        </w:rPr>
        <w:t xml:space="preserve">№ </w:t>
      </w:r>
      <w:r>
        <w:rPr>
          <w:sz w:val="28"/>
          <w:szCs w:val="28"/>
        </w:rPr>
        <w:t>4/35-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</w:p>
    <w:p w:rsidR="00B81139" w:rsidRPr="00C16BF4" w:rsidRDefault="00B81139" w:rsidP="00B81139">
      <w:pPr>
        <w:rPr>
          <w:sz w:val="27"/>
          <w:szCs w:val="27"/>
        </w:rPr>
      </w:pPr>
    </w:p>
    <w:tbl>
      <w:tblPr>
        <w:tblW w:w="9429" w:type="dxa"/>
        <w:tblLook w:val="01E0"/>
      </w:tblPr>
      <w:tblGrid>
        <w:gridCol w:w="4644"/>
        <w:gridCol w:w="4785"/>
      </w:tblGrid>
      <w:tr w:rsidR="00B81139" w:rsidRPr="00CD538E" w:rsidTr="00525471">
        <w:tc>
          <w:tcPr>
            <w:tcW w:w="4644" w:type="dxa"/>
            <w:shd w:val="clear" w:color="auto" w:fill="auto"/>
          </w:tcPr>
          <w:p w:rsidR="00B81139" w:rsidRPr="00B81139" w:rsidRDefault="0024638D" w:rsidP="0024638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решение Совета ГП «Микунь» от 26.02.2015 № 3/22-131 «Об утверждении </w:t>
            </w:r>
            <w:r w:rsidR="000B6213">
              <w:rPr>
                <w:b w:val="0"/>
                <w:sz w:val="28"/>
                <w:szCs w:val="28"/>
              </w:rPr>
              <w:t xml:space="preserve"> </w:t>
            </w:r>
            <w:r w:rsidR="00A72C01">
              <w:rPr>
                <w:b w:val="0"/>
                <w:sz w:val="28"/>
                <w:szCs w:val="28"/>
              </w:rPr>
              <w:t xml:space="preserve">местных </w:t>
            </w:r>
            <w:r w:rsidR="000B6213">
              <w:rPr>
                <w:b w:val="0"/>
                <w:sz w:val="28"/>
                <w:szCs w:val="28"/>
              </w:rPr>
              <w:t xml:space="preserve">нормативов градостроительного </w:t>
            </w:r>
            <w:proofErr w:type="spellStart"/>
            <w:r w:rsidR="000B6213">
              <w:rPr>
                <w:b w:val="0"/>
                <w:sz w:val="28"/>
                <w:szCs w:val="28"/>
              </w:rPr>
              <w:t>проектиро</w:t>
            </w:r>
            <w:r w:rsidR="00C16BF4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вания</w:t>
            </w:r>
            <w:proofErr w:type="spellEnd"/>
            <w:r w:rsidR="009623E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525471">
              <w:rPr>
                <w:b w:val="0"/>
                <w:sz w:val="28"/>
                <w:szCs w:val="28"/>
              </w:rPr>
              <w:t>городско</w:t>
            </w:r>
            <w:r w:rsidR="00BD26B1">
              <w:rPr>
                <w:b w:val="0"/>
                <w:sz w:val="28"/>
                <w:szCs w:val="28"/>
              </w:rPr>
              <w:t xml:space="preserve">го </w:t>
            </w:r>
            <w:r w:rsidR="000B6213">
              <w:rPr>
                <w:b w:val="0"/>
                <w:sz w:val="28"/>
                <w:szCs w:val="28"/>
              </w:rPr>
              <w:t>поселени</w:t>
            </w:r>
            <w:proofErr w:type="gramStart"/>
            <w:r w:rsidR="00BD26B1">
              <w:rPr>
                <w:b w:val="0"/>
                <w:sz w:val="28"/>
                <w:szCs w:val="28"/>
              </w:rPr>
              <w:t>я</w:t>
            </w:r>
            <w:r w:rsidR="00B81139" w:rsidRPr="00B81139">
              <w:rPr>
                <w:b w:val="0"/>
                <w:sz w:val="28"/>
                <w:szCs w:val="28"/>
              </w:rPr>
              <w:t>«</w:t>
            </w:r>
            <w:proofErr w:type="gramEnd"/>
            <w:r w:rsidR="00B81139" w:rsidRPr="00B81139">
              <w:rPr>
                <w:b w:val="0"/>
                <w:sz w:val="28"/>
                <w:szCs w:val="28"/>
              </w:rPr>
              <w:t>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C16BF4" w:rsidRPr="00C16BF4" w:rsidRDefault="00C16BF4" w:rsidP="00897F59">
      <w:pPr>
        <w:spacing w:line="276" w:lineRule="auto"/>
        <w:ind w:right="-199"/>
        <w:jc w:val="both"/>
      </w:pPr>
    </w:p>
    <w:p w:rsidR="0024638D" w:rsidRPr="00A57831" w:rsidRDefault="0024638D" w:rsidP="0024638D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A5783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«Микунь», согласно Положению  о порядке подготовки и утверждения местных нормативов градостроительного проектирования </w:t>
      </w:r>
      <w:r w:rsidR="00781CEB" w:rsidRPr="00A57831">
        <w:rPr>
          <w:sz w:val="28"/>
          <w:szCs w:val="28"/>
        </w:rPr>
        <w:t xml:space="preserve">муниципального образования городского поселения «Микунь», </w:t>
      </w:r>
      <w:r w:rsidRPr="00A57831">
        <w:rPr>
          <w:sz w:val="28"/>
          <w:szCs w:val="28"/>
        </w:rPr>
        <w:t xml:space="preserve"> утвержденному постановлением администрации </w:t>
      </w:r>
      <w:r w:rsidR="00781CEB" w:rsidRPr="00A57831">
        <w:rPr>
          <w:sz w:val="28"/>
          <w:szCs w:val="28"/>
        </w:rPr>
        <w:t xml:space="preserve">городского поселения «Микунь» </w:t>
      </w:r>
      <w:r w:rsidRPr="00A57831">
        <w:rPr>
          <w:sz w:val="28"/>
          <w:szCs w:val="28"/>
        </w:rPr>
        <w:t xml:space="preserve"> от </w:t>
      </w:r>
      <w:r w:rsidR="00781CEB" w:rsidRPr="00A57831">
        <w:rPr>
          <w:sz w:val="28"/>
          <w:szCs w:val="28"/>
        </w:rPr>
        <w:t>26.12.2014</w:t>
      </w:r>
      <w:r w:rsidRPr="00A57831">
        <w:rPr>
          <w:sz w:val="28"/>
          <w:szCs w:val="28"/>
        </w:rPr>
        <w:t xml:space="preserve"> № </w:t>
      </w:r>
      <w:r w:rsidR="00781CEB" w:rsidRPr="00A57831">
        <w:rPr>
          <w:sz w:val="28"/>
          <w:szCs w:val="28"/>
        </w:rPr>
        <w:t>232</w:t>
      </w:r>
      <w:r w:rsidRPr="00A57831">
        <w:rPr>
          <w:sz w:val="28"/>
          <w:szCs w:val="28"/>
        </w:rPr>
        <w:t xml:space="preserve">, Совет </w:t>
      </w:r>
      <w:r w:rsidR="00781CEB" w:rsidRPr="00A57831">
        <w:rPr>
          <w:sz w:val="28"/>
          <w:szCs w:val="28"/>
        </w:rPr>
        <w:t xml:space="preserve">городского поселения «Микунь» </w:t>
      </w:r>
      <w:r w:rsidRPr="00A57831">
        <w:rPr>
          <w:sz w:val="28"/>
          <w:szCs w:val="28"/>
        </w:rPr>
        <w:t xml:space="preserve"> </w:t>
      </w:r>
      <w:r w:rsidR="007C4E1F" w:rsidRPr="00A57831">
        <w:rPr>
          <w:sz w:val="28"/>
          <w:szCs w:val="28"/>
        </w:rPr>
        <w:t xml:space="preserve"> РЕШИЛ</w:t>
      </w:r>
      <w:r w:rsidRPr="00A57831">
        <w:rPr>
          <w:sz w:val="28"/>
          <w:szCs w:val="28"/>
        </w:rPr>
        <w:t>:</w:t>
      </w:r>
      <w:proofErr w:type="gramEnd"/>
    </w:p>
    <w:p w:rsidR="0024638D" w:rsidRPr="00A57831" w:rsidRDefault="0024638D" w:rsidP="0024638D">
      <w:pPr>
        <w:pStyle w:val="11"/>
        <w:numPr>
          <w:ilvl w:val="0"/>
          <w:numId w:val="4"/>
        </w:numPr>
        <w:shd w:val="clear" w:color="auto" w:fill="auto"/>
        <w:tabs>
          <w:tab w:val="num" w:pos="0"/>
          <w:tab w:val="left" w:pos="851"/>
          <w:tab w:val="left" w:pos="993"/>
        </w:tabs>
        <w:spacing w:line="240" w:lineRule="auto"/>
        <w:ind w:left="0" w:right="23" w:firstLine="567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Внести следующие изменения в решение Совета ГП «Микунь» от 26.02.2015 № 3/22-2131 «Об утверждении местных нормативов градостроительного проектирования муниципального образования городского поселения «Микунь» (далее</w:t>
      </w:r>
      <w:r w:rsidR="001C760B" w:rsidRPr="00A57831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-</w:t>
      </w:r>
      <w:r w:rsidR="001C760B" w:rsidRPr="00A57831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 xml:space="preserve">решение): </w:t>
      </w:r>
    </w:p>
    <w:p w:rsidR="00A57831" w:rsidRPr="00A57831" w:rsidRDefault="0024638D" w:rsidP="0024638D">
      <w:pPr>
        <w:pStyle w:val="11"/>
        <w:shd w:val="clear" w:color="auto" w:fill="auto"/>
        <w:tabs>
          <w:tab w:val="left" w:pos="851"/>
        </w:tabs>
        <w:spacing w:line="240" w:lineRule="auto"/>
        <w:ind w:right="23" w:firstLine="567"/>
        <w:jc w:val="both"/>
      </w:pPr>
      <w:r w:rsidRPr="00A57831">
        <w:rPr>
          <w:sz w:val="28"/>
          <w:szCs w:val="28"/>
        </w:rPr>
        <w:t xml:space="preserve">1.1. </w:t>
      </w:r>
      <w:r w:rsidR="00A57831" w:rsidRPr="00A57831">
        <w:rPr>
          <w:sz w:val="28"/>
          <w:szCs w:val="28"/>
        </w:rPr>
        <w:t xml:space="preserve">Дополнить </w:t>
      </w:r>
      <w:r w:rsidRPr="00A57831">
        <w:rPr>
          <w:sz w:val="28"/>
          <w:szCs w:val="28"/>
        </w:rPr>
        <w:t xml:space="preserve">«Содержание» решения </w:t>
      </w:r>
      <w:r w:rsidR="00A57831" w:rsidRPr="00A57831">
        <w:rPr>
          <w:sz w:val="28"/>
          <w:szCs w:val="28"/>
        </w:rPr>
        <w:t>наименованиями пунктов 5.4.3 «</w:t>
      </w:r>
      <w:r w:rsidR="00A57831" w:rsidRPr="00A57831">
        <w:rPr>
          <w:bCs/>
          <w:sz w:val="28"/>
          <w:szCs w:val="28"/>
        </w:rPr>
        <w:t>Велосипедные дорожки</w:t>
      </w:r>
      <w:r w:rsidR="00A57831" w:rsidRPr="00A57831">
        <w:rPr>
          <w:sz w:val="28"/>
          <w:szCs w:val="28"/>
        </w:rPr>
        <w:t>»,  5.4.4 «Велосипедные парковки» и  5.4.5. «</w:t>
      </w:r>
      <w:hyperlink w:anchor="_Toc332905494" w:history="1">
        <w:r w:rsidR="00A57831" w:rsidRPr="00A57831">
          <w:rPr>
            <w:sz w:val="28"/>
            <w:szCs w:val="28"/>
          </w:rPr>
          <w:t>Обеспечение безопасности велосипедного движения</w:t>
        </w:r>
      </w:hyperlink>
      <w:r w:rsidR="00A57831" w:rsidRPr="00A57831">
        <w:t>».</w:t>
      </w:r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 w:firstLine="567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1.2. Дополнить статью</w:t>
      </w:r>
      <w:r w:rsidR="001C760B" w:rsidRPr="00A57831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 xml:space="preserve">5.4 «Расчетные показатели, устанавливаемые для объектов местного значения в области физической культуры и массового спорта»  части </w:t>
      </w:r>
      <w:r w:rsidRPr="00A57831">
        <w:rPr>
          <w:sz w:val="28"/>
          <w:szCs w:val="28"/>
          <w:lang w:val="en-US"/>
        </w:rPr>
        <w:t>I</w:t>
      </w:r>
      <w:r w:rsidRPr="00A57831">
        <w:rPr>
          <w:sz w:val="28"/>
          <w:szCs w:val="28"/>
        </w:rPr>
        <w:t xml:space="preserve"> пунктом</w:t>
      </w:r>
      <w:r w:rsidR="00A57831" w:rsidRPr="00A57831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5.4.3  следующего содержания:</w:t>
      </w:r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 w:firstLine="567"/>
        <w:jc w:val="both"/>
        <w:rPr>
          <w:bCs/>
          <w:sz w:val="28"/>
          <w:szCs w:val="28"/>
        </w:rPr>
      </w:pPr>
      <w:r w:rsidRPr="00A57831">
        <w:rPr>
          <w:sz w:val="28"/>
          <w:szCs w:val="28"/>
        </w:rPr>
        <w:t>«</w:t>
      </w:r>
      <w:r w:rsidRPr="00A57831">
        <w:rPr>
          <w:bCs/>
          <w:sz w:val="28"/>
          <w:szCs w:val="28"/>
        </w:rPr>
        <w:t>5.4.3.Велосипедные дорожки</w:t>
      </w:r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Организация велосипедных дорожек в соответствии с настоящим пунктом осуществляется в отношении незастроенных территорий, </w:t>
      </w:r>
      <w:r w:rsidRPr="00A57831">
        <w:rPr>
          <w:rFonts w:ascii="Times New Roman" w:hAnsi="Times New Roman" w:cs="Times New Roman"/>
          <w:sz w:val="28"/>
          <w:szCs w:val="28"/>
        </w:rPr>
        <w:lastRenderedPageBreak/>
        <w:t>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</w:t>
      </w:r>
      <w:r w:rsidRPr="00A57831">
        <w:rPr>
          <w:rFonts w:ascii="Times New Roman" w:hAnsi="Times New Roman" w:cs="Times New Roman"/>
          <w:sz w:val="28"/>
          <w:szCs w:val="28"/>
        </w:rPr>
        <w:t xml:space="preserve">.1. Для создания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необходимо выбрать вариант движения велосипедистов: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по проезжей части, или 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>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совмещенной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с другими участниками движения (пешеходами или автомобилями);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- с использованием велодорожки с односторонним или двухсторонним движением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</w:t>
      </w:r>
      <w:r w:rsidRPr="00A57831">
        <w:rPr>
          <w:rFonts w:ascii="Times New Roman" w:hAnsi="Times New Roman" w:cs="Times New Roman"/>
          <w:sz w:val="28"/>
          <w:szCs w:val="28"/>
        </w:rPr>
        <w:t xml:space="preserve">.2. Вариант создания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в каждом конкретном случае выбирается с учетом транспортных, эксплуатационных и градостроительных особенностей данной территории.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5.4.3.3.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При проектировании велодорожек за пределами населенных пунктов следует руководствоваться </w:t>
      </w:r>
      <w:hyperlink r:id="rId7" w:history="1">
        <w:r w:rsidRPr="00A57831">
          <w:rPr>
            <w:rFonts w:ascii="Times New Roman" w:hAnsi="Times New Roman" w:cs="Times New Roman"/>
            <w:sz w:val="28"/>
            <w:szCs w:val="28"/>
          </w:rPr>
          <w:t>ГОСТ 33150-2014</w:t>
        </w:r>
      </w:hyperlink>
      <w:r w:rsidRPr="00A57831">
        <w:rPr>
          <w:rFonts w:ascii="Times New Roman" w:hAnsi="Times New Roman" w:cs="Times New Roman"/>
          <w:sz w:val="28"/>
          <w:szCs w:val="28"/>
        </w:rPr>
        <w:t xml:space="preserve"> "Дороги автомобильные общего пользования. Проектирование пешеходных и велосипедных дорожек. Общие требования".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Проектируемые и существующие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и иные объекты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должны обеспечивать безопасные условия движения велосипедистов и пешеходов.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5.4.3.4. Устройство велодорожек и иных объектов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 должно ухудшать условий обеспечения безопасности дорожного движения, использования и содержания проезжей части и тротуаров, элементов благоустройства сети дорог.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5.4.3.5. При проектировании и устройстве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следует соблюдать следующие рекомендации: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необходимо проектировать таким образом, чтобы они обеспечивали непрерывность всего комплекса пешеходных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маршрутов, а также свободный доступ для всех велосипедистов к объектам тяготения (зданиям, сооружениям, объектам транспортной инфраструктуры и пр.);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маршруты следует прокладывать по кратчайшим путям с учетом обеспечения безопасности движения;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следует выполнять, по возможности, без изменения продольного профиля участка, с минимальным числом пересечений с проезжей частью улиц;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должно обеспечивать комфортность движения по ним всех предполагаемых (прогнозируемых) групп пользователей;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решетки водостока, размещаемые при необходимости 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дорожках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велополосах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>, должны выполняться со щелями, направленными поперек направления движения велосипедистов.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5.4.3.6. 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на сети дорог выделяются и обозначаются дорожными знаками и разметкой в соответствии с Правилами дорожного движения и </w:t>
      </w:r>
      <w:hyperlink r:id="rId8" w:history="1">
        <w:r w:rsidRPr="00A57831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57831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57831">
          <w:rPr>
            <w:rFonts w:ascii="Times New Roman" w:hAnsi="Times New Roman" w:cs="Times New Roman"/>
            <w:sz w:val="28"/>
            <w:szCs w:val="28"/>
          </w:rPr>
          <w:t xml:space="preserve"> 52289-2019</w:t>
        </w:r>
      </w:hyperlink>
      <w:r w:rsidRPr="00A57831">
        <w:rPr>
          <w:rFonts w:ascii="Times New Roman" w:hAnsi="Times New Roman" w:cs="Times New Roman"/>
          <w:sz w:val="28"/>
          <w:szCs w:val="28"/>
        </w:rPr>
        <w:t xml:space="preserve">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(далее - ГОСТ 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52289-2019). При разработке архитектурно-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участков массовой жилой застройки для нового строительства требуется в обязательном порядке обеспечить наличие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вдоль внутриквартальных проездов и проходов.</w:t>
      </w:r>
    </w:p>
    <w:p w:rsidR="0024638D" w:rsidRPr="00A57831" w:rsidRDefault="0024638D" w:rsidP="0024638D">
      <w:pPr>
        <w:pStyle w:val="ConsPlusNormal"/>
        <w:ind w:firstLine="539"/>
        <w:jc w:val="both"/>
      </w:pPr>
      <w:r w:rsidRPr="00A57831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населенных пунктах при движении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одном направлении для вновь проектируемых, строящихся, реконструируемых или капитально ремонтируемых участков сети дорог принимается равной не менее 1,5 м для каждой полосы движения. При организации движения во встречных направлениях, или при устройстве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на тротуарах шириной менее 4,5 м ширина каждой полосы движения велосипедистов принимается не менее 1,3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5.4.3.7. Во дворах жилых домов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не устраиваются.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5.4.3.8. На проезжей части магистральных улиц общегородского значения 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 других элементов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 допускается.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На магистральных улицах районного значения (распределительных) допускается размещение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отделенных от полос движения транспорта разделителями движения (защитные столбики, защитные барьеры, разделительные бордюры, отделение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элементами благоустройства, парковка вдоль улицы).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На местных улицах 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допускается в виде выделенной части полосы движения проезжей части или примыкающей к проезжей части с выделением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цветом и/или разметкой при ограничении скорости не более 40 км/ч.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5.4.3.9. В случаях размещения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пределах проезжей части велосипедисты являются участниками дорожного движения и подчиняются общим правилам дорожного движения, при этом: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должны быть непрерывными, при пересечении других улиц разрывы в велодорожках не допускаются;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на перекрестках изменение направления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с углом более 120° не допускаются;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правая сторона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на проезжей части ограничивается сплошной линией, левая кромка которой должна проходить на расстоянии не менее 0,25 м от бортового камня;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пересечение улиц при невозможности выделения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осуществляется велосипедистами по регулируемым и нерегулируемым пешеходным переходам, ширина перехода в этом случае должна быть увеличена на 1,5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велополоса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должна быть выделена цветом, вдоль нее возможно устройство искусственных неровностей на дорожном покрытии.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5.4.3.10. Минимально допустимые расчетные показатели проектирования велосипедных дорожек приведены согласно таблице</w:t>
      </w:r>
    </w:p>
    <w:p w:rsidR="0024638D" w:rsidRPr="00A57831" w:rsidRDefault="0024638D" w:rsidP="00246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1209"/>
        <w:gridCol w:w="1379"/>
        <w:gridCol w:w="2590"/>
      </w:tblGrid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31">
              <w:rPr>
                <w:rFonts w:ascii="Times New Roman" w:hAnsi="Times New Roman" w:cs="Times New Roman"/>
                <w:sz w:val="26"/>
                <w:szCs w:val="26"/>
              </w:rPr>
              <w:t>Нормируемый параметр</w:t>
            </w:r>
          </w:p>
        </w:tc>
        <w:tc>
          <w:tcPr>
            <w:tcW w:w="2588" w:type="dxa"/>
            <w:gridSpan w:val="2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31">
              <w:rPr>
                <w:rFonts w:ascii="Times New Roman" w:hAnsi="Times New Roman" w:cs="Times New Roman"/>
                <w:sz w:val="26"/>
                <w:szCs w:val="26"/>
              </w:rPr>
              <w:t>Минимальные значения при новом строительстве, реконструкции, капитальном ремонте дорог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31">
              <w:rPr>
                <w:rFonts w:ascii="Times New Roman" w:hAnsi="Times New Roman" w:cs="Times New Roman"/>
                <w:sz w:val="26"/>
                <w:szCs w:val="26"/>
              </w:rPr>
              <w:t>Минимальные значения в стесненных &lt;*&gt; и особо стесненных &lt;**&gt; условиях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 &lt;*&gt; (15 &lt;**&gt;)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Ширина проезжей части одной полосы велодорожки,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, не менее: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1,3 &lt;*&gt; (1,2 &lt;**&gt;)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одностороннего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Ширина велодорожки и тротуара с выделением велодорожки цветом покрытия,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 &lt;*&gt;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Ширина обочин отдельно устроенной велодорожки,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- при отсутствии виража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- при устройстве виража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Максимальный продольный уклон, о/</w:t>
            </w: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Габарит по высоте,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0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79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9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>&lt;*&gt; Под стесненными условиями понимаются ширина тротуара 3,0 - 4,0 м, улицы с одной полосой движения в каждом направлении, размещение рельсового наземного городского электрического транспорта (трамваи) на одной из сторон проезжей части.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 xml:space="preserve">&lt;**&gt; Под особо стесненными условиями понимаются ширина тротуара 3,0 м и </w:t>
      </w:r>
      <w:proofErr w:type="gramStart"/>
      <w:r w:rsidRPr="00A57831">
        <w:rPr>
          <w:rFonts w:ascii="Times New Roman" w:hAnsi="Times New Roman" w:cs="Times New Roman"/>
          <w:sz w:val="22"/>
          <w:szCs w:val="22"/>
        </w:rPr>
        <w:t>менее вдоль</w:t>
      </w:r>
      <w:proofErr w:type="gramEnd"/>
      <w:r w:rsidRPr="00A57831">
        <w:rPr>
          <w:rFonts w:ascii="Times New Roman" w:hAnsi="Times New Roman" w:cs="Times New Roman"/>
          <w:sz w:val="22"/>
          <w:szCs w:val="22"/>
        </w:rPr>
        <w:t xml:space="preserve"> улиц с одной полосой движения в каждом направлении.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>&lt;***&gt; С учетом требований п.п. а - в п. 10.6.21 Региональных нормативов градостроительного проектирования Республики Коми.</w:t>
      </w:r>
    </w:p>
    <w:p w:rsidR="0024638D" w:rsidRPr="00A57831" w:rsidRDefault="0024638D" w:rsidP="00246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5.4.3.11. При размещении велодорожек необходимо обеспечить расстояние: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проезжей части, опор, деревьев - 0,5 - 0,75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тротуаров - 0,25 - 0,5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парковок автомобилей, киосков, остановочных пунктов - 0,5 - 0,75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элементов озеленения, урн, малых архитектурных форм - 0,5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В зонах массового отдыха населения и на других озелененных территориях следует предусматривать выделенные велодорожки, предназначенные для рекреационного использования (прогулок и занятий физкультурой и спортом), иные элементы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Ширина велодорожки в зонах массового отдыха населения должна быть не менее 2,0 м и предусматривать возможность встречного движения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5.4.3.12. Велодорожки для занятий спортом проектируются в виде замкнутых кривых с устройством ограждений для предотвращения выхода пешеходов на велодорожку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.</w:t>
      </w:r>
      <w:r w:rsidR="00A578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7831" w:rsidRPr="00A57831" w:rsidRDefault="00A57831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1.3.</w:t>
      </w:r>
      <w:r w:rsid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Дополнить статью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 «Расчетные показатели, устанавливаемые для объектов местного значения в области физической культуры и массового спорта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»ч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57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5.4.4 следующего содержания: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«5.4.4.Велосипедные парковки</w:t>
      </w:r>
    </w:p>
    <w:p w:rsidR="0024638D" w:rsidRPr="00A57831" w:rsidRDefault="0024638D" w:rsidP="00246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устраиваются возле учебных заведений, кинотеатров, магазинов площадью более 200 м</w:t>
      </w:r>
      <w:proofErr w:type="gramStart"/>
      <w:r w:rsidRPr="00A578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>, торговых центров, обзорных площадок, музеев, пересадочных узлов, иных объектов.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на 1 велосипед принимаются в размере не менее 1,2 м</w:t>
      </w:r>
      <w:proofErr w:type="gramStart"/>
      <w:r w:rsidRPr="00A578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при длине парковочного места не менее 2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При устройстве многорядной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должен быть обеспечен проезд (проход) между рядами шириной не менее 1,5 м.</w:t>
      </w:r>
    </w:p>
    <w:p w:rsidR="0024638D" w:rsidRPr="00A57831" w:rsidRDefault="0024638D" w:rsidP="00A5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5.4.4.1. Рекомендуемые значения количества парковочных мест для велосипедов указаны согласно таблице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0"/>
        <w:gridCol w:w="4394"/>
      </w:tblGrid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Типы объектов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Число парковочных мест для велосипедов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Основной торговый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4 - 6 на 100 м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Районный торговый центр (универмаг)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5 - 7 на 100 м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Местный торговый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6 - 8 на 100 м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Офисные учреждения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2 - 4 на 100 м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30 на 100 школьников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50 на 100 школьников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60 на 100 студентов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Закрытый спортивный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 трибуной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поле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15 на 100 м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водной поверхности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Крупная дискотека; городская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Крупная дискотека; </w:t>
            </w: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негородская</w:t>
            </w:r>
            <w:proofErr w:type="spellEnd"/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Больница; городская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Больница; областная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gram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10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Места отдыха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20 - 35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Аттракционы/тематические парки развлечений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10 - 15 на 100 посетителей</w:t>
            </w:r>
          </w:p>
        </w:tc>
      </w:tr>
    </w:tbl>
    <w:p w:rsidR="0024638D" w:rsidRPr="00A57831" w:rsidRDefault="0024638D" w:rsidP="00246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Уличные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для кратковременного хранения рекомендуется размещать на расстоянии не более 30 м от входа в учреждения, в хорошо освещенных местах с высокой интенсивностью пешеходного движения, в зоне обзора существующих камер видеонаблюдения.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не должны препятствовать движению пешеходов и проезду спецтехники. В конструкции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антивандальные материалы.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5.4.4.2. Места постоянного хранения рекомендуется устраивать в одном уровне с проезжей частью или тротуаром. Если доступ к ним в одном уровне невозможен, то их обустраивают рампами, пандусами или лифтами. Помещения для хранения велосипедов должны быть защищены от неблагоприятных погодных условий, иметь освещение, закрываться и быть доступными только для их пользователей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.</w:t>
      </w:r>
      <w:r w:rsidR="00A57831" w:rsidRPr="00A578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7831" w:rsidRPr="00A57831" w:rsidRDefault="00A57831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1.4. </w:t>
      </w:r>
      <w:r w:rsid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Дополнить статью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 «Расчетные показатели, устанавливаемые для объектов местного значения в области физической культуры и массового спорта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»ч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57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5.4.5 следующего содержания: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«5.4.5. </w:t>
      </w:r>
      <w:hyperlink w:anchor="_Toc332905494" w:history="1">
        <w:r w:rsidRPr="00A57831">
          <w:rPr>
            <w:rFonts w:ascii="Times New Roman" w:hAnsi="Times New Roman" w:cs="Times New Roman"/>
            <w:sz w:val="28"/>
            <w:szCs w:val="28"/>
          </w:rPr>
          <w:t>Обеспечение безопасности велосипедного движения</w:t>
        </w:r>
      </w:hyperlink>
    </w:p>
    <w:p w:rsidR="0024638D" w:rsidRPr="00A57831" w:rsidRDefault="0024638D" w:rsidP="00246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Обеспечение безопасности передвижения велосипедистов организовывать в соответствии с Приложением N 3 к 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</w:r>
      <w:proofErr w:type="gramStart"/>
      <w:r w:rsidRPr="00A57831">
        <w:rPr>
          <w:rFonts w:ascii="Times New Roman" w:hAnsi="Times New Roman" w:cs="Times New Roman"/>
          <w:sz w:val="28"/>
          <w:szCs w:val="28"/>
        </w:rPr>
        <w:t>.</w:t>
      </w:r>
      <w:r w:rsidR="00A57831" w:rsidRPr="00A578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709"/>
          <w:tab w:val="left" w:pos="993"/>
        </w:tabs>
        <w:spacing w:line="240" w:lineRule="auto"/>
        <w:ind w:right="23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2.Настоящее решение вступает в силу после его официального опубликовани</w:t>
      </w:r>
      <w:proofErr w:type="gramStart"/>
      <w:r w:rsidRPr="00A57831">
        <w:rPr>
          <w:sz w:val="28"/>
          <w:szCs w:val="28"/>
        </w:rPr>
        <w:t>я</w:t>
      </w:r>
      <w:r w:rsidR="00A57831" w:rsidRPr="00A57831">
        <w:rPr>
          <w:sz w:val="28"/>
          <w:szCs w:val="28"/>
        </w:rPr>
        <w:t>(</w:t>
      </w:r>
      <w:proofErr w:type="gramEnd"/>
      <w:r w:rsidR="00A57831" w:rsidRPr="00A57831">
        <w:rPr>
          <w:sz w:val="28"/>
          <w:szCs w:val="28"/>
        </w:rPr>
        <w:t>обнародования).</w:t>
      </w:r>
    </w:p>
    <w:p w:rsidR="0024638D" w:rsidRPr="00A57831" w:rsidRDefault="0024638D" w:rsidP="00A57831">
      <w:pPr>
        <w:tabs>
          <w:tab w:val="num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A57831">
        <w:rPr>
          <w:sz w:val="28"/>
          <w:szCs w:val="28"/>
        </w:rPr>
        <w:t xml:space="preserve">3. </w:t>
      </w:r>
      <w:proofErr w:type="gramStart"/>
      <w:r w:rsidRPr="00A57831">
        <w:rPr>
          <w:sz w:val="28"/>
          <w:szCs w:val="28"/>
        </w:rPr>
        <w:t>Контроль за</w:t>
      </w:r>
      <w:proofErr w:type="gramEnd"/>
      <w:r w:rsidRPr="00A57831">
        <w:rPr>
          <w:sz w:val="28"/>
          <w:szCs w:val="28"/>
        </w:rPr>
        <w:t xml:space="preserve"> исполнением настоящего решения возложить на </w:t>
      </w:r>
      <w:r w:rsidR="00A57831" w:rsidRPr="00A57831">
        <w:rPr>
          <w:sz w:val="28"/>
          <w:szCs w:val="28"/>
        </w:rPr>
        <w:t>руководителя администрации городского поселения «Микунь».</w:t>
      </w:r>
    </w:p>
    <w:p w:rsidR="0024638D" w:rsidRPr="00A57831" w:rsidRDefault="0024638D" w:rsidP="0024638D">
      <w:pPr>
        <w:tabs>
          <w:tab w:val="left" w:pos="7230"/>
        </w:tabs>
        <w:jc w:val="both"/>
        <w:rPr>
          <w:sz w:val="28"/>
          <w:szCs w:val="28"/>
        </w:rPr>
      </w:pPr>
      <w:r w:rsidRPr="00A57831">
        <w:rPr>
          <w:sz w:val="28"/>
          <w:szCs w:val="28"/>
        </w:rPr>
        <w:t>Глава городского поселения «Микунь»-</w:t>
      </w:r>
    </w:p>
    <w:p w:rsidR="0024638D" w:rsidRPr="00A57831" w:rsidRDefault="0024638D" w:rsidP="0024638D">
      <w:pPr>
        <w:tabs>
          <w:tab w:val="left" w:pos="6345"/>
        </w:tabs>
        <w:jc w:val="both"/>
        <w:rPr>
          <w:sz w:val="28"/>
          <w:szCs w:val="28"/>
        </w:rPr>
      </w:pPr>
      <w:r w:rsidRPr="00A57831">
        <w:rPr>
          <w:sz w:val="28"/>
          <w:szCs w:val="28"/>
        </w:rPr>
        <w:t xml:space="preserve">председатель Совета </w:t>
      </w:r>
      <w:r w:rsidRPr="00A57831">
        <w:rPr>
          <w:sz w:val="28"/>
          <w:szCs w:val="28"/>
        </w:rPr>
        <w:tab/>
        <w:t>Н.Л.Кудряшов</w:t>
      </w:r>
    </w:p>
    <w:p w:rsidR="00897F59" w:rsidRPr="00A57831" w:rsidRDefault="00897F59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8D" w:rsidRPr="00A57831" w:rsidRDefault="0024638D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638D" w:rsidRPr="00A57831" w:rsidSect="00C16BF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abstractNum w:abstractNumId="3">
    <w:nsid w:val="7583612A"/>
    <w:multiLevelType w:val="hybridMultilevel"/>
    <w:tmpl w:val="AB046E06"/>
    <w:lvl w:ilvl="0" w:tplc="474EF1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savePreviewPicture/>
  <w:compat/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EA3"/>
    <w:rsid w:val="001413D4"/>
    <w:rsid w:val="00144010"/>
    <w:rsid w:val="001453AA"/>
    <w:rsid w:val="00173BD8"/>
    <w:rsid w:val="0019425E"/>
    <w:rsid w:val="001B1030"/>
    <w:rsid w:val="001C679D"/>
    <w:rsid w:val="001C760B"/>
    <w:rsid w:val="001D11FE"/>
    <w:rsid w:val="001D4412"/>
    <w:rsid w:val="001E3F58"/>
    <w:rsid w:val="001E7772"/>
    <w:rsid w:val="002009F7"/>
    <w:rsid w:val="002058D4"/>
    <w:rsid w:val="00214C11"/>
    <w:rsid w:val="002174ED"/>
    <w:rsid w:val="00225F42"/>
    <w:rsid w:val="0024638D"/>
    <w:rsid w:val="002514FF"/>
    <w:rsid w:val="0025278C"/>
    <w:rsid w:val="00253E99"/>
    <w:rsid w:val="00271508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65BF4"/>
    <w:rsid w:val="00370337"/>
    <w:rsid w:val="00375A97"/>
    <w:rsid w:val="00387226"/>
    <w:rsid w:val="00392C39"/>
    <w:rsid w:val="003A2F7F"/>
    <w:rsid w:val="003A74D5"/>
    <w:rsid w:val="003C29DD"/>
    <w:rsid w:val="003E69D4"/>
    <w:rsid w:val="003E6D75"/>
    <w:rsid w:val="00401109"/>
    <w:rsid w:val="00403C72"/>
    <w:rsid w:val="004130F3"/>
    <w:rsid w:val="0042427E"/>
    <w:rsid w:val="004426A4"/>
    <w:rsid w:val="0048355C"/>
    <w:rsid w:val="00486907"/>
    <w:rsid w:val="00495612"/>
    <w:rsid w:val="004C150F"/>
    <w:rsid w:val="004D5274"/>
    <w:rsid w:val="004E4872"/>
    <w:rsid w:val="004F1075"/>
    <w:rsid w:val="004F38FF"/>
    <w:rsid w:val="004F518A"/>
    <w:rsid w:val="00525471"/>
    <w:rsid w:val="00536A6F"/>
    <w:rsid w:val="00560D3F"/>
    <w:rsid w:val="00576422"/>
    <w:rsid w:val="00580992"/>
    <w:rsid w:val="00595084"/>
    <w:rsid w:val="005E0EC9"/>
    <w:rsid w:val="005F71B3"/>
    <w:rsid w:val="006159C7"/>
    <w:rsid w:val="00616D93"/>
    <w:rsid w:val="00620D47"/>
    <w:rsid w:val="00623468"/>
    <w:rsid w:val="00642DD3"/>
    <w:rsid w:val="00643B35"/>
    <w:rsid w:val="006830B3"/>
    <w:rsid w:val="00683183"/>
    <w:rsid w:val="00695B64"/>
    <w:rsid w:val="006B1F69"/>
    <w:rsid w:val="006B26A8"/>
    <w:rsid w:val="006D5126"/>
    <w:rsid w:val="006E339E"/>
    <w:rsid w:val="006F14CF"/>
    <w:rsid w:val="006F1B56"/>
    <w:rsid w:val="006F3346"/>
    <w:rsid w:val="006F4E01"/>
    <w:rsid w:val="00720182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1CEB"/>
    <w:rsid w:val="007842F3"/>
    <w:rsid w:val="007C4E1F"/>
    <w:rsid w:val="007D4930"/>
    <w:rsid w:val="007E22E0"/>
    <w:rsid w:val="00800003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F3470"/>
    <w:rsid w:val="008F404A"/>
    <w:rsid w:val="008F6C13"/>
    <w:rsid w:val="00905BEC"/>
    <w:rsid w:val="00905EB0"/>
    <w:rsid w:val="009335F9"/>
    <w:rsid w:val="00942235"/>
    <w:rsid w:val="009479F7"/>
    <w:rsid w:val="00951F7B"/>
    <w:rsid w:val="009623E1"/>
    <w:rsid w:val="00964C5F"/>
    <w:rsid w:val="00985DC4"/>
    <w:rsid w:val="0099221F"/>
    <w:rsid w:val="009B5C44"/>
    <w:rsid w:val="009C4487"/>
    <w:rsid w:val="009C5872"/>
    <w:rsid w:val="009E1F2F"/>
    <w:rsid w:val="009F7593"/>
    <w:rsid w:val="00A10B9D"/>
    <w:rsid w:val="00A57831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16BF4"/>
    <w:rsid w:val="00C27644"/>
    <w:rsid w:val="00C63370"/>
    <w:rsid w:val="00C76D29"/>
    <w:rsid w:val="00C92921"/>
    <w:rsid w:val="00C9594A"/>
    <w:rsid w:val="00CA1264"/>
    <w:rsid w:val="00CB2A34"/>
    <w:rsid w:val="00CB305D"/>
    <w:rsid w:val="00CC5211"/>
    <w:rsid w:val="00CE0754"/>
    <w:rsid w:val="00D0294D"/>
    <w:rsid w:val="00D17390"/>
    <w:rsid w:val="00D179E2"/>
    <w:rsid w:val="00D21579"/>
    <w:rsid w:val="00D23345"/>
    <w:rsid w:val="00D422CD"/>
    <w:rsid w:val="00D463C1"/>
    <w:rsid w:val="00D47082"/>
    <w:rsid w:val="00D512CD"/>
    <w:rsid w:val="00D751C6"/>
    <w:rsid w:val="00D76EC4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A1831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1"/>
    <w:rsid w:val="0024638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4638D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24638D"/>
    <w:rPr>
      <w:rFonts w:ascii="Arial" w:hAnsi="Arial" w:cs="Arial"/>
    </w:rPr>
  </w:style>
  <w:style w:type="paragraph" w:styleId="12">
    <w:name w:val="toc 1"/>
    <w:basedOn w:val="a"/>
    <w:next w:val="a"/>
    <w:uiPriority w:val="39"/>
    <w:rsid w:val="0024638D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20">
    <w:name w:val="toc 2"/>
    <w:basedOn w:val="a"/>
    <w:next w:val="a"/>
    <w:autoRedefine/>
    <w:uiPriority w:val="39"/>
    <w:unhideWhenUsed/>
    <w:rsid w:val="0024638D"/>
    <w:pPr>
      <w:suppressAutoHyphens/>
      <w:ind w:left="24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A57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Нормальный (таблица)"/>
    <w:basedOn w:val="a"/>
    <w:next w:val="a"/>
    <w:rsid w:val="00A578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57831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57831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658BE10BAC97ADF143BD9338E93F07BED6EBEE8EBEF23BAF912BBAFD7943DC02D1C0110DAD7806885BE4228f5k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A658BE10BAC97ADF1424CC368E93F079E064B3EFE6B229B2A01EB9A8D8CB38D53C440D18CDC9827499BC40f2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3B39-5502-47B0-9E1F-D0EF76E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13</cp:revision>
  <cp:lastPrinted>2021-09-10T13:51:00Z</cp:lastPrinted>
  <dcterms:created xsi:type="dcterms:W3CDTF">2015-01-15T06:13:00Z</dcterms:created>
  <dcterms:modified xsi:type="dcterms:W3CDTF">2021-09-10T13:52:00Z</dcterms:modified>
</cp:coreProperties>
</file>