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2293A" w:rsidRPr="00A576B2" w:rsidRDefault="00B2293A" w:rsidP="000A098B">
      <w:pPr>
        <w:pStyle w:val="2"/>
        <w:spacing w:line="360" w:lineRule="auto"/>
      </w:pPr>
      <w:r w:rsidRPr="00A576B2">
        <w:t>П О С Т А Н О В Л Е Н И Е</w:t>
      </w:r>
    </w:p>
    <w:p w:rsidR="00B2293A" w:rsidRDefault="00B2293A" w:rsidP="00B2293A">
      <w:pPr>
        <w:spacing w:line="480" w:lineRule="auto"/>
      </w:pPr>
    </w:p>
    <w:p w:rsidR="001363B8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от</w:t>
      </w:r>
      <w:r w:rsidR="00D60146">
        <w:rPr>
          <w:sz w:val="28"/>
          <w:szCs w:val="28"/>
        </w:rPr>
        <w:t xml:space="preserve"> </w:t>
      </w:r>
      <w:r w:rsidR="00D07535">
        <w:rPr>
          <w:sz w:val="28"/>
          <w:szCs w:val="28"/>
        </w:rPr>
        <w:t>__</w:t>
      </w:r>
      <w:r w:rsidR="00D36382">
        <w:rPr>
          <w:sz w:val="28"/>
          <w:szCs w:val="28"/>
        </w:rPr>
        <w:t xml:space="preserve"> </w:t>
      </w:r>
      <w:r w:rsidR="00BD0E71">
        <w:rPr>
          <w:sz w:val="28"/>
          <w:szCs w:val="28"/>
        </w:rPr>
        <w:t>июля</w:t>
      </w:r>
      <w:r w:rsidR="00D36382">
        <w:rPr>
          <w:sz w:val="28"/>
          <w:szCs w:val="28"/>
        </w:rPr>
        <w:t xml:space="preserve"> </w:t>
      </w:r>
      <w:r w:rsidR="00F707DE">
        <w:rPr>
          <w:sz w:val="28"/>
          <w:szCs w:val="28"/>
        </w:rPr>
        <w:t>2016</w:t>
      </w:r>
      <w:r w:rsidR="00D60146">
        <w:rPr>
          <w:sz w:val="28"/>
          <w:szCs w:val="28"/>
        </w:rPr>
        <w:t xml:space="preserve"> года</w:t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</w:r>
      <w:r w:rsidR="00F707DE">
        <w:rPr>
          <w:sz w:val="28"/>
          <w:szCs w:val="28"/>
        </w:rPr>
        <w:tab/>
        <w:t xml:space="preserve">        </w:t>
      </w:r>
      <w:r w:rsidR="00296D37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                                 </w:t>
      </w:r>
      <w:r w:rsidR="00D60146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 </w:t>
      </w:r>
      <w:r w:rsidR="00D60146">
        <w:rPr>
          <w:sz w:val="28"/>
          <w:szCs w:val="28"/>
        </w:rPr>
        <w:t xml:space="preserve">   </w:t>
      </w:r>
      <w:r w:rsidR="00867F6B">
        <w:rPr>
          <w:sz w:val="28"/>
          <w:szCs w:val="28"/>
        </w:rPr>
        <w:t xml:space="preserve">  </w:t>
      </w:r>
      <w:r w:rsidR="000A098B">
        <w:rPr>
          <w:sz w:val="28"/>
          <w:szCs w:val="28"/>
        </w:rPr>
        <w:t>№</w:t>
      </w:r>
      <w:r w:rsidR="00D36382">
        <w:rPr>
          <w:sz w:val="28"/>
          <w:szCs w:val="28"/>
        </w:rPr>
        <w:t xml:space="preserve"> </w:t>
      </w:r>
      <w:r w:rsidR="00D07535">
        <w:rPr>
          <w:sz w:val="28"/>
          <w:szCs w:val="28"/>
        </w:rPr>
        <w:t>___</w:t>
      </w:r>
    </w:p>
    <w:p w:rsidR="00D36382" w:rsidRPr="000A098B" w:rsidRDefault="00D36382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  <w:bookmarkStart w:id="0" w:name="_GoBack"/>
      <w:bookmarkEnd w:id="0"/>
    </w:p>
    <w:tbl>
      <w:tblPr>
        <w:tblW w:w="9856" w:type="dxa"/>
        <w:tblLook w:val="01E0" w:firstRow="1" w:lastRow="1" w:firstColumn="1" w:lastColumn="1" w:noHBand="0" w:noVBand="0"/>
      </w:tblPr>
      <w:tblGrid>
        <w:gridCol w:w="5070"/>
        <w:gridCol w:w="4786"/>
      </w:tblGrid>
      <w:tr w:rsidR="001363B8" w:rsidRPr="00EA1079" w:rsidTr="00D60146">
        <w:tc>
          <w:tcPr>
            <w:tcW w:w="5070" w:type="dxa"/>
            <w:shd w:val="clear" w:color="auto" w:fill="auto"/>
          </w:tcPr>
          <w:p w:rsidR="004D6A72" w:rsidRPr="004D6A72" w:rsidRDefault="004D6A72" w:rsidP="00D60146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 xml:space="preserve">Об утверждении порядка проведения антикоррупционной экспертизы </w:t>
            </w:r>
            <w:proofErr w:type="gramStart"/>
            <w:r w:rsidRPr="004D6A72">
              <w:rPr>
                <w:sz w:val="28"/>
                <w:szCs w:val="28"/>
              </w:rPr>
              <w:t>нор</w:t>
            </w:r>
            <w:r w:rsidR="00D60146">
              <w:rPr>
                <w:sz w:val="28"/>
                <w:szCs w:val="28"/>
              </w:rPr>
              <w:t>-</w:t>
            </w:r>
            <w:proofErr w:type="spellStart"/>
            <w:r w:rsidRPr="004D6A72">
              <w:rPr>
                <w:sz w:val="28"/>
                <w:szCs w:val="28"/>
              </w:rPr>
              <w:t>мативных</w:t>
            </w:r>
            <w:proofErr w:type="spellEnd"/>
            <w:proofErr w:type="gramEnd"/>
            <w:r w:rsidRPr="004D6A72">
              <w:rPr>
                <w:sz w:val="28"/>
                <w:szCs w:val="28"/>
              </w:rPr>
              <w:t xml:space="preserve"> правовых актов и проектов нормативных правовых актов органов местного самоуправления </w:t>
            </w:r>
            <w:proofErr w:type="spellStart"/>
            <w:r w:rsidRPr="004D6A72">
              <w:rPr>
                <w:sz w:val="28"/>
                <w:szCs w:val="28"/>
              </w:rPr>
              <w:t>муниципаль</w:t>
            </w:r>
            <w:r w:rsidR="00D60146">
              <w:rPr>
                <w:sz w:val="28"/>
                <w:szCs w:val="28"/>
              </w:rPr>
              <w:t>-</w:t>
            </w:r>
            <w:r w:rsidRPr="004D6A72">
              <w:rPr>
                <w:sz w:val="28"/>
                <w:szCs w:val="28"/>
              </w:rPr>
              <w:t>ного</w:t>
            </w:r>
            <w:proofErr w:type="spellEnd"/>
            <w:r w:rsidRPr="004D6A72">
              <w:rPr>
                <w:sz w:val="28"/>
                <w:szCs w:val="28"/>
              </w:rPr>
              <w:t xml:space="preserve"> образования </w:t>
            </w:r>
            <w:r w:rsidR="00152F86">
              <w:rPr>
                <w:sz w:val="28"/>
                <w:szCs w:val="28"/>
              </w:rPr>
              <w:t>городского поселения «Микунь»</w:t>
            </w:r>
            <w:r w:rsidRPr="004D6A72">
              <w:rPr>
                <w:i/>
                <w:sz w:val="28"/>
                <w:szCs w:val="28"/>
              </w:rPr>
              <w:t xml:space="preserve">, </w:t>
            </w:r>
            <w:r w:rsidRPr="004D6A72">
              <w:rPr>
                <w:sz w:val="28"/>
                <w:szCs w:val="28"/>
              </w:rPr>
              <w:t>и их должностных лиц</w:t>
            </w:r>
          </w:p>
          <w:p w:rsidR="002D2BC5" w:rsidRPr="00D60146" w:rsidRDefault="002D2BC5" w:rsidP="002D2BC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504E0F" w:rsidRPr="00EA1079" w:rsidRDefault="00504E0F" w:rsidP="00C86707">
            <w:pPr>
              <w:ind w:right="317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4D6A72" w:rsidRPr="004D6A72" w:rsidRDefault="004D6A72" w:rsidP="004D6A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bCs/>
          <w:sz w:val="28"/>
          <w:szCs w:val="28"/>
        </w:rPr>
        <w:t xml:space="preserve">В </w:t>
      </w:r>
      <w:r w:rsidRPr="004D6A72">
        <w:rPr>
          <w:sz w:val="28"/>
          <w:szCs w:val="28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25 декабря 2008 года </w:t>
      </w:r>
      <w:r w:rsidR="00D60146">
        <w:rPr>
          <w:sz w:val="28"/>
          <w:szCs w:val="28"/>
        </w:rPr>
        <w:t xml:space="preserve">      </w:t>
      </w:r>
      <w:r w:rsidRPr="004D6A72">
        <w:rPr>
          <w:sz w:val="28"/>
          <w:szCs w:val="28"/>
        </w:rPr>
        <w:t xml:space="preserve">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Республики Коми от 29 сентября 2008 года </w:t>
      </w:r>
      <w:hyperlink r:id="rId8" w:tooltip="Закон Республики Коми от 29.09.2008 N 82-РЗ (ред. от 09.12.2014) &quot;О противодействии коррупции в Республике Коми&quot; (принят ГС РК 18.09.2008) (с изм. и доп., вступающими в силу с 01.01.2015){КонсультантПлюс}" w:history="1">
        <w:r w:rsidRPr="004D6A72">
          <w:rPr>
            <w:sz w:val="28"/>
            <w:szCs w:val="28"/>
          </w:rPr>
          <w:t>№ 82-РЗ</w:t>
        </w:r>
      </w:hyperlink>
      <w:r w:rsidRPr="004D6A72">
        <w:rPr>
          <w:sz w:val="28"/>
          <w:szCs w:val="28"/>
        </w:rPr>
        <w:t xml:space="preserve"> «О противодействии коррупции в Республике Коми»</w:t>
      </w:r>
      <w:r w:rsidR="00D60146">
        <w:rPr>
          <w:sz w:val="28"/>
          <w:szCs w:val="28"/>
        </w:rPr>
        <w:t>,</w:t>
      </w:r>
      <w:r w:rsidRPr="004D6A72">
        <w:rPr>
          <w:sz w:val="28"/>
          <w:szCs w:val="28"/>
        </w:rPr>
        <w:t xml:space="preserve"> администрация </w:t>
      </w:r>
      <w:r w:rsidR="00867F6B" w:rsidRPr="008906AE">
        <w:rPr>
          <w:sz w:val="28"/>
          <w:szCs w:val="28"/>
        </w:rPr>
        <w:t>городского поселения «Микунь»</w:t>
      </w:r>
      <w:r w:rsidR="00867F6B">
        <w:rPr>
          <w:sz w:val="28"/>
          <w:szCs w:val="28"/>
        </w:rPr>
        <w:t xml:space="preserve"> </w:t>
      </w:r>
      <w:r w:rsidR="00867F6B" w:rsidRPr="004D6A72">
        <w:rPr>
          <w:sz w:val="28"/>
          <w:szCs w:val="28"/>
        </w:rPr>
        <w:t>ПОСТАНОВЛЯЕТ</w:t>
      </w:r>
      <w:r w:rsidRPr="004D6A72">
        <w:rPr>
          <w:sz w:val="28"/>
          <w:szCs w:val="28"/>
        </w:rPr>
        <w:t>:</w:t>
      </w:r>
    </w:p>
    <w:p w:rsidR="004D6A72" w:rsidRPr="004D6A72" w:rsidRDefault="004D6A72" w:rsidP="004D6A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муниципального образования </w:t>
      </w:r>
      <w:r w:rsidR="00867F6B" w:rsidRPr="008906AE">
        <w:rPr>
          <w:sz w:val="28"/>
          <w:szCs w:val="28"/>
        </w:rPr>
        <w:t>городского поселения «Микунь»</w:t>
      </w:r>
      <w:r w:rsidR="00867F6B">
        <w:rPr>
          <w:sz w:val="28"/>
          <w:szCs w:val="28"/>
        </w:rPr>
        <w:t xml:space="preserve">, </w:t>
      </w:r>
      <w:r w:rsidRPr="004D6A72">
        <w:rPr>
          <w:sz w:val="28"/>
          <w:szCs w:val="28"/>
        </w:rPr>
        <w:t>и их должностных лиц согласно приложению к настоящему постановлению.</w:t>
      </w:r>
    </w:p>
    <w:p w:rsidR="002D2BC5" w:rsidRDefault="004D6A72" w:rsidP="004D6A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D6A72">
        <w:rPr>
          <w:sz w:val="28"/>
          <w:szCs w:val="28"/>
        </w:rPr>
        <w:t xml:space="preserve">2. Настоящее постановление вступает в силу </w:t>
      </w:r>
      <w:r w:rsidRPr="004D6A72">
        <w:rPr>
          <w:bCs/>
          <w:sz w:val="28"/>
          <w:szCs w:val="28"/>
        </w:rPr>
        <w:t xml:space="preserve">через 10 дней после его </w:t>
      </w:r>
      <w:r w:rsidRPr="004D6A72">
        <w:rPr>
          <w:sz w:val="28"/>
          <w:szCs w:val="28"/>
        </w:rPr>
        <w:t xml:space="preserve">официального </w:t>
      </w:r>
      <w:r w:rsidRPr="004D6A72">
        <w:rPr>
          <w:bCs/>
          <w:sz w:val="28"/>
          <w:szCs w:val="28"/>
        </w:rPr>
        <w:t xml:space="preserve"> опубликования </w:t>
      </w:r>
      <w:r w:rsidRPr="004D6A72">
        <w:rPr>
          <w:sz w:val="28"/>
          <w:szCs w:val="28"/>
        </w:rPr>
        <w:t>(обнародования)</w:t>
      </w:r>
      <w:r w:rsidRPr="004D6A72">
        <w:rPr>
          <w:bCs/>
          <w:sz w:val="28"/>
          <w:szCs w:val="28"/>
        </w:rPr>
        <w:t>.</w:t>
      </w:r>
    </w:p>
    <w:p w:rsidR="004D6A72" w:rsidRDefault="004D6A72" w:rsidP="00D6014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4D6A72" w:rsidRDefault="004D6A72" w:rsidP="004D6A7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D1C7F" w:rsidRPr="002D2BC5" w:rsidRDefault="002D2BC5" w:rsidP="002D2BC5">
      <w:pPr>
        <w:pStyle w:val="ConsPlusNormal"/>
        <w:tabs>
          <w:tab w:val="left" w:pos="0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2BC5">
        <w:rPr>
          <w:rFonts w:ascii="Times New Roman" w:hAnsi="Times New Roman" w:cs="Times New Roman"/>
          <w:sz w:val="28"/>
          <w:szCs w:val="28"/>
        </w:rPr>
        <w:t>Ру</w:t>
      </w:r>
      <w:r w:rsidR="003D1C7F" w:rsidRPr="002D2BC5">
        <w:rPr>
          <w:rFonts w:ascii="Times New Roman" w:hAnsi="Times New Roman" w:cs="Times New Roman"/>
          <w:sz w:val="28"/>
          <w:szCs w:val="28"/>
        </w:rPr>
        <w:t>ководитель администрации</w:t>
      </w:r>
      <w:r w:rsidR="00CC0FA7" w:rsidRPr="002D2B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A262E" w:rsidRPr="002D2BC5">
        <w:rPr>
          <w:rFonts w:ascii="Times New Roman" w:hAnsi="Times New Roman" w:cs="Times New Roman"/>
          <w:sz w:val="28"/>
          <w:szCs w:val="28"/>
        </w:rPr>
        <w:t xml:space="preserve"> </w:t>
      </w:r>
      <w:r w:rsidR="000A098B" w:rsidRPr="002D2B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FA7" w:rsidRPr="002D2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FA7" w:rsidRDefault="003D1C7F" w:rsidP="002D2BC5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 w:rsidR="00D363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            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D60146" w:rsidTr="00CB2901">
        <w:tc>
          <w:tcPr>
            <w:tcW w:w="5211" w:type="dxa"/>
          </w:tcPr>
          <w:p w:rsidR="00D60146" w:rsidRDefault="00D60146" w:rsidP="00CB2901">
            <w:pPr>
              <w:tabs>
                <w:tab w:val="left" w:pos="7965"/>
                <w:tab w:val="right" w:pos="935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60146" w:rsidRPr="00CE364E" w:rsidRDefault="00D60146" w:rsidP="00CB2901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D60146" w:rsidRPr="00CE364E" w:rsidRDefault="00D60146" w:rsidP="00CB29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64E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60146" w:rsidRPr="00CE364E" w:rsidRDefault="00D60146" w:rsidP="00CB2901">
            <w:pPr>
              <w:tabs>
                <w:tab w:val="left" w:pos="7965"/>
                <w:tab w:val="right" w:pos="9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«Микунь» </w:t>
            </w:r>
          </w:p>
          <w:p w:rsidR="00D60146" w:rsidRDefault="00D60146" w:rsidP="00CB2901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 xml:space="preserve">от </w:t>
            </w:r>
            <w:r w:rsidR="00D07535">
              <w:rPr>
                <w:sz w:val="28"/>
                <w:szCs w:val="28"/>
              </w:rPr>
              <w:t>_</w:t>
            </w:r>
            <w:proofErr w:type="gramStart"/>
            <w:r w:rsidR="00D07535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.07.</w:t>
            </w:r>
            <w:r w:rsidRPr="00CE364E">
              <w:rPr>
                <w:sz w:val="28"/>
                <w:szCs w:val="28"/>
              </w:rPr>
              <w:t>2016</w:t>
            </w:r>
            <w:proofErr w:type="gramEnd"/>
            <w:r w:rsidRPr="00CE364E">
              <w:rPr>
                <w:sz w:val="28"/>
                <w:szCs w:val="28"/>
              </w:rPr>
              <w:t xml:space="preserve"> г. № </w:t>
            </w:r>
            <w:r w:rsidR="00D07535">
              <w:rPr>
                <w:sz w:val="28"/>
                <w:szCs w:val="28"/>
              </w:rPr>
              <w:t>__</w:t>
            </w:r>
          </w:p>
          <w:p w:rsidR="00D60146" w:rsidRDefault="00D60146" w:rsidP="00CB2901">
            <w:pPr>
              <w:spacing w:line="360" w:lineRule="auto"/>
              <w:rPr>
                <w:sz w:val="28"/>
                <w:szCs w:val="28"/>
              </w:rPr>
            </w:pPr>
            <w:r w:rsidRPr="00CE364E">
              <w:rPr>
                <w:sz w:val="28"/>
                <w:szCs w:val="28"/>
              </w:rPr>
              <w:t>(приложение)</w:t>
            </w:r>
          </w:p>
        </w:tc>
      </w:tr>
    </w:tbl>
    <w:p w:rsidR="00D60146" w:rsidRDefault="00D60146" w:rsidP="004D6A72">
      <w:pPr>
        <w:tabs>
          <w:tab w:val="left" w:pos="7965"/>
          <w:tab w:val="right" w:pos="9354"/>
        </w:tabs>
        <w:jc w:val="right"/>
        <w:rPr>
          <w:color w:val="FF0000"/>
          <w:sz w:val="28"/>
          <w:szCs w:val="28"/>
        </w:rPr>
      </w:pPr>
    </w:p>
    <w:p w:rsidR="004D6A72" w:rsidRPr="004D6A72" w:rsidRDefault="00D60146" w:rsidP="00D60146">
      <w:pPr>
        <w:tabs>
          <w:tab w:val="left" w:pos="7965"/>
          <w:tab w:val="right" w:pos="9354"/>
        </w:tabs>
        <w:ind w:firstLine="709"/>
        <w:jc w:val="righ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60146" w:rsidRDefault="004D6A72" w:rsidP="00D601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F86">
        <w:rPr>
          <w:b/>
          <w:sz w:val="28"/>
          <w:szCs w:val="28"/>
        </w:rPr>
        <w:t xml:space="preserve">Порядок </w:t>
      </w:r>
    </w:p>
    <w:p w:rsidR="00D60146" w:rsidRDefault="004D6A72" w:rsidP="00D601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F86">
        <w:rPr>
          <w:b/>
          <w:sz w:val="28"/>
          <w:szCs w:val="28"/>
        </w:rPr>
        <w:t xml:space="preserve">проведения антикоррупционной экспертизы </w:t>
      </w:r>
    </w:p>
    <w:p w:rsidR="00D60146" w:rsidRDefault="004D6A72" w:rsidP="00D601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F86">
        <w:rPr>
          <w:b/>
          <w:sz w:val="28"/>
          <w:szCs w:val="28"/>
        </w:rPr>
        <w:t xml:space="preserve">нормативных правовых актов и проектов нормативных правовых </w:t>
      </w:r>
    </w:p>
    <w:p w:rsidR="004D6A72" w:rsidRPr="00152F86" w:rsidRDefault="004D6A72" w:rsidP="00D601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2F86">
        <w:rPr>
          <w:b/>
          <w:sz w:val="28"/>
          <w:szCs w:val="28"/>
        </w:rPr>
        <w:t xml:space="preserve">актов органов местного самоуправления </w:t>
      </w:r>
      <w:r w:rsidR="00152F86" w:rsidRPr="00152F86">
        <w:rPr>
          <w:b/>
          <w:sz w:val="28"/>
          <w:szCs w:val="28"/>
        </w:rPr>
        <w:t>городского поселения «Микунь»</w:t>
      </w:r>
      <w:r w:rsidRPr="00152F86">
        <w:rPr>
          <w:b/>
          <w:i/>
          <w:sz w:val="28"/>
          <w:szCs w:val="28"/>
        </w:rPr>
        <w:t xml:space="preserve">, </w:t>
      </w:r>
      <w:r w:rsidRPr="00152F86">
        <w:rPr>
          <w:b/>
          <w:sz w:val="28"/>
          <w:szCs w:val="28"/>
        </w:rPr>
        <w:t>и их должностных лиц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6A72">
        <w:rPr>
          <w:sz w:val="28"/>
          <w:szCs w:val="28"/>
        </w:rPr>
        <w:t>I. Общие положения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1. Антикоррупционная экспертиза нормативных правовых актов </w:t>
      </w:r>
      <w:proofErr w:type="spellStart"/>
      <w:r w:rsidRPr="004D6A72">
        <w:rPr>
          <w:sz w:val="28"/>
          <w:szCs w:val="28"/>
        </w:rPr>
        <w:t>орга</w:t>
      </w:r>
      <w:proofErr w:type="spellEnd"/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 xml:space="preserve">нов местного самоуправления </w:t>
      </w:r>
      <w:r w:rsidR="00867F6B" w:rsidRPr="008906AE">
        <w:rPr>
          <w:sz w:val="28"/>
          <w:szCs w:val="28"/>
        </w:rPr>
        <w:t>городского поселения «Микунь»</w:t>
      </w:r>
      <w:r w:rsidRPr="004D6A72">
        <w:rPr>
          <w:i/>
          <w:sz w:val="28"/>
          <w:szCs w:val="28"/>
        </w:rPr>
        <w:t>,</w:t>
      </w:r>
      <w:r w:rsidRPr="00867F6B">
        <w:rPr>
          <w:i/>
          <w:color w:val="FF0000"/>
          <w:sz w:val="28"/>
          <w:szCs w:val="28"/>
        </w:rPr>
        <w:t xml:space="preserve"> </w:t>
      </w:r>
      <w:r w:rsidRPr="004D6A72">
        <w:rPr>
          <w:sz w:val="28"/>
          <w:szCs w:val="28"/>
        </w:rPr>
        <w:t xml:space="preserve">и их </w:t>
      </w:r>
      <w:proofErr w:type="spellStart"/>
      <w:r w:rsidRPr="004D6A72">
        <w:rPr>
          <w:sz w:val="28"/>
          <w:szCs w:val="28"/>
        </w:rPr>
        <w:t>долж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ностных</w:t>
      </w:r>
      <w:proofErr w:type="spellEnd"/>
      <w:r w:rsidRPr="004D6A72">
        <w:rPr>
          <w:sz w:val="28"/>
          <w:szCs w:val="28"/>
        </w:rPr>
        <w:t xml:space="preserve"> лиц (далее - нормативные правовые акты), и проектов нормативных правовых актов органов местного самоуправления муниципального образования </w:t>
      </w:r>
      <w:r w:rsidR="00867F6B" w:rsidRPr="008906AE">
        <w:rPr>
          <w:sz w:val="28"/>
          <w:szCs w:val="28"/>
        </w:rPr>
        <w:t>городского поселения «Микунь</w:t>
      </w:r>
      <w:proofErr w:type="gramStart"/>
      <w:r w:rsidR="00867F6B" w:rsidRPr="00D60146">
        <w:rPr>
          <w:sz w:val="28"/>
          <w:szCs w:val="28"/>
        </w:rPr>
        <w:t>»,</w:t>
      </w:r>
      <w:r w:rsidR="00867F6B" w:rsidRPr="00867F6B">
        <w:rPr>
          <w:color w:val="FF0000"/>
          <w:sz w:val="28"/>
          <w:szCs w:val="28"/>
        </w:rPr>
        <w:t xml:space="preserve"> </w:t>
      </w:r>
      <w:r w:rsidRPr="00867F6B">
        <w:rPr>
          <w:i/>
          <w:color w:val="FF0000"/>
          <w:sz w:val="28"/>
          <w:szCs w:val="28"/>
        </w:rPr>
        <w:t xml:space="preserve"> </w:t>
      </w:r>
      <w:r w:rsidRPr="004D6A72">
        <w:rPr>
          <w:sz w:val="28"/>
          <w:szCs w:val="28"/>
        </w:rPr>
        <w:t>и</w:t>
      </w:r>
      <w:proofErr w:type="gramEnd"/>
      <w:r w:rsidRPr="004D6A72">
        <w:rPr>
          <w:sz w:val="28"/>
          <w:szCs w:val="28"/>
        </w:rPr>
        <w:t xml:space="preserve"> их должностных лиц (далее - проекты нормативных правовых актов) проводится в соответствии с настоящим Порядком согласно методике, определенной Правительством Российской Федерации.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2. Органы местного самоуправления муниципального образования </w:t>
      </w:r>
      <w:r w:rsidR="00867F6B" w:rsidRPr="008906AE">
        <w:rPr>
          <w:sz w:val="28"/>
          <w:szCs w:val="28"/>
        </w:rPr>
        <w:t>городского поселения «Микунь»</w:t>
      </w:r>
      <w:r w:rsidR="00867F6B">
        <w:rPr>
          <w:sz w:val="28"/>
          <w:szCs w:val="28"/>
        </w:rPr>
        <w:t xml:space="preserve">, </w:t>
      </w:r>
      <w:r w:rsidRPr="004D6A72">
        <w:rPr>
          <w:sz w:val="28"/>
          <w:szCs w:val="28"/>
        </w:rPr>
        <w:t>(далее органы местного самоуправления),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3. Антикоррупционная экспертиза не проводится в отношении проектов нормативных правовых актов: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1) предусматривающих внесение изменений в нормативные правовые акты в части изменения: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персонального состава комиссий, советов, рабочих групп, штабов, а также в части изменения ответственного лица, осуществляющего контроль за реализацией соответствующего нормативного правового акта;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цифровых (количественных) показателей, определенных расчетным путем в соответствии с законодательством.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4. По результатам проведения антикоррупционной экспертизы нормативных правовых актов (проектов нормативных правовых актов) составляется заключение.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Заключение составляется соответственно по проекту нормативного правового акта и по нормативному правовому акту отдельно.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Заключение подписывается лицом, уполномоченным на его </w:t>
      </w:r>
      <w:proofErr w:type="spellStart"/>
      <w:proofErr w:type="gramStart"/>
      <w:r w:rsidRPr="004D6A72">
        <w:rPr>
          <w:sz w:val="28"/>
          <w:szCs w:val="28"/>
        </w:rPr>
        <w:t>подписа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ние</w:t>
      </w:r>
      <w:proofErr w:type="spellEnd"/>
      <w:proofErr w:type="gramEnd"/>
      <w:r w:rsidRPr="004D6A72">
        <w:rPr>
          <w:sz w:val="28"/>
          <w:szCs w:val="28"/>
        </w:rPr>
        <w:t xml:space="preserve"> в соответствии с правовым актом органа местного самоуправления.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6A72">
        <w:rPr>
          <w:sz w:val="28"/>
          <w:szCs w:val="28"/>
        </w:rPr>
        <w:lastRenderedPageBreak/>
        <w:t>II. Антикоррупционная экспертиза проектов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A72">
        <w:rPr>
          <w:sz w:val="28"/>
          <w:szCs w:val="28"/>
        </w:rPr>
        <w:t>нормативных правовых актов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5. Проведение антикоррупционной экспертизы проектов нормативных правовых актов осуществляется структурным подразделением (</w:t>
      </w:r>
      <w:proofErr w:type="spellStart"/>
      <w:proofErr w:type="gramStart"/>
      <w:r w:rsidRPr="004D6A72">
        <w:rPr>
          <w:sz w:val="28"/>
          <w:szCs w:val="28"/>
        </w:rPr>
        <w:t>специа</w:t>
      </w:r>
      <w:proofErr w:type="spellEnd"/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листом</w:t>
      </w:r>
      <w:proofErr w:type="gramEnd"/>
      <w:r w:rsidRPr="004D6A72">
        <w:rPr>
          <w:sz w:val="28"/>
          <w:szCs w:val="28"/>
        </w:rPr>
        <w:t>) органа местного самоуправления, уполномоченным на проведение антикоррупционной экспертизы, в следующие сроки, исчисляемые с даты поступления соответствующего проекта для проведения антикоррупционной экспертизы: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1) проекты нормативных правовых актов об утверждении (одобрении) концепций, положений, порядков, регламентов, планов, программ, правил - в течение семи рабочих дней;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2) проекты иных нормативных правовых актов - в течение трех рабочих дней.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6. В случае, если по результатам антикоррупционной экспертизы в проекте нормативного правового акта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 не выявлено, составляется заключение, в котором указывается на отсутствие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факторов, и осуществляется согласование данного </w:t>
      </w:r>
      <w:proofErr w:type="spellStart"/>
      <w:proofErr w:type="gramStart"/>
      <w:r w:rsidRPr="004D6A72">
        <w:rPr>
          <w:sz w:val="28"/>
          <w:szCs w:val="28"/>
        </w:rPr>
        <w:t>проек</w:t>
      </w:r>
      <w:proofErr w:type="spellEnd"/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та</w:t>
      </w:r>
      <w:proofErr w:type="gramEnd"/>
      <w:r w:rsidRPr="004D6A72">
        <w:rPr>
          <w:sz w:val="28"/>
          <w:szCs w:val="28"/>
        </w:rPr>
        <w:t>, которое оформляется визой лица, уполномоченного на подписание заключения, которая проставляется на последнем листе первого экземпляра (подлинника) проекта нормативного правового акта в нижней его части. Виза должна содержать дату согласования и подпись.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7. В случае, если по результатам антикоррупционной экспертизы в проекте нормативного правового акта выявлены </w:t>
      </w:r>
      <w:proofErr w:type="spellStart"/>
      <w:r w:rsidRPr="004D6A72">
        <w:rPr>
          <w:sz w:val="28"/>
          <w:szCs w:val="28"/>
        </w:rPr>
        <w:t>коррупциогенные</w:t>
      </w:r>
      <w:proofErr w:type="spellEnd"/>
      <w:r w:rsidRPr="004D6A72">
        <w:rPr>
          <w:sz w:val="28"/>
          <w:szCs w:val="28"/>
        </w:rPr>
        <w:t xml:space="preserve"> факторы, указанный проект с заключением направляется на доработку инициатору соответствующего проекта (далее - инициатор проекта).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8. Инициатор проекта по результатам рассмотрения замечаний, изложенных в заключении, в течение 14 дней с даты получения заключения: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1) в случае согласия с замечаниями, изложенными в заключении, - дорабатывает проект и направляет его в структурное подразделение (специалисту) органа местного самоуправления, уполномоченное(</w:t>
      </w:r>
      <w:proofErr w:type="spellStart"/>
      <w:r w:rsidRPr="004D6A72">
        <w:rPr>
          <w:sz w:val="28"/>
          <w:szCs w:val="28"/>
        </w:rPr>
        <w:t>му</w:t>
      </w:r>
      <w:proofErr w:type="spellEnd"/>
      <w:r w:rsidRPr="004D6A72">
        <w:rPr>
          <w:sz w:val="28"/>
          <w:szCs w:val="28"/>
        </w:rPr>
        <w:t xml:space="preserve">) на проведение антикоррупционной экспертизы, для проведения </w:t>
      </w:r>
      <w:proofErr w:type="spellStart"/>
      <w:proofErr w:type="gramStart"/>
      <w:r w:rsidRPr="004D6A72">
        <w:rPr>
          <w:sz w:val="28"/>
          <w:szCs w:val="28"/>
        </w:rPr>
        <w:t>антикорруп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ционной</w:t>
      </w:r>
      <w:proofErr w:type="spellEnd"/>
      <w:proofErr w:type="gramEnd"/>
      <w:r w:rsidRPr="004D6A72">
        <w:rPr>
          <w:sz w:val="28"/>
          <w:szCs w:val="28"/>
        </w:rPr>
        <w:t xml:space="preserve"> экспертизы повторно;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2) в случае несогласия с замечаниями, изложенными в заключении, - оформляет таблицу разногласий по заключению по форме согласно приложению к настоящему Порядку и направляет проект с таблицей разногласий в структурное подразделение (специалисту) органа местного самоуправления, уполномоченное(</w:t>
      </w:r>
      <w:proofErr w:type="spellStart"/>
      <w:r w:rsidRPr="004D6A72">
        <w:rPr>
          <w:sz w:val="28"/>
          <w:szCs w:val="28"/>
        </w:rPr>
        <w:t>му</w:t>
      </w:r>
      <w:proofErr w:type="spellEnd"/>
      <w:r w:rsidRPr="004D6A72">
        <w:rPr>
          <w:sz w:val="28"/>
          <w:szCs w:val="28"/>
        </w:rPr>
        <w:t>) на проведение антикоррупционной экспертизы, для урегулирования разногласий по заключению.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6A72">
        <w:rPr>
          <w:sz w:val="28"/>
          <w:szCs w:val="28"/>
        </w:rPr>
        <w:t>III. Антикоррупционная экспертиза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A72">
        <w:rPr>
          <w:sz w:val="28"/>
          <w:szCs w:val="28"/>
        </w:rPr>
        <w:t>нормативных правовых актов</w:t>
      </w:r>
    </w:p>
    <w:p w:rsidR="004D6A72" w:rsidRPr="00D60146" w:rsidRDefault="004D6A72" w:rsidP="004D6A72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9. Проведение антикоррупционной экспертизы нормативных правовых актов осуществляется при проведении мониторинга их применения в соответствии с планом проведения антикоррупционной экспертизы на </w:t>
      </w:r>
      <w:r w:rsidRPr="004D6A72">
        <w:rPr>
          <w:sz w:val="28"/>
          <w:szCs w:val="28"/>
        </w:rPr>
        <w:lastRenderedPageBreak/>
        <w:t>соответствующий календарный год (далее - План), утверждаемым ежегодно, не позднее 15 декабря, руководителем соответствующего органа местного самоуправления.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Сроки проведения антикоррупционной экспертизы, количество нормативных правовых актов, подлежащих антикоррупционной экспертизе в календарном году, определяются соответственно органом местного </w:t>
      </w:r>
      <w:proofErr w:type="gramStart"/>
      <w:r w:rsidRPr="004D6A72">
        <w:rPr>
          <w:sz w:val="28"/>
          <w:szCs w:val="28"/>
        </w:rPr>
        <w:t>само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управления</w:t>
      </w:r>
      <w:proofErr w:type="gramEnd"/>
      <w:r w:rsidRPr="004D6A72">
        <w:rPr>
          <w:sz w:val="28"/>
          <w:szCs w:val="28"/>
        </w:rPr>
        <w:t xml:space="preserve"> самостоятельно.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Утвержденный План содержит: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а) перечень нормативных правовых актов, подлежащих </w:t>
      </w:r>
      <w:proofErr w:type="spellStart"/>
      <w:proofErr w:type="gramStart"/>
      <w:r w:rsidRPr="004D6A72">
        <w:rPr>
          <w:sz w:val="28"/>
          <w:szCs w:val="28"/>
        </w:rPr>
        <w:t>антикорруп</w:t>
      </w:r>
      <w:r w:rsidR="00D60146">
        <w:rPr>
          <w:sz w:val="28"/>
          <w:szCs w:val="28"/>
        </w:rPr>
        <w:t>-</w:t>
      </w:r>
      <w:r w:rsidRPr="004D6A72">
        <w:rPr>
          <w:sz w:val="28"/>
          <w:szCs w:val="28"/>
        </w:rPr>
        <w:t>ционной</w:t>
      </w:r>
      <w:proofErr w:type="spellEnd"/>
      <w:proofErr w:type="gramEnd"/>
      <w:r w:rsidRPr="004D6A72">
        <w:rPr>
          <w:sz w:val="28"/>
          <w:szCs w:val="28"/>
        </w:rPr>
        <w:t xml:space="preserve"> экспертизе, с указанием их реквизитов и наименования;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б) срок проведения антикоррупционной экспертизы с указанием месяца;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в) лицо, ответственное за проведение антикоррупционной экспертизы.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10. Внесение изменений в утвержденный План осуществляется</w:t>
      </w:r>
      <w:r w:rsidR="00D60146">
        <w:rPr>
          <w:sz w:val="28"/>
          <w:szCs w:val="28"/>
        </w:rPr>
        <w:t xml:space="preserve"> </w:t>
      </w:r>
      <w:proofErr w:type="spellStart"/>
      <w:proofErr w:type="gramStart"/>
      <w:r w:rsidR="00D60146">
        <w:rPr>
          <w:sz w:val="28"/>
          <w:szCs w:val="28"/>
        </w:rPr>
        <w:t>руко</w:t>
      </w:r>
      <w:proofErr w:type="spellEnd"/>
      <w:r w:rsidR="00D60146">
        <w:rPr>
          <w:sz w:val="28"/>
          <w:szCs w:val="28"/>
        </w:rPr>
        <w:t>-водителем</w:t>
      </w:r>
      <w:proofErr w:type="gramEnd"/>
      <w:r w:rsidR="00D60146">
        <w:rPr>
          <w:sz w:val="28"/>
          <w:szCs w:val="28"/>
        </w:rPr>
        <w:t xml:space="preserve"> соответствующего </w:t>
      </w:r>
      <w:r w:rsidRPr="004D6A72">
        <w:rPr>
          <w:sz w:val="28"/>
          <w:szCs w:val="28"/>
        </w:rPr>
        <w:t>органа местного самоуправления по итогам его выполнения за 1 полугодие и 11 месяцев текущего года.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11. Основаниями для внесения изменений в План являются: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5"/>
      <w:bookmarkEnd w:id="1"/>
      <w:r w:rsidRPr="004D6A72">
        <w:rPr>
          <w:sz w:val="28"/>
          <w:szCs w:val="28"/>
        </w:rPr>
        <w:t>1) необходимость исключения из утвержденного Плана нормативного правового акта в связи с: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а) окончанием периода, на который он распространял свое действие;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б) признанием его утратившим силу;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2) необходимость дополнения Плана нормативным правовым актом в связи с уменьшением количества актов, подлежащих антикоррупционной экспертизе в текущем году, по основаниям, указанным в подпункте 1 настоящего пункта. При исключении нормативных правовых актов План дополняется таким же количеством нормативных правовых актов.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12. Внесенные изменения и дополнения в План утверждаются в течение 5 рабочих дней со дня их внесения руководителем соответствующего органа местного самоуправления.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13. В случае, если по результатам антикоррупционной экспертизы в нормативном правовом акте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 не выявлено, составляется заключение, в котором указывается на отсутствие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 xml:space="preserve">14. В случае, если по результатам антикоррупционной экспертизы в нормативном правовом акте выявлены </w:t>
      </w:r>
      <w:proofErr w:type="spellStart"/>
      <w:r w:rsidRPr="004D6A72">
        <w:rPr>
          <w:sz w:val="28"/>
          <w:szCs w:val="28"/>
        </w:rPr>
        <w:t>коррупциогенные</w:t>
      </w:r>
      <w:proofErr w:type="spellEnd"/>
      <w:r w:rsidRPr="004D6A72">
        <w:rPr>
          <w:sz w:val="28"/>
          <w:szCs w:val="28"/>
        </w:rPr>
        <w:t xml:space="preserve"> факторы, в течение 1 месяца со дня выявления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норм составляется по указанному акту заключение в соответствии с требованиями настоящего Порядка и направляется для рассмотрения в структурные подразделения органа местного самоуправления в соответствии с их компетенцией.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 w:rsidRPr="004D6A72">
        <w:rPr>
          <w:sz w:val="28"/>
          <w:szCs w:val="28"/>
        </w:rPr>
        <w:t>15. Структурные подразделения органа местного самоуправления организуют рассмотрение заключения, указанного в пункте 14 настоящего Порядка, и в месячный срок со дня его получения осуществляют подготовку: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69"/>
      <w:bookmarkEnd w:id="3"/>
      <w:r w:rsidRPr="004D6A72">
        <w:rPr>
          <w:sz w:val="28"/>
          <w:szCs w:val="28"/>
        </w:rPr>
        <w:t>1) в случае согласия с выводами, изложенными в заключении, - соответствующего проекта нормативного правового акта (далее - проект);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lastRenderedPageBreak/>
        <w:t xml:space="preserve">2) в случае несогласия с выводами, изложенными в заключении, - мотивированного возражения по каждому из выявленных </w:t>
      </w:r>
      <w:proofErr w:type="spellStart"/>
      <w:r w:rsidRPr="004D6A72">
        <w:rPr>
          <w:sz w:val="28"/>
          <w:szCs w:val="28"/>
        </w:rPr>
        <w:t>коррупциогенных</w:t>
      </w:r>
      <w:proofErr w:type="spellEnd"/>
      <w:r w:rsidRPr="004D6A72">
        <w:rPr>
          <w:sz w:val="28"/>
          <w:szCs w:val="28"/>
        </w:rPr>
        <w:t xml:space="preserve"> факторов (далее - возражения). Возражения оформляются таблицей разногласий по заключению по форме согласно приложению к настоящему Порядку.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6A72">
        <w:rPr>
          <w:sz w:val="28"/>
          <w:szCs w:val="28"/>
        </w:rPr>
        <w:t>16. В случае подготовки возражений структурные подразделения органа местного самоуправления в течение срока, установленного абзацем первым пункта 15 настоящего Порядка, направляет данные возражения в структурное подразделение (специалисту) органа местного самоуправления, уполномоченное(</w:t>
      </w:r>
      <w:proofErr w:type="spellStart"/>
      <w:r w:rsidRPr="004D6A72">
        <w:rPr>
          <w:sz w:val="28"/>
          <w:szCs w:val="28"/>
        </w:rPr>
        <w:t>му</w:t>
      </w:r>
      <w:proofErr w:type="spellEnd"/>
      <w:r w:rsidRPr="004D6A72">
        <w:rPr>
          <w:sz w:val="28"/>
          <w:szCs w:val="28"/>
        </w:rPr>
        <w:t>) на проведение антикоррупционной экспертизы, которое(</w:t>
      </w:r>
      <w:proofErr w:type="spellStart"/>
      <w:r w:rsidRPr="004D6A72">
        <w:rPr>
          <w:sz w:val="28"/>
          <w:szCs w:val="28"/>
        </w:rPr>
        <w:t>ый</w:t>
      </w:r>
      <w:proofErr w:type="spellEnd"/>
      <w:r w:rsidRPr="004D6A72">
        <w:rPr>
          <w:sz w:val="28"/>
          <w:szCs w:val="28"/>
        </w:rPr>
        <w:t>) организует в установленном порядке их рассмотрение. В случае несогласия с представленными возражениями структурное подразделение (специалист) органа местного самоуправления, уполномоченное(</w:t>
      </w:r>
      <w:proofErr w:type="spellStart"/>
      <w:r w:rsidRPr="004D6A72">
        <w:rPr>
          <w:sz w:val="28"/>
          <w:szCs w:val="28"/>
        </w:rPr>
        <w:t>ый</w:t>
      </w:r>
      <w:proofErr w:type="spellEnd"/>
      <w:r w:rsidRPr="004D6A72">
        <w:rPr>
          <w:sz w:val="28"/>
          <w:szCs w:val="28"/>
        </w:rPr>
        <w:t>) на проведение антикоррупционной экспертизы, в течение 14 рабочих дней со дня их представления готовит информацию, которую с копиями заключения и возражений направляет руководителю соответствующего органа местного самоуправления для дачи соответствующих поручений.</w:t>
      </w:r>
    </w:p>
    <w:p w:rsidR="004D6A72" w:rsidRPr="004D6A72" w:rsidRDefault="004D6A72" w:rsidP="004D6A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77"/>
      <w:bookmarkEnd w:id="4"/>
      <w:r w:rsidRPr="004D6A72">
        <w:rPr>
          <w:sz w:val="28"/>
          <w:szCs w:val="28"/>
        </w:rPr>
        <w:t>17. В сопроводительных документах и пояснительной записке к проекту, подготовленному в случае, указанном в подпункте 1 пункта 14 настоящего Порядка, указывается, что проект вносится по результатам рассмотрения заключения с указанием его даты и номера и приложением копии этого заключения.</w:t>
      </w:r>
    </w:p>
    <w:p w:rsidR="00D60146" w:rsidRDefault="00D60146" w:rsidP="004D6A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60146" w:rsidRDefault="00D60146" w:rsidP="00D601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  <w:r w:rsidR="004D6A72" w:rsidRPr="004D6A72">
        <w:rPr>
          <w:sz w:val="28"/>
          <w:szCs w:val="28"/>
        </w:rPr>
        <w:br w:type="page"/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60146" w:rsidTr="00D60146">
        <w:tc>
          <w:tcPr>
            <w:tcW w:w="5070" w:type="dxa"/>
          </w:tcPr>
          <w:p w:rsidR="00D60146" w:rsidRDefault="00D60146" w:rsidP="00D601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Приложение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к Порядку проведения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антикоррупционной экспертизы</w:t>
            </w:r>
          </w:p>
          <w:p w:rsidR="00D6014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 xml:space="preserve">нормативных правовых актов 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и проектов нормативных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правовых актов органов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местного самоуправления муниципального образования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городского поселения «Микунь»,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и их должностных лиц</w:t>
            </w:r>
          </w:p>
          <w:p w:rsidR="00D60146" w:rsidRPr="00152F8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F86">
              <w:rPr>
                <w:sz w:val="28"/>
                <w:szCs w:val="28"/>
              </w:rPr>
              <w:t>(форма)</w:t>
            </w:r>
          </w:p>
          <w:p w:rsidR="00D60146" w:rsidRDefault="00D60146" w:rsidP="00D601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60146" w:rsidRDefault="00D60146" w:rsidP="00D601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97"/>
      <w:bookmarkEnd w:id="5"/>
      <w:r w:rsidRPr="004D6A72">
        <w:rPr>
          <w:sz w:val="28"/>
          <w:szCs w:val="28"/>
        </w:rPr>
        <w:t>ТАБЛИЦА РАЗНОГЛАСИЙ К НОРМАТИВНОМУ ПРАВОВОМУ АКТУ (ПРОЕКТУ) _______________________________________________________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4D6A72">
        <w:rPr>
          <w:sz w:val="28"/>
          <w:szCs w:val="28"/>
          <w:vertAlign w:val="superscript"/>
        </w:rPr>
        <w:t>(вид нормативного правового акта (проекта))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A72">
        <w:rPr>
          <w:sz w:val="28"/>
          <w:szCs w:val="28"/>
        </w:rPr>
        <w:t>_______________________________________________________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4D6A72">
        <w:rPr>
          <w:sz w:val="28"/>
          <w:szCs w:val="28"/>
          <w:vertAlign w:val="superscript"/>
        </w:rPr>
        <w:t>(название нормативного правового акта (проекта))</w:t>
      </w:r>
    </w:p>
    <w:p w:rsidR="004D6A72" w:rsidRPr="004D6A72" w:rsidRDefault="004D6A72" w:rsidP="004D6A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D6A72">
        <w:rPr>
          <w:sz w:val="28"/>
          <w:szCs w:val="28"/>
        </w:rPr>
        <w:t>по результатам рассмотрения заключения от _____ № _____</w:t>
      </w:r>
    </w:p>
    <w:p w:rsidR="004D6A72" w:rsidRPr="004D6A72" w:rsidRDefault="004D6A72" w:rsidP="004D6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855"/>
        <w:gridCol w:w="5102"/>
      </w:tblGrid>
      <w:tr w:rsidR="004D6A72" w:rsidRPr="004D6A72" w:rsidTr="00EB4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146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Замечания и предложения, высказанные по нормативному правовому акту (проекту)</w:t>
            </w:r>
          </w:p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 xml:space="preserve"> в заключении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146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Результат рассмотрения заключения, содержащий мотивированные обоснования несогласия с замечаниями</w:t>
            </w:r>
          </w:p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 xml:space="preserve"> и предложениями, высказанными по нормативному правовому акту (проекту) в заключении</w:t>
            </w:r>
          </w:p>
        </w:tc>
      </w:tr>
      <w:tr w:rsidR="004D6A72" w:rsidRPr="004D6A72" w:rsidTr="00EB4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A72">
              <w:rPr>
                <w:sz w:val="28"/>
                <w:szCs w:val="28"/>
              </w:rPr>
              <w:t>3</w:t>
            </w:r>
          </w:p>
        </w:tc>
      </w:tr>
      <w:tr w:rsidR="004D6A72" w:rsidRPr="004D6A72" w:rsidTr="00EB491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6A72" w:rsidRPr="004D6A72" w:rsidRDefault="004D6A72" w:rsidP="00EB49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D6A72" w:rsidRDefault="004D6A72" w:rsidP="004D6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0146" w:rsidRPr="004D6A72" w:rsidRDefault="00D60146" w:rsidP="004D6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6A72" w:rsidRPr="004D6A72" w:rsidRDefault="004D6A72" w:rsidP="004D6A72">
      <w:pPr>
        <w:autoSpaceDE w:val="0"/>
        <w:autoSpaceDN w:val="0"/>
        <w:adjustRightInd w:val="0"/>
        <w:rPr>
          <w:sz w:val="28"/>
          <w:szCs w:val="28"/>
        </w:rPr>
      </w:pPr>
      <w:r w:rsidRPr="004D6A72">
        <w:rPr>
          <w:sz w:val="28"/>
          <w:szCs w:val="28"/>
        </w:rPr>
        <w:t>Должность руководителя</w:t>
      </w:r>
    </w:p>
    <w:p w:rsidR="004D6A72" w:rsidRPr="004D6A72" w:rsidRDefault="004D6A72" w:rsidP="004D6A72">
      <w:pPr>
        <w:autoSpaceDE w:val="0"/>
        <w:autoSpaceDN w:val="0"/>
        <w:adjustRightInd w:val="0"/>
        <w:rPr>
          <w:sz w:val="28"/>
          <w:szCs w:val="28"/>
        </w:rPr>
      </w:pPr>
      <w:r w:rsidRPr="004D6A72">
        <w:rPr>
          <w:sz w:val="28"/>
          <w:szCs w:val="28"/>
        </w:rPr>
        <w:t xml:space="preserve">структурного подразделения </w:t>
      </w:r>
    </w:p>
    <w:p w:rsidR="004D6A72" w:rsidRPr="004D6A72" w:rsidRDefault="004D6A72" w:rsidP="004D6A72">
      <w:pPr>
        <w:autoSpaceDE w:val="0"/>
        <w:autoSpaceDN w:val="0"/>
        <w:adjustRightInd w:val="0"/>
        <w:rPr>
          <w:sz w:val="28"/>
          <w:szCs w:val="28"/>
        </w:rPr>
      </w:pPr>
      <w:r w:rsidRPr="004D6A72">
        <w:rPr>
          <w:sz w:val="28"/>
          <w:szCs w:val="28"/>
        </w:rPr>
        <w:t>органа местного самоуправления,</w:t>
      </w:r>
    </w:p>
    <w:p w:rsidR="004D6A72" w:rsidRPr="004D6A72" w:rsidRDefault="004D6A72" w:rsidP="004D6A72">
      <w:pPr>
        <w:autoSpaceDE w:val="0"/>
        <w:autoSpaceDN w:val="0"/>
        <w:adjustRightInd w:val="0"/>
        <w:rPr>
          <w:sz w:val="28"/>
          <w:szCs w:val="28"/>
        </w:rPr>
      </w:pPr>
      <w:r w:rsidRPr="004D6A72">
        <w:rPr>
          <w:sz w:val="28"/>
          <w:szCs w:val="28"/>
        </w:rPr>
        <w:t xml:space="preserve">инициирующего проект    </w:t>
      </w:r>
      <w:r w:rsidR="00D60146">
        <w:rPr>
          <w:sz w:val="28"/>
          <w:szCs w:val="28"/>
        </w:rPr>
        <w:t xml:space="preserve">                    </w:t>
      </w:r>
      <w:r w:rsidR="00D60146" w:rsidRPr="004D6A72">
        <w:rPr>
          <w:sz w:val="28"/>
          <w:szCs w:val="28"/>
        </w:rPr>
        <w:t>_______</w:t>
      </w:r>
      <w:r w:rsidR="00D60146">
        <w:rPr>
          <w:sz w:val="28"/>
          <w:szCs w:val="28"/>
        </w:rPr>
        <w:t xml:space="preserve">__________________________                 </w:t>
      </w:r>
    </w:p>
    <w:p w:rsidR="004D6A72" w:rsidRPr="004D6A72" w:rsidRDefault="004D6A72" w:rsidP="004D6A72">
      <w:pPr>
        <w:autoSpaceDE w:val="0"/>
        <w:autoSpaceDN w:val="0"/>
        <w:adjustRightInd w:val="0"/>
        <w:ind w:firstLine="4536"/>
        <w:jc w:val="center"/>
        <w:rPr>
          <w:sz w:val="28"/>
          <w:szCs w:val="28"/>
          <w:vertAlign w:val="superscript"/>
        </w:rPr>
      </w:pPr>
      <w:r w:rsidRPr="004D6A72">
        <w:rPr>
          <w:sz w:val="28"/>
          <w:szCs w:val="28"/>
          <w:vertAlign w:val="superscript"/>
        </w:rPr>
        <w:t>(инициалы имени и отчества, фамилия)</w:t>
      </w:r>
    </w:p>
    <w:p w:rsidR="0022333B" w:rsidRPr="00900496" w:rsidRDefault="0022333B" w:rsidP="004D6A72">
      <w:pPr>
        <w:tabs>
          <w:tab w:val="left" w:pos="7965"/>
          <w:tab w:val="right" w:pos="9354"/>
        </w:tabs>
        <w:jc w:val="right"/>
        <w:rPr>
          <w:sz w:val="28"/>
          <w:szCs w:val="28"/>
        </w:rPr>
      </w:pPr>
    </w:p>
    <w:sectPr w:rsidR="0022333B" w:rsidRPr="00900496" w:rsidSect="00FA6374">
      <w:headerReference w:type="default" r:id="rId9"/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A20" w:rsidRDefault="00691A20">
      <w:r>
        <w:separator/>
      </w:r>
    </w:p>
  </w:endnote>
  <w:endnote w:type="continuationSeparator" w:id="0">
    <w:p w:rsidR="00691A20" w:rsidRDefault="0069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A20" w:rsidRDefault="00691A20">
      <w:r>
        <w:separator/>
      </w:r>
    </w:p>
  </w:footnote>
  <w:footnote w:type="continuationSeparator" w:id="0">
    <w:p w:rsidR="00691A20" w:rsidRDefault="00691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E" w:rsidRPr="00F8422E" w:rsidRDefault="00F8422E" w:rsidP="00F8422E">
    <w:pPr>
      <w:pStyle w:val="a7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BF04C4"/>
    <w:multiLevelType w:val="hybridMultilevel"/>
    <w:tmpl w:val="EBEC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2F86"/>
    <w:rsid w:val="00153BF6"/>
    <w:rsid w:val="001600C0"/>
    <w:rsid w:val="00182649"/>
    <w:rsid w:val="001A3B45"/>
    <w:rsid w:val="001B0690"/>
    <w:rsid w:val="001D273D"/>
    <w:rsid w:val="001E622D"/>
    <w:rsid w:val="00200AD6"/>
    <w:rsid w:val="0022333B"/>
    <w:rsid w:val="002444D7"/>
    <w:rsid w:val="00247FE4"/>
    <w:rsid w:val="00296D37"/>
    <w:rsid w:val="002A79D4"/>
    <w:rsid w:val="002D2BC5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F6CE4"/>
    <w:rsid w:val="003F7776"/>
    <w:rsid w:val="0040076E"/>
    <w:rsid w:val="004022A4"/>
    <w:rsid w:val="0041099E"/>
    <w:rsid w:val="00417D08"/>
    <w:rsid w:val="00442582"/>
    <w:rsid w:val="004670B0"/>
    <w:rsid w:val="00475B20"/>
    <w:rsid w:val="00477607"/>
    <w:rsid w:val="00480C67"/>
    <w:rsid w:val="004C13C8"/>
    <w:rsid w:val="004D6A72"/>
    <w:rsid w:val="004E264B"/>
    <w:rsid w:val="004E59AC"/>
    <w:rsid w:val="004F01B7"/>
    <w:rsid w:val="004F4757"/>
    <w:rsid w:val="00504E0F"/>
    <w:rsid w:val="005064AD"/>
    <w:rsid w:val="00521773"/>
    <w:rsid w:val="005309B2"/>
    <w:rsid w:val="00544425"/>
    <w:rsid w:val="00545DDC"/>
    <w:rsid w:val="00573874"/>
    <w:rsid w:val="0058344F"/>
    <w:rsid w:val="005D529C"/>
    <w:rsid w:val="005D6C2C"/>
    <w:rsid w:val="00607397"/>
    <w:rsid w:val="00642C01"/>
    <w:rsid w:val="00655019"/>
    <w:rsid w:val="00683291"/>
    <w:rsid w:val="00683D06"/>
    <w:rsid w:val="00691A20"/>
    <w:rsid w:val="00691AFE"/>
    <w:rsid w:val="00694987"/>
    <w:rsid w:val="00697913"/>
    <w:rsid w:val="006A3BBD"/>
    <w:rsid w:val="006B68BE"/>
    <w:rsid w:val="006F5160"/>
    <w:rsid w:val="00701AF3"/>
    <w:rsid w:val="00715BCA"/>
    <w:rsid w:val="007177B9"/>
    <w:rsid w:val="00740FFF"/>
    <w:rsid w:val="00747A9D"/>
    <w:rsid w:val="007A6414"/>
    <w:rsid w:val="007A7227"/>
    <w:rsid w:val="007B142C"/>
    <w:rsid w:val="007B2F56"/>
    <w:rsid w:val="007B7FEC"/>
    <w:rsid w:val="007C00F5"/>
    <w:rsid w:val="007C6A50"/>
    <w:rsid w:val="007D288E"/>
    <w:rsid w:val="00800C8A"/>
    <w:rsid w:val="00812554"/>
    <w:rsid w:val="0086496B"/>
    <w:rsid w:val="00867F6B"/>
    <w:rsid w:val="008A56E9"/>
    <w:rsid w:val="008B24CF"/>
    <w:rsid w:val="008C57C8"/>
    <w:rsid w:val="008D20B8"/>
    <w:rsid w:val="008F1FA5"/>
    <w:rsid w:val="008F722E"/>
    <w:rsid w:val="00900496"/>
    <w:rsid w:val="009011EB"/>
    <w:rsid w:val="0090629E"/>
    <w:rsid w:val="009104AE"/>
    <w:rsid w:val="0091635F"/>
    <w:rsid w:val="00922263"/>
    <w:rsid w:val="00935063"/>
    <w:rsid w:val="00996EF9"/>
    <w:rsid w:val="009D3720"/>
    <w:rsid w:val="009E631D"/>
    <w:rsid w:val="00A20679"/>
    <w:rsid w:val="00A22915"/>
    <w:rsid w:val="00A7659B"/>
    <w:rsid w:val="00A80CEE"/>
    <w:rsid w:val="00A84BBA"/>
    <w:rsid w:val="00A91DF9"/>
    <w:rsid w:val="00AA0302"/>
    <w:rsid w:val="00AB14D2"/>
    <w:rsid w:val="00AB3B5D"/>
    <w:rsid w:val="00AD331C"/>
    <w:rsid w:val="00AE595B"/>
    <w:rsid w:val="00B00690"/>
    <w:rsid w:val="00B2293A"/>
    <w:rsid w:val="00B3388B"/>
    <w:rsid w:val="00B50509"/>
    <w:rsid w:val="00B637CA"/>
    <w:rsid w:val="00B65148"/>
    <w:rsid w:val="00B87A91"/>
    <w:rsid w:val="00B87AA2"/>
    <w:rsid w:val="00BA24AF"/>
    <w:rsid w:val="00BA2694"/>
    <w:rsid w:val="00BB33CE"/>
    <w:rsid w:val="00BC4AE6"/>
    <w:rsid w:val="00BD0E71"/>
    <w:rsid w:val="00BD4C0C"/>
    <w:rsid w:val="00BD5CD2"/>
    <w:rsid w:val="00BE6ACD"/>
    <w:rsid w:val="00BE7013"/>
    <w:rsid w:val="00BF7B18"/>
    <w:rsid w:val="00C05D31"/>
    <w:rsid w:val="00C229C6"/>
    <w:rsid w:val="00C24D5F"/>
    <w:rsid w:val="00C27644"/>
    <w:rsid w:val="00C65F49"/>
    <w:rsid w:val="00C66765"/>
    <w:rsid w:val="00C86707"/>
    <w:rsid w:val="00CB305D"/>
    <w:rsid w:val="00CC0FA7"/>
    <w:rsid w:val="00CC723B"/>
    <w:rsid w:val="00CC7663"/>
    <w:rsid w:val="00CD66A6"/>
    <w:rsid w:val="00D00EDD"/>
    <w:rsid w:val="00D07535"/>
    <w:rsid w:val="00D11A4D"/>
    <w:rsid w:val="00D130F7"/>
    <w:rsid w:val="00D36382"/>
    <w:rsid w:val="00D365B2"/>
    <w:rsid w:val="00D53660"/>
    <w:rsid w:val="00D55AB7"/>
    <w:rsid w:val="00D60146"/>
    <w:rsid w:val="00D73693"/>
    <w:rsid w:val="00D80F5E"/>
    <w:rsid w:val="00D830FB"/>
    <w:rsid w:val="00D91C64"/>
    <w:rsid w:val="00D941CB"/>
    <w:rsid w:val="00D953E6"/>
    <w:rsid w:val="00DA38AD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C3734"/>
    <w:rsid w:val="00EC7A9A"/>
    <w:rsid w:val="00EE4A8F"/>
    <w:rsid w:val="00EF03B1"/>
    <w:rsid w:val="00F06503"/>
    <w:rsid w:val="00F163D1"/>
    <w:rsid w:val="00F37DFB"/>
    <w:rsid w:val="00F44372"/>
    <w:rsid w:val="00F4450F"/>
    <w:rsid w:val="00F61590"/>
    <w:rsid w:val="00F650E2"/>
    <w:rsid w:val="00F6588B"/>
    <w:rsid w:val="00F6680B"/>
    <w:rsid w:val="00F66EB1"/>
    <w:rsid w:val="00F707DE"/>
    <w:rsid w:val="00F82A11"/>
    <w:rsid w:val="00F8422E"/>
    <w:rsid w:val="00FA6374"/>
    <w:rsid w:val="00FA64C8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A0A987-8FDF-46E8-84E7-7A617A3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rsid w:val="005D529C"/>
    <w:rPr>
      <w:color w:val="0000FF"/>
      <w:u w:val="single"/>
    </w:rPr>
  </w:style>
  <w:style w:type="paragraph" w:styleId="aa">
    <w:name w:val="Balloon Text"/>
    <w:basedOn w:val="a"/>
    <w:link w:val="ab"/>
    <w:rsid w:val="00D13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30F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A3132"/>
    <w:pPr>
      <w:ind w:left="720"/>
      <w:contextualSpacing/>
    </w:pPr>
  </w:style>
  <w:style w:type="character" w:customStyle="1" w:styleId="a4">
    <w:name w:val="Основной текст Знак"/>
    <w:link w:val="a3"/>
    <w:rsid w:val="004D6A72"/>
    <w:rPr>
      <w:sz w:val="24"/>
    </w:rPr>
  </w:style>
  <w:style w:type="character" w:customStyle="1" w:styleId="ConsPlusNormal0">
    <w:name w:val="ConsPlusNormal Знак"/>
    <w:link w:val="ConsPlusNormal"/>
    <w:locked/>
    <w:rsid w:val="00D6014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2D8388D3BBF2AD40459E0E0FE35659BFABFE61D3216ADCE5DC17162A36C7D1A6601974F30E0B888E01110K8q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11456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10</cp:revision>
  <cp:lastPrinted>2016-10-03T06:45:00Z</cp:lastPrinted>
  <dcterms:created xsi:type="dcterms:W3CDTF">2016-07-26T13:06:00Z</dcterms:created>
  <dcterms:modified xsi:type="dcterms:W3CDTF">2016-10-20T08:03:00Z</dcterms:modified>
</cp:coreProperties>
</file>