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D353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07.11.2013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132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EB4ABF" w:rsidRDefault="00EB4ABF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C30E2"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Пограничного муниципального района </w:t>
      </w:r>
    </w:p>
    <w:p w:rsidR="006F579A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2014- 2016 годы»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C30E2" w:rsidRPr="005C30E2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EB4ABF"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Федеральными законами Российской Федерации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от 06.10.2003 № 131- ФЗ «Об общих принципах организации местного самоуправления в Российской Федерации»,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>Энергоресурсосбережение и повышение энергетической эффективности в Сергеевском сельском поселении Пограничного муниципального района на 201</w:t>
      </w:r>
      <w:r w:rsidR="00E40B4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E40B4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B4A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01.01.2014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EB4AB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ABF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B4ABF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целевой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>«Энергоресурсосбережение и повышение энергетической эффективности в Сергеевском сельском поселении Пограничного муниципального района на 2012-2014 годы»</w:t>
      </w:r>
      <w:r w:rsidR="00D96F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6F579A" w:rsidRPr="006F579A">
        <w:rPr>
          <w:rFonts w:ascii="Times New Roman" w:hAnsi="Times New Roman"/>
          <w:sz w:val="26"/>
          <w:szCs w:val="26"/>
        </w:rPr>
        <w:lastRenderedPageBreak/>
        <w:t>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4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0A7AC6" w:rsidRDefault="006F579A" w:rsidP="009D0A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2D3532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132</w:t>
      </w: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7C0A6A" w:rsidRDefault="00E40B4C" w:rsidP="00E4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B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Сергеевском сельском поселении Пограничного муниципального района </w:t>
      </w:r>
    </w:p>
    <w:p w:rsidR="00231138" w:rsidRPr="00E40B4C" w:rsidRDefault="00E40B4C" w:rsidP="00E4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40B4C">
        <w:rPr>
          <w:rFonts w:ascii="Times New Roman" w:eastAsia="Times New Roman" w:hAnsi="Times New Roman"/>
          <w:b/>
          <w:sz w:val="26"/>
          <w:szCs w:val="26"/>
          <w:lang w:eastAsia="ru-RU"/>
        </w:rPr>
        <w:t>на 2014-2016 годы»</w:t>
      </w:r>
    </w:p>
    <w:p w:rsidR="00E40B4C" w:rsidRPr="00E40B4C" w:rsidRDefault="00E40B4C" w:rsidP="00E4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</w:t>
      </w:r>
      <w:r w:rsidR="007C0A6A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«Энергоресурсосбережение и повышение энергетической эффективности в Сергеевском сельском поселении Пограничного муниципального района на 2014-2016 годы»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Default="007C0A6A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</w:t>
      </w:r>
      <w:r w:rsidR="00296935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Федерации»;</w:t>
      </w:r>
    </w:p>
    <w:p w:rsidR="007C0A6A" w:rsidRPr="008F4FA7" w:rsidRDefault="007C0A6A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 от</w:t>
      </w:r>
      <w:r w:rsidRPr="00EB4ABF">
        <w:rPr>
          <w:rFonts w:eastAsia="Times New Roman" w:cs="Arial"/>
          <w:sz w:val="26"/>
          <w:szCs w:val="26"/>
        </w:rPr>
        <w:t xml:space="preserve"> </w:t>
      </w:r>
      <w:r w:rsidRPr="007C0A6A">
        <w:rPr>
          <w:rFonts w:eastAsia="Times New Roman" w:cs="Times New Roman"/>
          <w:i/>
          <w:kern w:val="0"/>
          <w:sz w:val="26"/>
          <w:szCs w:val="26"/>
          <w:lang w:eastAsia="ar-SA"/>
        </w:rPr>
        <w:t>23.11.2009 № 261-ФЗ «Об энергосбережении и повышении энергетической эффективности и о внесении изменений в отдельные законодател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ьные акты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7C0A6A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повышение эффективности энергопотребления путем внедрения современных энергосберегающих технологий; </w:t>
      </w:r>
    </w:p>
    <w:p w:rsidR="007C0A6A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замена изношенного, устаревшего оборудования; </w:t>
      </w:r>
    </w:p>
    <w:p w:rsidR="00D96FC5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снижение затратной части на оплату потребленных энергоресурсов.</w:t>
      </w:r>
    </w:p>
    <w:p w:rsidR="00D96FC5" w:rsidRPr="00D96FC5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Задачи Программы: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оптимальных нормативно-правовых, организационных и экономических условий для реализации стратегии энергоресурсосбережения;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проведение энергетических обследований;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системы учета потребляемых энергетических ресурсов муниципальными зданиями и учреждениями;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уменьшение потребления энергии и связанных с этим затрат в среднем на 6% (по 3% в 201</w:t>
      </w:r>
      <w:r w:rsidR="007C0A6A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7C0A6A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году) по административному зданию и муниципальным зданиям – многоэтажным домам;</w:t>
      </w:r>
    </w:p>
    <w:p w:rsidR="00D96FC5" w:rsidRPr="007C0A6A" w:rsidRDefault="00D96FC5" w:rsidP="00D96FC5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102BC4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D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102BC4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</w:t>
      </w:r>
      <w:r w:rsidR="0049551B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на 201</w:t>
      </w:r>
      <w:r w:rsidR="007C0A6A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7C0A6A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="00102BC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150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- </w:t>
      </w:r>
      <w:r w:rsidR="00F11DA8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11DA8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bookmarkStart w:id="0" w:name="_GoBack"/>
      <w:bookmarkEnd w:id="0"/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Перечень подпрограмм муниципальной  программы. 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D96FC5" w:rsidRPr="007C0A6A" w:rsidRDefault="007C0A6A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з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амена ламп уличного освещения на светодиодные светильники на водонапорной башне ст. Пржевальская, на во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донапорной скважине с. Украинка;</w:t>
      </w:r>
    </w:p>
    <w:p w:rsidR="00D96FC5" w:rsidRPr="007C0A6A" w:rsidRDefault="007C0A6A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з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амена ламп уличного освещения на светодиодные светильники в кочегарках административного здания, многофункционального здан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ия, сельского клуба с. Украинка;</w:t>
      </w:r>
    </w:p>
    <w:p w:rsidR="00D96FC5" w:rsidRPr="007C0A6A" w:rsidRDefault="007C0A6A" w:rsidP="007C0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по обучению в области энергосбережения и повышения энергетической эффективности;</w:t>
      </w:r>
    </w:p>
    <w:p w:rsidR="00114D79" w:rsidRPr="00114D79" w:rsidRDefault="00AC5591" w:rsidP="0011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МКУ «ХОЗУ администрации</w:t>
      </w:r>
      <w:r w:rsidR="00114D79"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114D79"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8E178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», МУП «ЖКХ Сергеевское».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объемов воды, расчеты за которую осуществляются с использованием приборов учета (водомеров);</w:t>
      </w:r>
    </w:p>
    <w:p w:rsidR="00D96FC5" w:rsidRPr="00D96FC5" w:rsidRDefault="008E1789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количество установленных </w:t>
      </w:r>
      <w:r w:rsidR="00D96FC5"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светодиодных светильников в системе наружного освещения в муниципальных зданиях, в подъездах (многоквартирный жилой дом по адресу: ст. Пржевальская, ул. Центральная, д.4, ул. Центральная, д.2.);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объем потребления электроэнергии системой наружного освещения в муниципальных зданиях, в подъездах многоквартирных домов;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E178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доля муниципальных учреждений, </w:t>
      </w: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зданий, прошедших энергетические обследования;</w:t>
      </w:r>
    </w:p>
    <w:p w:rsid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экономия энергетических ресурсов в натуральном выражении организациями коммунального комплекса.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02538" w:rsidRDefault="008C7D98" w:rsidP="0060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  <w:r w:rsidR="00602538" w:rsidRPr="00602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расходов электрической энергии в муниципальных зданиях;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экономия потребления воды в муниципальных учреждениях;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наличие в органах местного самоуправления актов</w:t>
      </w:r>
      <w:r w:rsidR="00102BC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энергетических обследований и </w:t>
      </w: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энергетических паспортов на уровне 100 процентов от общего количества зданий;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сокращение удельных показателей энергопотребления;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заинтересованности в энергосбережении;</w:t>
      </w:r>
    </w:p>
    <w:p w:rsid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энергетических расходов в бюджете Сергеевского сельского поселения.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1. Содержание проблемы и обоснование необходимости ее решения программными методами.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состав се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льского поселения входят четыре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населенных пункта:</w:t>
      </w:r>
      <w:r w:rsidRPr="00D96F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с. Дружба, с. Сергеевка, с. Украинка,  железнодорожная станция Пржевальская.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Снабжение тепловой энергией объектов жилищного хозяйства, административного здания, многофункционального здания осуществляется от котельных с печным отоплением. Используется твёрдое топливо – уголь.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Единственным источником обеспечения объектов поселения эл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ектрической  энергией является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Уссурийское  отделение филиала ОАО «ДЭК – Дальэнергосбыт». </w:t>
      </w:r>
    </w:p>
    <w:p w:rsidR="00D96FC5" w:rsidRPr="00D96FC5" w:rsidRDefault="004468F8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Объекты коммунальной сферы (водонапорная башня, водонапорная скважина ст. Пржевальская, водонапорная скважина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</w:t>
      </w:r>
      <w:r w:rsidRPr="00D755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водонапорная башня с. Украинка) находятся в хозяйственном ведении МУП «ЖКХ Сергеевское». Подъём воды из водон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апорной скважины 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с. Украинка,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водонапорной скв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ажины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ст. Пр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жевальская, распределение воды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по уличным колонкам осуществляет МУП «ЖКХ Сергеевское». 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На скважинах установлены водомеры.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Источники водоснабжения поселения: </w:t>
      </w:r>
    </w:p>
    <w:p w:rsidR="00D96FC5" w:rsidRPr="00D96FC5" w:rsidRDefault="00102BC4" w:rsidP="00D96F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коло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дцы в с. Сергеевка, с. Дружба,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ст. Пржевальская;</w:t>
      </w:r>
    </w:p>
    <w:p w:rsidR="00D96FC5" w:rsidRPr="00D96FC5" w:rsidRDefault="00102BC4" w:rsidP="00D96F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уличные колонки в с. Украинка, на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ст. Пржевальская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.</w:t>
      </w:r>
    </w:p>
    <w:p w:rsidR="002434EC" w:rsidRDefault="00D96FC5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В муниципальной собственности Сергеевского сельского поселения находятся многоквартирные дома с печным отоплением без централизова</w:t>
      </w:r>
      <w:r w:rsidR="00102BC4">
        <w:rPr>
          <w:rFonts w:ascii="Times New Roman" w:eastAsia="Times New Roman" w:hAnsi="Times New Roman"/>
          <w:sz w:val="26"/>
          <w:szCs w:val="26"/>
          <w:lang w:eastAsia="ru-RU"/>
        </w:rPr>
        <w:t>нного отопления и водоснабжения на с</w:t>
      </w: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т. Пржевальская, </w:t>
      </w:r>
      <w:r w:rsidR="00102BC4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102BC4">
        <w:rPr>
          <w:rFonts w:ascii="Times New Roman" w:eastAsia="Times New Roman" w:hAnsi="Times New Roman"/>
          <w:sz w:val="26"/>
          <w:szCs w:val="26"/>
          <w:lang w:eastAsia="ru-RU"/>
        </w:rPr>
        <w:t xml:space="preserve">л. Центральная, дом № 4 (9 квартир) и дом № </w:t>
      </w: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2 (</w:t>
      </w:r>
      <w:r w:rsidR="007C0A6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02BC4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квартиры). </w:t>
      </w:r>
    </w:p>
    <w:p w:rsidR="00102BC4" w:rsidRDefault="00102BC4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96FC5"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ышеуказанные дома оснащены общедомовыми 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>приборами учёта электроэнергии</w:t>
      </w:r>
      <w:r w:rsidR="00D96FC5" w:rsidRPr="00D96FC5">
        <w:rPr>
          <w:rFonts w:ascii="Times New Roman" w:eastAsia="Times New Roman" w:hAnsi="Times New Roman"/>
          <w:sz w:val="26"/>
          <w:szCs w:val="26"/>
          <w:lang w:eastAsia="ru-RU"/>
        </w:rPr>
        <w:t>, прои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 xml:space="preserve">зведена замена электропроводки. </w:t>
      </w:r>
      <w:r w:rsidR="00D96FC5" w:rsidRPr="00D96FC5">
        <w:rPr>
          <w:rFonts w:ascii="Times New Roman" w:eastAsia="Times New Roman" w:hAnsi="Times New Roman"/>
          <w:sz w:val="26"/>
          <w:szCs w:val="26"/>
          <w:lang w:eastAsia="ru-RU"/>
        </w:rPr>
        <w:t>Жилые квартиры в многоквартирных домах оснащены индивидуальными приборами учёта 100%.</w:t>
      </w:r>
      <w:r w:rsidRP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</w:p>
    <w:p w:rsidR="00102BC4" w:rsidRPr="00D96FC5" w:rsidRDefault="00D96FC5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</w:t>
      </w:r>
      <w:r w:rsidR="00D755EC" w:rsidRPr="00D755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5EC"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отсутствует централизованное </w:t>
      </w:r>
      <w:r w:rsidR="004468F8">
        <w:rPr>
          <w:rFonts w:ascii="Times New Roman" w:eastAsia="Times New Roman" w:hAnsi="Times New Roman"/>
          <w:sz w:val="26"/>
          <w:szCs w:val="26"/>
          <w:lang w:eastAsia="ru-RU"/>
        </w:rPr>
        <w:t xml:space="preserve">теплоснабжение и водоснабжение.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роста стоимости энергоресурсов, крайне важным становится обеспечение эффективного использования энергоресурсов 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</w:t>
      </w:r>
      <w:r w:rsidR="004468F8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уменьшения роста затрат на электроэнергию в зданиях и учреждениях, расположенных на тер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ритории Сергеевского сельского поселения.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Вопрос энергетической эффективности сегодня становится инструментом повышения экономических показателей организаций, снижения расходов, решения природоохранных проблем. </w:t>
      </w:r>
    </w:p>
    <w:p w:rsidR="008E1382" w:rsidRDefault="00543C35" w:rsidP="008E138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Главная цель Программы – снижение расходов бюджета поселения,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Для осуществления поставленной цели необходимо решение следующих задач: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уменьшение потребления энергии и связанных с этим затрат в среднем на 6 %  (201</w:t>
      </w:r>
      <w:r w:rsidR="00E65DF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4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-201</w:t>
      </w:r>
      <w:r w:rsidR="00E65DF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6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годы);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Приоритетностью реализации Программы является: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- сбережение топливных ресурсов и электрической энергии;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использования топливно-энергетических ресурсов на территории С</w:t>
      </w:r>
      <w:r w:rsidR="00E65DF4"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 го</w:t>
      </w:r>
      <w:r w:rsidR="00CF3B70">
        <w:rPr>
          <w:rFonts w:ascii="Times New Roman" w:hAnsi="Times New Roman"/>
          <w:sz w:val="26"/>
          <w:szCs w:val="26"/>
          <w:lang w:eastAsia="ru-RU"/>
        </w:rPr>
        <w:t xml:space="preserve">дах в один этап. </w:t>
      </w:r>
    </w:p>
    <w:p w:rsidR="004E09AE" w:rsidRDefault="009742D6" w:rsidP="004E09AE">
      <w:pPr>
        <w:pStyle w:val="ConsPlusCell"/>
        <w:tabs>
          <w:tab w:val="left" w:pos="930"/>
        </w:tabs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D96FC5" w:rsidRPr="00D96FC5" w:rsidRDefault="00E65DF4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lastRenderedPageBreak/>
        <w:t>О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дним из приоритетных направлений в области энергосбережения и повышения энергетической эффективности является проведение мероприятий, обеспечивающих снижение энергопотребления.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Основными мероприятиями по реализации данного направления являются:</w:t>
      </w:r>
    </w:p>
    <w:p w:rsidR="008E1789" w:rsidRPr="00D96FC5" w:rsidRDefault="008E1789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обучение сотрудников муниципальных учреждений по с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истеме энергомониторинга зданий;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- снижение затратной части на оплату потребленных энергоресурсов.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1D5B29" w:rsidRDefault="00D96FC5" w:rsidP="001D5B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ие энергосберегающего повед</w:t>
      </w:r>
      <w:r w:rsidR="002D353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ения.</w:t>
      </w:r>
    </w:p>
    <w:p w:rsidR="00E65DF4" w:rsidRPr="00D96FC5" w:rsidRDefault="001D5B29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4.1 </w:t>
      </w:r>
      <w:r w:rsidR="00E65DF4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Проведение энергомониторинга использования электрической энергии в зданиях</w:t>
      </w:r>
      <w:r w:rsidR="00E65DF4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.</w:t>
      </w:r>
    </w:p>
    <w:p w:rsidR="00E65DF4" w:rsidRPr="00D96FC5" w:rsidRDefault="00E65DF4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результате реализации энергосберегающих мероприятий энергопотребление в зданиях снижается до уровня, рассчитанного при  энергоаудите,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ерез 3-5 лет энергопотребление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иногда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возвращается к тому же уровню,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как и до реализации энергосберегающих мер. Чтобы избежать это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го, требуется вести постоянный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мониторинг энергопотребления.</w:t>
      </w:r>
    </w:p>
    <w:p w:rsidR="00D96FC5" w:rsidRPr="001D5B29" w:rsidRDefault="001D5B29" w:rsidP="004468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4.2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Модерни</w:t>
      </w:r>
      <w:r w:rsidR="008E1789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зация систем освещения зданий,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помещений муниципальных учреждений.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Мероприятия предусматривают переход освещения зданий муниципальных учреждений и многоэтажных домов с обычных ламп накаливания на энергосберега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ющие лампы.</w:t>
      </w:r>
    </w:p>
    <w:p w:rsidR="00D96FC5" w:rsidRPr="00D96FC5" w:rsidRDefault="00D96FC5" w:rsidP="001D5B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Мероприят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ия Программы подлежат уточнению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по результатам проведенного эн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ергоаудита муниципальных зданий 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 получении экономии средств бюджета при реализации Программы, в том числе в результате экономии энергоресурсов.</w:t>
      </w:r>
    </w:p>
    <w:p w:rsidR="00D96FC5" w:rsidRPr="001D5B29" w:rsidRDefault="001D5B29" w:rsidP="00D96FC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4.3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Мероприятия по энергосбережению в коммунальном хозяйстве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Техническое состояние коммунальной инфраструктуры характеризуется значительным уровнем износа.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Основными мероприятиями по реализации данного направления являются: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снижение потребления энергетических ресурсов на собственные нужды орга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низаций коммунального комплекса 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информирование о необходимости подготовки квалифицированного персонала в области энергосбережения и повышения энергетической эффективности для организаций коммунального комплекса.</w:t>
      </w:r>
    </w:p>
    <w:p w:rsidR="00D96FC5" w:rsidRPr="001D5B29" w:rsidRDefault="001D5B29" w:rsidP="004468F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4.4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Популяризация </w:t>
      </w:r>
      <w:r w:rsidR="008E1789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энергосбережения в Сергеевском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сельском поселении</w:t>
      </w:r>
    </w:p>
    <w:p w:rsidR="00D96FC5" w:rsidRPr="00D96FC5" w:rsidRDefault="00D96FC5" w:rsidP="0044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Механизмы пропаганды энергосбережения для населения:</w:t>
      </w:r>
    </w:p>
    <w:p w:rsidR="001D5B29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создание специального раздела на официальном сайте администрации поселения для информирования населения о возмо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жностях экономии энергоресурсов;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оперативное размещени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 в СМИ и на официальном сайте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информации по актуальн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ым вопросам энергосбережения в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Сергеевском сельском поселении;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lastRenderedPageBreak/>
        <w:t>- работа с управляющей организацией, с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обственниками помещений в МКД,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предоставление им необходимой информации об опыте внедрения энергосберегающих проектов, а также обмен опытом и широкое освещение наиболее эффективных мероприятий.</w:t>
      </w:r>
    </w:p>
    <w:p w:rsidR="004E09AE" w:rsidRPr="00637669" w:rsidRDefault="00AC5591" w:rsidP="004E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hyperlink r:id="rId11" w:history="1">
        <w:r w:rsidR="004E09AE" w:rsidRPr="00637669">
          <w:rPr>
            <w:rFonts w:ascii="Times New Roman" w:eastAsia="Times New Roman" w:hAnsi="Times New Roman"/>
            <w:bCs/>
            <w:kern w:val="36"/>
            <w:sz w:val="26"/>
            <w:szCs w:val="26"/>
            <w:lang w:eastAsia="ru-RU"/>
          </w:rPr>
          <w:t>Перечень</w:t>
        </w:r>
      </w:hyperlink>
      <w:r w:rsidR="004E09AE" w:rsidRP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D96FC5" w:rsidRPr="00D96FC5" w:rsidRDefault="00D96FC5" w:rsidP="006376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Система мероприятий по реализации Программы, в соответствии со статьей 14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ориентирована на внедрение энергосберегающих мероприятий во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всех сферах жизнедеятельности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Сергеевского сельского поселения:</w:t>
      </w:r>
    </w:p>
    <w:p w:rsidR="00FA0AAF" w:rsidRPr="00D96FC5" w:rsidRDefault="00CF3B70" w:rsidP="00FA0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учреждениях 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организациях бюджетной сферы,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</w:t>
      </w:r>
      <w:r w:rsid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жилищно-коммунальном хозяйстве</w:t>
      </w:r>
      <w:r w:rsidR="00FA0AAF" w:rsidRP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FA0AAF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Сергеевского сельского поселения;</w:t>
      </w:r>
    </w:p>
    <w:p w:rsidR="00D96FC5" w:rsidRPr="00D96FC5" w:rsidRDefault="00D96FC5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качестве исполнителей Программы выступают:</w:t>
      </w:r>
    </w:p>
    <w:p w:rsidR="00D96FC5" w:rsidRPr="00D96FC5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а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дминистрация Сергеевского сельского поселения;</w:t>
      </w:r>
    </w:p>
    <w:p w:rsidR="00D96FC5" w:rsidRPr="00D96FC5" w:rsidRDefault="00FA0AAF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МКУ «ХОЗУ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администрации Сергеевского сельского поселения»;</w:t>
      </w:r>
    </w:p>
    <w:p w:rsidR="00D96FC5" w:rsidRPr="00D96FC5" w:rsidRDefault="00D96FC5" w:rsidP="00637669">
      <w:pPr>
        <w:shd w:val="clear" w:color="auto" w:fill="FFFFFF"/>
        <w:spacing w:after="0" w:line="240" w:lineRule="auto"/>
        <w:ind w:right="28" w:firstLine="567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</w:t>
      </w:r>
      <w:r w:rsidR="00637669">
        <w:rPr>
          <w:rFonts w:ascii="Times New Roman" w:hAnsi="Times New Roman"/>
          <w:sz w:val="26"/>
          <w:szCs w:val="26"/>
        </w:rPr>
        <w:t xml:space="preserve">МКУ «Сельский клуб </w:t>
      </w:r>
      <w:r w:rsidRPr="00D96FC5">
        <w:rPr>
          <w:rFonts w:ascii="Times New Roman" w:hAnsi="Times New Roman"/>
          <w:sz w:val="26"/>
          <w:szCs w:val="26"/>
        </w:rPr>
        <w:t>с. Украинка</w:t>
      </w:r>
      <w:r w:rsidR="00FA0AAF">
        <w:rPr>
          <w:rFonts w:ascii="Times New Roman" w:hAnsi="Times New Roman"/>
          <w:sz w:val="26"/>
          <w:szCs w:val="26"/>
        </w:rPr>
        <w:t>»;</w:t>
      </w:r>
    </w:p>
    <w:p w:rsidR="00D96FC5" w:rsidRPr="00D96FC5" w:rsidRDefault="00FA0AAF" w:rsidP="00637669">
      <w:pPr>
        <w:shd w:val="clear" w:color="auto" w:fill="FFFFFF"/>
        <w:spacing w:after="0" w:line="240" w:lineRule="auto"/>
        <w:ind w:right="28" w:firstLine="567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МУП «ЖКХ Сергеевское»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;</w:t>
      </w:r>
    </w:p>
    <w:p w:rsidR="00D96FC5" w:rsidRPr="00D96FC5" w:rsidRDefault="00FA0AAF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управляющие компании;</w:t>
      </w:r>
    </w:p>
    <w:p w:rsidR="00D96FC5" w:rsidRPr="00D96FC5" w:rsidRDefault="00D96FC5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п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рочие коммерческие предприятия Сергеевского сельского поселения (во взаимодействии).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637669" w:rsidRDefault="00D96FC5" w:rsidP="00FA0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Финансовое обеспечение мероприятий Программы планируется осуществить за счет средств бюджета Сергеевского сельского поселения.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637669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637669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="00637669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637669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="002434E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150 </w:t>
      </w:r>
      <w:r w:rsidR="00637669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="00637669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637669" w:rsidRPr="006F579A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637669" w:rsidRPr="006F579A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- </w:t>
      </w:r>
      <w:r w:rsidR="00F11DA8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637669" w:rsidRPr="006F579A" w:rsidRDefault="00637669" w:rsidP="006376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11DA8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DF781B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2014- 2016 годы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637669" w:rsidRPr="00DF781B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2434EC" w:rsidRPr="00DF781B" w:rsidRDefault="00D96FC5" w:rsidP="0024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ния, эксплуатирующего помещения, который </w:t>
      </w:r>
      <w:r w:rsidR="002434EC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 w:rsidR="002434EC"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="002434EC"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2434EC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их</w:t>
      </w:r>
      <w:r w:rsidR="002434EC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реализацию финансовых средств.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D96FC5" w:rsidRPr="00637669" w:rsidRDefault="00637669" w:rsidP="002D3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позволит 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>снизить удельные пок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азатели расхода энергоносителей,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снизить затраты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оплату коммунальных ресурсов,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 xml:space="preserve"> сократить потребление холодной воды за счет уменьшения непроизводительных  потерь, упорядочения  системы взаимных расчетов между населением и поставщиками услуг, повышения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качества предоставляемых услуг.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экономия энергоресурсов и средств бюджета Сергеевского сельского поселе</w:t>
      </w:r>
      <w:r w:rsid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ния по административному зданию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 многоквартирным домам не менее 6%;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обеспечение нормальных климатических условий во всех зданиях, расположенных на территории Сергеевского сельского поселения;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экономия потребления ресурсов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муниципальных учреждениях.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 и многоэтажных домах.</w:t>
      </w:r>
    </w:p>
    <w:p w:rsidR="00637669" w:rsidRPr="00CF3B70" w:rsidRDefault="00D96FC5" w:rsidP="00CF3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</w:t>
      </w:r>
    </w:p>
    <w:p w:rsidR="003B7CD4" w:rsidRPr="00AD350F" w:rsidRDefault="003B7CD4" w:rsidP="003B7C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B7CD4" w:rsidRDefault="003B7CD4" w:rsidP="003B7C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3B7CD4" w:rsidRPr="00114D79" w:rsidRDefault="003B7CD4" w:rsidP="003B7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992"/>
        <w:gridCol w:w="992"/>
        <w:gridCol w:w="992"/>
        <w:gridCol w:w="993"/>
      </w:tblGrid>
      <w:tr w:rsidR="009D0A36" w:rsidRPr="00E73AC9" w:rsidTr="00FA0AAF">
        <w:trPr>
          <w:trHeight w:val="655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Наименование целевого</w:t>
            </w:r>
          </w:p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индикатора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Методика расчета</w:t>
            </w:r>
          </w:p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целевого индикатора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Значения целевых</w:t>
            </w:r>
          </w:p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индикаторов за</w:t>
            </w:r>
          </w:p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отчетный период (%)</w:t>
            </w:r>
          </w:p>
        </w:tc>
      </w:tr>
      <w:tr w:rsidR="009D0A36" w:rsidRPr="00E73AC9" w:rsidTr="009D0A36">
        <w:trPr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3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5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6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</w:tr>
      <w:tr w:rsidR="009D0A36" w:rsidTr="009D0A36">
        <w:trPr>
          <w:trHeight w:val="8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Объём выделенных денежных средств 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на тепло- и энергоснабжение муниципальных учреждений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количества отпущенного коммунального ресурса к запланированному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9D0A36" w:rsidTr="009D0A36">
        <w:trPr>
          <w:trHeight w:val="66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Э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кономия потребления ресурсов в муниципальных учреждениях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энергоёмкости объектов к запланированному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3B7CD4" w:rsidRDefault="003B7CD4" w:rsidP="003B7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FA0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 xml:space="preserve">коэффициент эффективности хода реализации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 xml:space="preserve">-го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SUM - обозначение математического суммирования;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FA2872" w:rsidRDefault="001E08BB" w:rsidP="00FA0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D3532" w:rsidRDefault="002D353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CF3B70" w:rsidRDefault="001E08BB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CF3B70" w:rsidRPr="00CF3B70">
        <w:rPr>
          <w:rFonts w:cs="Calibri"/>
        </w:rPr>
        <w:t xml:space="preserve">Энергоресурсосбережение и повышение </w:t>
      </w:r>
    </w:p>
    <w:p w:rsidR="00181510" w:rsidRDefault="00CF3B70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CF3B70">
        <w:rPr>
          <w:rFonts w:cs="Calibri"/>
        </w:rPr>
        <w:t>энергетической эффективности в Сергеевском сельском поселении</w:t>
      </w:r>
      <w:r w:rsidR="001E08BB">
        <w:rPr>
          <w:rFonts w:cs="Calibri"/>
        </w:rPr>
        <w:t xml:space="preserve"> </w:t>
      </w:r>
    </w:p>
    <w:p w:rsidR="00A31D33" w:rsidRDefault="00A31D33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Пограничного </w:t>
      </w:r>
      <w:r w:rsidR="00375444">
        <w:rPr>
          <w:rFonts w:cs="Calibri"/>
        </w:rPr>
        <w:t>м</w:t>
      </w:r>
      <w:r>
        <w:rPr>
          <w:rFonts w:cs="Calibri"/>
        </w:rPr>
        <w:t xml:space="preserve">униципального района </w:t>
      </w:r>
      <w:r w:rsidR="001E08BB">
        <w:rPr>
          <w:rFonts w:cs="Calibri"/>
        </w:rPr>
        <w:t>на 2014 – 2016 годы</w:t>
      </w:r>
      <w:r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2D3532">
        <w:rPr>
          <w:rFonts w:cs="Calibri"/>
        </w:rPr>
        <w:t>от 07.11.2013 № 132</w:t>
      </w:r>
      <w:r w:rsidRPr="00A31D33">
        <w:rPr>
          <w:rFonts w:cs="Calibri"/>
        </w:rPr>
        <w:t xml:space="preserve"> 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B70" w:rsidRDefault="00CF3B7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B70" w:rsidRDefault="00CF3B7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D35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0A7AC6" w:rsidRPr="000A7AC6" w:rsidRDefault="000A7AC6" w:rsidP="000A7AC6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209" w:tblpY="1"/>
        <w:tblOverlap w:val="never"/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257"/>
        <w:gridCol w:w="801"/>
        <w:gridCol w:w="801"/>
        <w:gridCol w:w="685"/>
        <w:gridCol w:w="368"/>
        <w:gridCol w:w="916"/>
        <w:gridCol w:w="85"/>
        <w:gridCol w:w="1036"/>
        <w:gridCol w:w="748"/>
        <w:gridCol w:w="391"/>
        <w:gridCol w:w="992"/>
        <w:gridCol w:w="401"/>
        <w:gridCol w:w="591"/>
        <w:gridCol w:w="215"/>
      </w:tblGrid>
      <w:tr w:rsidR="000A7AC6" w:rsidRPr="000A7AC6" w:rsidTr="00181510">
        <w:trPr>
          <w:gridAfter w:val="1"/>
          <w:wAfter w:w="215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A7AC6">
              <w:rPr>
                <w:rFonts w:ascii="Courier New" w:eastAsia="Times New Roman" w:hAnsi="Courier New" w:cs="Courier New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81510" w:rsidRPr="000A7AC6" w:rsidTr="00181510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18151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18151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18151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151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151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151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AC6" w:rsidRPr="000A7AC6" w:rsidRDefault="000A7AC6" w:rsidP="00181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A7AC6" w:rsidRPr="000A7AC6" w:rsidTr="00181510">
        <w:trPr>
          <w:gridAfter w:val="2"/>
          <w:wAfter w:w="806" w:type="dxa"/>
          <w:trHeight w:val="7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A7AC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0A7AC6" w:rsidRPr="000A7AC6" w:rsidRDefault="000A7AC6" w:rsidP="00181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11DA8" w:rsidRPr="000A7AC6" w:rsidTr="00CF3B70">
        <w:trPr>
          <w:gridAfter w:val="1"/>
          <w:wAfter w:w="215" w:type="dxa"/>
          <w:trHeight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A8" w:rsidRPr="000A7AC6" w:rsidRDefault="00F11DA8" w:rsidP="00F11D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11DA8" w:rsidRPr="000A7AC6" w:rsidTr="00CF3B70">
        <w:trPr>
          <w:gridAfter w:val="1"/>
          <w:wAfter w:w="215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одготовк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квалифицированны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х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работников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области энергосбережения и повышения энергетической эффективности для орга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низаций коммунального комплекса и муниципальных учреждений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 поселения   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11DA8" w:rsidRPr="000A7AC6" w:rsidTr="00CF3B70">
        <w:trPr>
          <w:gridAfter w:val="1"/>
          <w:wAfter w:w="215" w:type="dxa"/>
          <w:trHeight w:val="15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CF3B70" w:rsidRDefault="00F11DA8" w:rsidP="00F1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  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11DA8" w:rsidRPr="000A7AC6" w:rsidTr="00CF3B70">
        <w:trPr>
          <w:gridAfter w:val="1"/>
          <w:wAfter w:w="215" w:type="dxa"/>
          <w:trHeight w:val="5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Default="00F11DA8" w:rsidP="00F11D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нормативных докум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ентов по энергоэффективности и 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энергосбережению:</w:t>
            </w:r>
          </w:p>
          <w:p w:rsidR="00F11DA8" w:rsidRPr="000A7AC6" w:rsidRDefault="00F11DA8" w:rsidP="00F1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установ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ление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обеспеч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ение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соблюдени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нормативов затрат топлива и энергии, лимитов потребления энергетических ресурсов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 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</w:t>
            </w:r>
          </w:p>
        </w:tc>
      </w:tr>
      <w:tr w:rsidR="00F11DA8" w:rsidRPr="000A7AC6" w:rsidTr="00CF3B70">
        <w:trPr>
          <w:gridAfter w:val="1"/>
          <w:wAfter w:w="215" w:type="dxa"/>
          <w:trHeight w:val="196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бучение сотрудников муниципальных учреждений по системе энергомониторинга зданий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  поселения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11DA8" w:rsidRPr="000A7AC6" w:rsidTr="00181510">
        <w:trPr>
          <w:gridAfter w:val="1"/>
          <w:wAfter w:w="215" w:type="dxa"/>
          <w:trHeight w:val="5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8" w:rsidRPr="000A7AC6" w:rsidRDefault="00F11DA8" w:rsidP="00F11D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  поселения     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11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150</w:t>
            </w:r>
          </w:p>
        </w:tc>
      </w:tr>
    </w:tbl>
    <w:p w:rsidR="005F5334" w:rsidRPr="00D63E28" w:rsidRDefault="005F5334" w:rsidP="00CF3B70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5F5334" w:rsidRPr="00D63E28" w:rsidSect="00602538">
      <w:headerReference w:type="default" r:id="rId12"/>
      <w:pgSz w:w="11906" w:h="16838"/>
      <w:pgMar w:top="28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91" w:rsidRDefault="00AC5591" w:rsidP="0067452D">
      <w:pPr>
        <w:spacing w:after="0" w:line="240" w:lineRule="auto"/>
      </w:pPr>
      <w:r>
        <w:separator/>
      </w:r>
    </w:p>
  </w:endnote>
  <w:endnote w:type="continuationSeparator" w:id="0">
    <w:p w:rsidR="00AC5591" w:rsidRDefault="00AC559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91" w:rsidRDefault="00AC5591" w:rsidP="0067452D">
      <w:pPr>
        <w:spacing w:after="0" w:line="240" w:lineRule="auto"/>
      </w:pPr>
      <w:r>
        <w:separator/>
      </w:r>
    </w:p>
  </w:footnote>
  <w:footnote w:type="continuationSeparator" w:id="0">
    <w:p w:rsidR="00AC5591" w:rsidRDefault="00AC559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7C0A6A" w:rsidRDefault="007C0A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A8">
          <w:rPr>
            <w:noProof/>
          </w:rPr>
          <w:t>10</w:t>
        </w:r>
        <w:r>
          <w:fldChar w:fldCharType="end"/>
        </w:r>
      </w:p>
    </w:sdtContent>
  </w:sdt>
  <w:p w:rsidR="007C0A6A" w:rsidRDefault="007C0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2BC4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B29"/>
    <w:rsid w:val="001D5C8D"/>
    <w:rsid w:val="001D5FFF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4EC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353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4D4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B7CD4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8F8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4D98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37669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06A4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0A6A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1789"/>
    <w:rsid w:val="008E2711"/>
    <w:rsid w:val="008E4A7B"/>
    <w:rsid w:val="008E4C80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A36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559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3B70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666E5"/>
    <w:rsid w:val="00D71392"/>
    <w:rsid w:val="00D755EC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96FC5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B4C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5DF4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ABF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1DA8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0AA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4AB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00008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B4ABF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4AB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00008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B4ABF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65B0-49A3-488B-BCCC-E32742E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2013-11-18T22:09:00Z</cp:lastPrinted>
  <dcterms:created xsi:type="dcterms:W3CDTF">2013-10-09T01:08:00Z</dcterms:created>
  <dcterms:modified xsi:type="dcterms:W3CDTF">2013-11-18T22:09:00Z</dcterms:modified>
</cp:coreProperties>
</file>