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FC7FB1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35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29.10.2018</w:t>
      </w:r>
      <w:r w:rsidR="00D416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5F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6B35F6" w:rsidRPr="006B35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81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784291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 постановлением администрации «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 «</w:t>
      </w:r>
      <w:r w:rsidR="00134C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Благоустройство</w:t>
      </w:r>
      <w:r w:rsidR="00231138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на 201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C7FB1" w:rsidRPr="00FC7FB1" w:rsidRDefault="00FC7FB1" w:rsidP="00FC7F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 основании Устава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Пограничного муниципального района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851759" w:rsidRDefault="00851759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FC7FB1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FC7FB1"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Вн</w:t>
      </w:r>
      <w:r w:rsidR="00FC7FB1">
        <w:rPr>
          <w:rFonts w:ascii="Times New Roman" w:eastAsia="Times New Roman" w:hAnsi="Times New Roman" w:cs="Arial"/>
          <w:sz w:val="26"/>
          <w:szCs w:val="26"/>
          <w:lang w:eastAsia="ru-RU"/>
        </w:rPr>
        <w:t>ести в постановление а</w:t>
      </w:r>
      <w:r w:rsidR="00FC7FB1"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дминистрации Сергеевского сельского поселения</w:t>
      </w:r>
      <w:r w:rsid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«24» ноября 2017 года №</w:t>
      </w:r>
      <w:r w:rsidR="00FC7FB1"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85 </w:t>
      </w:r>
      <w:r w:rsidR="00FC7FB1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FC7FB1"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 утверждении муниципальной программы «Благоустройство территории Сергеевского сельского поселения </w:t>
      </w:r>
      <w:r w:rsidR="00FC7FB1">
        <w:rPr>
          <w:rFonts w:ascii="Times New Roman" w:eastAsia="Times New Roman" w:hAnsi="Times New Roman" w:cs="Arial"/>
          <w:sz w:val="26"/>
          <w:szCs w:val="26"/>
          <w:lang w:eastAsia="ru-RU"/>
        </w:rPr>
        <w:t>на 2018-2020 годы»</w:t>
      </w:r>
      <w:r w:rsidR="00FC7FB1"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(в редакции постановлений </w:t>
      </w:r>
      <w:r w:rsidR="00FC7FB1">
        <w:rPr>
          <w:rFonts w:ascii="Times New Roman" w:eastAsia="Times New Roman" w:hAnsi="Times New Roman" w:cs="Arial"/>
          <w:sz w:val="26"/>
          <w:szCs w:val="26"/>
          <w:lang w:eastAsia="ru-RU"/>
        </w:rPr>
        <w:t>от 11.01.2018 №1,</w:t>
      </w:r>
      <w:r w:rsidR="00FC7FB1"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13.03.2018 №19, от 06.04.2018 №31) </w:t>
      </w:r>
      <w:r w:rsidR="00FC7FB1"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следующие изменения:</w:t>
      </w:r>
      <w:r w:rsid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FC7FB1" w:rsidRDefault="00FC7FB1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1.1. Заменить в наименовании 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тексту постановления слова «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8 - 2020 годы» словами «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8 - 2021 годы»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FC7FB1" w:rsidRPr="00FC7FB1" w:rsidRDefault="00FC7FB1" w:rsidP="00FC7FB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 В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программе администрации Сергеевского сельского поселения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«Благоустройство территории Сергеевского сельског</w:t>
      </w:r>
      <w:r w:rsidR="0078429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поселения на 2018-2020 годы», 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утвержденной постановлением (далее - </w:t>
      </w:r>
      <w:r w:rsidR="00784291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муниципальная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программа):</w:t>
      </w:r>
    </w:p>
    <w:p w:rsidR="00FC7FB1" w:rsidRPr="00FC7FB1" w:rsidRDefault="00FC7FB1" w:rsidP="00FC7FB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1.2.1. Заменить в наименовании </w:t>
      </w:r>
      <w:r w:rsidR="00784291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 программы слова «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201</w:t>
      </w:r>
      <w:r w:rsidR="00784291">
        <w:rPr>
          <w:rFonts w:ascii="Times New Roman" w:eastAsia="Times New Roman" w:hAnsi="Times New Roman" w:cs="Arial"/>
          <w:sz w:val="26"/>
          <w:szCs w:val="26"/>
          <w:lang w:eastAsia="ru-RU"/>
        </w:rPr>
        <w:t>8 - 2020 годы» словами «2018 - 2021 годы»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FC7FB1" w:rsidRPr="00FC7FB1" w:rsidRDefault="00FC7FB1" w:rsidP="00FC7FB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1.2.2. В паспорте </w:t>
      </w:r>
      <w:r w:rsidR="00784291" w:rsidRPr="00784291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Pr="00FC7F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программы:</w:t>
      </w:r>
    </w:p>
    <w:p w:rsidR="00FC7FB1" w:rsidRDefault="00784291" w:rsidP="00FC7FB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заменить в наименовании </w:t>
      </w:r>
      <w:r w:rsidR="00BE3757" w:rsidRPr="00BE375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по всему тексту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слова </w:t>
      </w:r>
      <w:r w:rsidRPr="00784291">
        <w:rPr>
          <w:rFonts w:ascii="Times New Roman" w:eastAsia="Times New Roman" w:hAnsi="Times New Roman" w:cs="Arial"/>
          <w:sz w:val="26"/>
          <w:szCs w:val="26"/>
          <w:lang w:eastAsia="ru-RU"/>
        </w:rPr>
        <w:t>«2018 - 2020 годы» словами «2018 - 2021 годы»;</w:t>
      </w:r>
    </w:p>
    <w:p w:rsidR="00512BA8" w:rsidRP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1.2.3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изложить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позици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512BA8">
        <w:t xml:space="preserve"> </w:t>
      </w:r>
      <w:r>
        <w:t>«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Основные задачи Программы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первый абзац в следующей редакции:</w:t>
      </w:r>
    </w:p>
    <w:p w:rsid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«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- приобретение необходимых материалов и оборудования для монтажа электролиний для освещения в селе Сергеевка улиц Рабочая, Советская, К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олхозная, Ленина, Новая, Горная.»;</w:t>
      </w:r>
    </w:p>
    <w:p w:rsid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1.2.4</w:t>
      </w:r>
      <w:r w:rsidR="0078429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E3757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784291">
        <w:rPr>
          <w:rFonts w:ascii="Times New Roman" w:eastAsia="Times New Roman" w:hAnsi="Times New Roman" w:cs="Arial"/>
          <w:sz w:val="26"/>
          <w:szCs w:val="26"/>
          <w:lang w:eastAsia="ru-RU"/>
        </w:rPr>
        <w:t>зложить позицию «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Объемы и источники финансирования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</w:p>
    <w:p w:rsidR="00512BA8" w:rsidRP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В следующей редакции «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Объем финансирования программы на 2018 - 2021 годы составляет </w:t>
      </w:r>
      <w:r w:rsidR="006B35F6" w:rsidRPr="006B35F6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2</w:t>
      </w:r>
      <w:r w:rsidR="009554DB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979</w:t>
      </w:r>
      <w:r w:rsidRPr="006B35F6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 xml:space="preserve">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тысяч рублей, в т.ч. по годам:</w:t>
      </w:r>
    </w:p>
    <w:p w:rsidR="00512BA8" w:rsidRP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2018 год – </w:t>
      </w:r>
      <w:r w:rsidR="009554DB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 xml:space="preserve">579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тыс.</w:t>
      </w:r>
      <w:r w:rsidR="006B35F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руб.</w:t>
      </w:r>
    </w:p>
    <w:p w:rsidR="00512BA8" w:rsidRP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2019 год – </w:t>
      </w:r>
      <w:r w:rsidR="006B35F6" w:rsidRPr="006B35F6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800</w:t>
      </w:r>
      <w:r w:rsidR="006B35F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тыс.</w:t>
      </w:r>
      <w:r w:rsidR="006B35F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руб.</w:t>
      </w:r>
    </w:p>
    <w:p w:rsid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2020 год – </w:t>
      </w:r>
      <w:r w:rsidR="006B35F6" w:rsidRPr="006B35F6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800</w:t>
      </w:r>
      <w:r w:rsidRPr="006B35F6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 xml:space="preserve">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тыс.</w:t>
      </w:r>
      <w:r w:rsidR="006B35F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BA8">
        <w:rPr>
          <w:rFonts w:ascii="Times New Roman" w:eastAsia="Times New Roman" w:hAnsi="Times New Roman" w:cs="Arial"/>
          <w:sz w:val="26"/>
          <w:szCs w:val="26"/>
          <w:lang w:eastAsia="ru-RU"/>
        </w:rPr>
        <w:t>руб.</w:t>
      </w:r>
    </w:p>
    <w:p w:rsidR="00512BA8" w:rsidRPr="00512BA8" w:rsidRDefault="00512BA8" w:rsidP="00512BA8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2021 год-  </w:t>
      </w:r>
      <w:r w:rsidR="006B35F6" w:rsidRPr="006B35F6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800</w:t>
      </w:r>
      <w:r w:rsidRPr="006B35F6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тыс.</w:t>
      </w:r>
      <w:r w:rsidR="006B35F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руб.</w:t>
      </w:r>
    </w:p>
    <w:p w:rsidR="00FC7FB1" w:rsidRDefault="00BE3757" w:rsidP="0078429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</w:t>
      </w:r>
      <w:r w:rsidR="0078429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 </w:t>
      </w:r>
      <w:r w:rsidR="00784291" w:rsidRPr="00784291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№ 1 к Программе «Предложения программных мероприятий» изложить в следующей редакции (прилагается).</w:t>
      </w:r>
    </w:p>
    <w:p w:rsidR="00305C2F" w:rsidRPr="00305C2F" w:rsidRDefault="00784291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784291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BE3757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CB37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C6DEF" w:rsidRPr="00305C2F" w:rsidRDefault="004C6DE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A2226B" w:rsidRDefault="006F579A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FC7FB1" w:rsidRDefault="00FC7FB1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FB1" w:rsidRDefault="00FC7FB1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FB1" w:rsidRDefault="00FC7FB1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Default="00851759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FB1" w:rsidRDefault="00FC7FB1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851759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51759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85175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Сергеевского сельского поселения</w:t>
      </w:r>
    </w:p>
    <w:p w:rsidR="00784291" w:rsidRPr="006B35F6" w:rsidRDefault="001E08BB" w:rsidP="00FC7FB1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784291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84291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382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78429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6B35F6" w:rsidRPr="006B35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81</w:t>
      </w:r>
    </w:p>
    <w:p w:rsidR="00851759" w:rsidRDefault="00851759" w:rsidP="00FC7FB1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759" w:rsidRPr="006F579A" w:rsidRDefault="004C6DEF" w:rsidP="008517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75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Приложение</w:t>
      </w:r>
    </w:p>
    <w:p w:rsidR="00851759" w:rsidRPr="006F579A" w:rsidRDefault="00851759" w:rsidP="008517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к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851759" w:rsidRPr="006F579A" w:rsidRDefault="00851759" w:rsidP="00851759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Сергеевского сельского поселения</w:t>
      </w:r>
    </w:p>
    <w:p w:rsidR="00FC7FB1" w:rsidRPr="00851759" w:rsidRDefault="00851759" w:rsidP="00851759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85</w:t>
      </w:r>
    </w:p>
    <w:p w:rsidR="00FC7FB1" w:rsidRDefault="00FC7FB1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FB1" w:rsidRPr="006F579A" w:rsidRDefault="00FC7FB1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A2226B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134C7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Благоустройство </w:t>
      </w:r>
      <w:r w:rsidR="00231138">
        <w:rPr>
          <w:rFonts w:ascii="Times New Roman" w:hAnsi="Times New Roman"/>
          <w:b/>
          <w:sz w:val="26"/>
          <w:szCs w:val="26"/>
        </w:rPr>
        <w:t xml:space="preserve">территории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="00A2226B">
        <w:rPr>
          <w:rFonts w:ascii="Times New Roman" w:hAnsi="Times New Roman"/>
          <w:b/>
          <w:sz w:val="26"/>
          <w:szCs w:val="26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517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38274E">
        <w:trPr>
          <w:trHeight w:val="6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3827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38274E" w:rsidRDefault="009532F0" w:rsidP="0085175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Благоустройство территории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 на 201</w:t>
            </w:r>
            <w:r w:rsidR="004C6DE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4C6DE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851759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Pr="00175F23" w:rsidRDefault="001C2370" w:rsidP="00F578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пункт 19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1316A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3827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38274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</w:t>
            </w:r>
            <w:r w:rsidR="00851759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ргеевского сельского поселения,</w:t>
            </w:r>
          </w:p>
          <w:p w:rsidR="009532F0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</w:t>
            </w:r>
            <w:r w:rsid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ргеевского сельского поселения»;</w:t>
            </w:r>
          </w:p>
          <w:p w:rsidR="0038274E" w:rsidRPr="00175F23" w:rsidRDefault="0038274E" w:rsidP="0038274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рганизации, определяемые муниципальным заказчиком на конкурсной основе в соответствии с законодательством Российской Федерации.</w:t>
            </w:r>
          </w:p>
        </w:tc>
      </w:tr>
      <w:tr w:rsidR="009532F0" w:rsidRPr="009532F0" w:rsidTr="004C6DEF">
        <w:trPr>
          <w:trHeight w:val="17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35" w:rsidRPr="00D92135" w:rsidRDefault="00D92135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Создать комфортные и безопасные условия проживания для жителей села.</w:t>
            </w:r>
          </w:p>
          <w:p w:rsidR="00D92135" w:rsidRDefault="00D92135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Смонтировать линии по освещенности центральных улиц села с применением энергосберегающих техн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ологий;</w:t>
            </w:r>
          </w:p>
          <w:p w:rsidR="0038274E" w:rsidRPr="00175F23" w:rsidRDefault="009532F0" w:rsidP="0038274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развитие и поддержка инициатив жителей населенных пунктов по благоустройству </w:t>
            </w:r>
            <w:r w:rsidR="001C237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и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санитарной очистке придомовых территорий</w:t>
            </w:r>
            <w:r w:rsidR="001316A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512BA8">
        <w:trPr>
          <w:trHeight w:val="31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A8" w:rsidRDefault="00396C4D" w:rsidP="0039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риобретение необходимых материалов и оборудования для монтажа электролиний для освещения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селе Сергеевка </w:t>
            </w:r>
            <w:r w:rsidR="00512BA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улиц Рабочая, Советская, Колхозная, 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Ленина</w:t>
            </w:r>
            <w:r w:rsidR="00512BA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Новая, Горная.</w:t>
            </w:r>
          </w:p>
          <w:p w:rsidR="00512BA8" w:rsidRDefault="00512BA8" w:rsidP="0039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беспечить надежность и бесперебойность работы системы электроснабжения,</w:t>
            </w:r>
            <w:r w:rsidR="00396C4D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установок наружного освещения.</w:t>
            </w:r>
          </w:p>
          <w:p w:rsidR="00D92135" w:rsidRPr="00396C4D" w:rsidRDefault="00512BA8" w:rsidP="0039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овлечение в деятельность по реализации проекта </w:t>
            </w:r>
            <w:r w:rsidR="00396C4D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освещения 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предпринимателей.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проведение мероприятий по улучшению содержания территорий и объектов благоустройства в надлежащем состоянии; 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устройство малых архитектурных форм;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объема зеленых насаждений и озеленение придомовых территорий и улиц в поселении; </w:t>
            </w:r>
          </w:p>
          <w:p w:rsidR="00D92135" w:rsidRPr="00175F23" w:rsidRDefault="00175F23" w:rsidP="001316A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оздоровление санитарной экологической обстановки в поселении,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ликвидация свалок бытового мусора</w:t>
            </w:r>
            <w:r w:rsid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бесхозных территориях;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512BA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21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512BA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644BA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6B35F6" w:rsidRPr="006B35F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>2</w:t>
            </w:r>
            <w:r w:rsidR="009554DB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>979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EE5A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</w:t>
            </w:r>
            <w:r w:rsidR="006B35F6" w:rsidRPr="006B35F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 xml:space="preserve"> </w:t>
            </w:r>
            <w:r w:rsidR="009554DB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>579</w:t>
            </w:r>
            <w:r w:rsidR="006B35F6" w:rsidRPr="006B35F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 xml:space="preserve">  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 </w:t>
            </w:r>
            <w:r w:rsidR="006B35F6" w:rsidRPr="006B35F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 xml:space="preserve"> 800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руб.</w:t>
            </w:r>
          </w:p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 </w:t>
            </w:r>
            <w:r w:rsidR="006B35F6" w:rsidRPr="006B35F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 xml:space="preserve"> 800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руб.</w:t>
            </w:r>
          </w:p>
          <w:p w:rsidR="00BE3757" w:rsidRPr="006F579A" w:rsidRDefault="00BE3757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2021 год - 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</w:t>
            </w:r>
            <w:r w:rsidR="006B35F6" w:rsidRPr="006B35F6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ar-SA"/>
              </w:rPr>
              <w:t xml:space="preserve"> 800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</w:t>
            </w:r>
            <w:r w:rsidR="006B35F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BE375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BE375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2D1951">
        <w:trPr>
          <w:trHeight w:val="18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CF" w:rsidRDefault="00DE697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</w:p>
          <w:p w:rsidR="00396C4D" w:rsidRPr="00396C4D" w:rsidRDefault="00396C4D" w:rsidP="00396C4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лучшение условий для проживания в селе;</w:t>
            </w:r>
          </w:p>
          <w:p w:rsidR="00396C4D" w:rsidRPr="00396C4D" w:rsidRDefault="00396C4D" w:rsidP="00396C4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нятие социальной напряженности; </w:t>
            </w:r>
          </w:p>
          <w:p w:rsidR="009532F0" w:rsidRPr="00175F23" w:rsidRDefault="00CF7AC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улучшение экологической и санитарно-эпидемиологической обстановки в Сергеевском сельском поселении.</w:t>
            </w:r>
          </w:p>
          <w:p w:rsidR="00175F23" w:rsidRPr="00175F23" w:rsidRDefault="00CF7ACF" w:rsidP="002D195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благоустроеннос</w:t>
            </w:r>
            <w:r w:rsidR="00606E2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ть населенных пунктов поселения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объём денежных средств, выделенных из бюджета поселения на 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освещение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территорий общего пользования и благоустройство;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предприятий, организаций и учреждений, участвующих в благоустройстве сельского поселения;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количества </w:t>
            </w:r>
            <w:r w:rsid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предпринимателей и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жителей Сергеевского сельского поселения, участвующих в общественных мероприятиях по благоустройству и </w:t>
            </w:r>
            <w:r w:rsidR="00DE697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озеленению территории поселения;</w:t>
            </w:r>
          </w:p>
          <w:p w:rsidR="00D76A3E" w:rsidRPr="00175F23" w:rsidRDefault="00D76A3E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несанкционированных свалок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. 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D92135" w:rsidRDefault="00D92135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hyperlink r:id="rId10" w:history="1"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пунктом </w:t>
        </w:r>
        <w:r>
          <w:rPr>
            <w:rFonts w:ascii="Times New Roman" w:eastAsia="Times New Roman" w:hAnsi="Times New Roman" w:cs="Calibri"/>
            <w:sz w:val="26"/>
            <w:szCs w:val="26"/>
            <w:lang w:eastAsia="ru-RU"/>
          </w:rPr>
          <w:t>19</w:t>
        </w:r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 статьи 14</w:t>
        </w:r>
      </w:hyperlink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Ф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едерального закона от 06.10.2003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№ 131-ФЗ к вопросам местного значения относится «организация благоус</w:t>
      </w:r>
      <w:r w:rsidR="008565C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тройства территории поселения».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Территория большинства сёл Сергеевского сельского поселения по степени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благоустроенности не отвечает минимальным градостроительным, санитарно-гигиеническим, экологическим и эстетическим требованиям.</w:t>
      </w:r>
    </w:p>
    <w:p w:rsidR="0038274E" w:rsidRPr="0038274E" w:rsidRDefault="0038274E" w:rsidP="0038274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>Наружное освещение – это важнейший элемент благоустройства, который формирует облик территории Сергеевского сельского поселения.</w:t>
      </w:r>
    </w:p>
    <w:p w:rsidR="00D92135" w:rsidRDefault="00D92135" w:rsidP="0038274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92135">
        <w:rPr>
          <w:rFonts w:ascii="Times New Roman" w:eastAsia="Times New Roman" w:hAnsi="Times New Roman" w:cs="Calibri"/>
          <w:sz w:val="26"/>
          <w:szCs w:val="26"/>
          <w:lang w:eastAsia="ru-RU"/>
        </w:rPr>
        <w:t>Опрос, проведенный среди жителей села показал, что плохая освещенность улиц села стоит на первом месте среди проблем по благоустройству.</w:t>
      </w:r>
    </w:p>
    <w:p w:rsidR="00396C4D" w:rsidRPr="00396C4D" w:rsidRDefault="0038274E" w:rsidP="00396C4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Основное внимание на планируемый период должно уделяться в первую очередь достижению 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освещения </w:t>
      </w:r>
      <w:r w:rsidR="00396C4D" w:rsidRPr="00396C4D">
        <w:rPr>
          <w:rFonts w:ascii="Times New Roman" w:eastAsia="Times New Roman" w:hAnsi="Times New Roman" w:cs="Calibri"/>
          <w:sz w:val="26"/>
          <w:szCs w:val="26"/>
          <w:lang w:eastAsia="ru-RU"/>
        </w:rPr>
        <w:t>в селе Сергеевка улицы Советская, ул. Колхозная, ул. Ленина.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</w:t>
      </w:r>
      <w:r w:rsidR="00396C4D" w:rsidRPr="00396C4D">
        <w:rPr>
          <w:rFonts w:ascii="Times New Roman" w:eastAsia="Times New Roman" w:hAnsi="Times New Roman" w:cs="Calibri"/>
          <w:sz w:val="26"/>
          <w:szCs w:val="26"/>
          <w:lang w:eastAsia="ru-RU"/>
        </w:rPr>
        <w:t>риобретение необходимых материалов и оборудования для монтажа электролиний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="00396C4D" w:rsidRP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38274E" w:rsidRPr="0038274E" w:rsidRDefault="0038274E" w:rsidP="0038274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Кроме того, уличные светильники должны иметь надежную конструкцию, которая требует минимального обслуживания, быть пыле- и влагозащищенными, антивандальными, безопасными в эксплуатации и обслуживании. Экономия электроэнергии в осветительных установках имеет большое значение для поселения в связи с ежегодным повышением тарифа на электроэнергию. 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связи с этим возникла необходимость комплексного подхода к решению задач улучшения благоустройства и выполнения работ по 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основным направлениям, включая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проведение работ по озеленению территории, привлечение максимального количества </w:t>
      </w:r>
      <w:r w:rsidR="00B47282">
        <w:rPr>
          <w:rFonts w:ascii="Times New Roman" w:eastAsia="Times New Roman" w:hAnsi="Times New Roman" w:cs="Calibri"/>
          <w:sz w:val="26"/>
          <w:szCs w:val="26"/>
          <w:lang w:eastAsia="ru-RU"/>
        </w:rPr>
        <w:t>граждан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поселения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к совместной деятельн</w:t>
      </w:r>
      <w:r w:rsidR="00397472">
        <w:rPr>
          <w:rFonts w:ascii="Times New Roman" w:eastAsia="Times New Roman" w:hAnsi="Times New Roman" w:cs="Calibri"/>
          <w:sz w:val="26"/>
          <w:szCs w:val="26"/>
          <w:lang w:eastAsia="ru-RU"/>
        </w:rPr>
        <w:t>ости по проведению субботников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 других мероприятий по благоустройству и </w:t>
      </w:r>
      <w:r w:rsid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озеленению территории поселения, </w:t>
      </w:r>
      <w:r w:rsidR="0038274E"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>развити</w:t>
      </w:r>
      <w:r w:rsidR="0038274E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38274E"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повышени</w:t>
      </w:r>
      <w:r w:rsidR="0038274E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38274E"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эффективности системы наружного освещения на территории поселения.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Работы по озеленению и благоустройству территорий общего пользования могут выполняться как специализированными организациями в плановом порядке, так и в ходе организуемых месячников весенних и осенних посадок зеленых насаждений.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здания, жилые дома, это будет способствовать росту культурного самосознания жителей и более бережному отношению к плодам своих и чужих трудов.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Основными проблемными вопросами в области благоустройства и озеленения на территории поселения являются:</w:t>
      </w:r>
    </w:p>
    <w:p w:rsidR="007313A5" w:rsidRPr="007313A5" w:rsidRDefault="00832D42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уществующие объекты благоустройства и озеленения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поселения и вызывает чувство дискомфорта у жителей улиц, на кот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орых расположены данные объекты;</w:t>
      </w:r>
    </w:p>
    <w:p w:rsidR="007313A5" w:rsidRPr="007313A5" w:rsidRDefault="00832D42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у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ровень самосознания и грамотности населения в области озеленения и благоустройства крайне низок, что в результате приводит к крайне небрежному отношению к объектам благоустройства и озеленения отдельных категорий граждан, вплоть до умышленного уничтожения зеленых насаждений.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Решение поставленных задач в сфере </w:t>
      </w:r>
      <w:r w:rsidR="009D459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благоустройства, </w:t>
      </w:r>
      <w:r w:rsidR="009D4592" w:rsidRPr="009D459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освещения территорий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будет способствовать повышению уровня</w:t>
      </w:r>
      <w:r w:rsidR="009D459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комфортного проживания граждан </w:t>
      </w:r>
      <w:r w:rsidR="009D4592" w:rsidRPr="009D4592">
        <w:rPr>
          <w:rFonts w:ascii="Times New Roman" w:eastAsia="Times New Roman" w:hAnsi="Times New Roman" w:cs="Calibri"/>
          <w:sz w:val="26"/>
          <w:szCs w:val="26"/>
          <w:lang w:eastAsia="ru-RU"/>
        </w:rPr>
        <w:t>Сергеевского сельского поселения</w:t>
      </w:r>
      <w:r w:rsidR="009D4592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5D01F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1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244396" w:rsidRPr="00244396" w:rsidRDefault="00244396" w:rsidP="00DE697F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сфере муниципального образования, социальная значимость проблемы содержания территорий и благоустройства.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DE697F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сложно, озеленение и благоустройство имеют в основном социальное значение, конечная главная задача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орган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– создание наиболее благоприятных и комфортных условий проживания и отдыха жителей поселения, улучшение внешнего вида территорий общего пользования.</w:t>
      </w:r>
    </w:p>
    <w:p w:rsidR="003538C6" w:rsidRPr="00AD350F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606E2A" w:rsidRDefault="00606E2A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1034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851"/>
        <w:gridCol w:w="850"/>
        <w:gridCol w:w="709"/>
        <w:gridCol w:w="709"/>
        <w:gridCol w:w="706"/>
      </w:tblGrid>
      <w:tr w:rsidR="003538C6" w:rsidRPr="0096591B" w:rsidTr="00606E2A">
        <w:trPr>
          <w:cantSplit/>
          <w:trHeight w:val="36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65C1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644BAC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изме-</w:t>
            </w:r>
          </w:p>
          <w:p w:rsidR="003538C6" w:rsidRPr="0096591B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рения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96591B" w:rsidTr="00606E2A">
        <w:trPr>
          <w:cantSplit/>
          <w:trHeight w:val="203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E3757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E3757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BE3757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BE3757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693EFF" w:rsidRPr="00AD350F" w:rsidTr="00396C4D">
        <w:trPr>
          <w:cantSplit/>
          <w:trHeight w:val="5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2A" w:rsidRDefault="0096591B" w:rsidP="00606E2A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денежных средств,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выделенных из</w:t>
            </w:r>
          </w:p>
          <w:p w:rsidR="00693EFF" w:rsidRPr="0096591B" w:rsidRDefault="0096591B" w:rsidP="00396C4D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бюджета поселения на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606E2A">
        <w:trPr>
          <w:cantSplit/>
          <w:trHeight w:val="6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96591B" w:rsidP="00606E2A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количества предприятий, организаций и учреждений, участвующих в благ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оустройстве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606E2A">
        <w:trPr>
          <w:cantSplit/>
          <w:trHeight w:val="6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2A" w:rsidRDefault="0096591B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величение количества </w:t>
            </w:r>
            <w:r w:rsidR="00396C4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предпринимателей, 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граждан, 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участвующих в</w:t>
            </w:r>
          </w:p>
          <w:p w:rsidR="00606E2A" w:rsidRDefault="00396C4D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щественных </w:t>
            </w:r>
            <w:r w:rsidR="0020015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ероприятиях по </w:t>
            </w:r>
          </w:p>
          <w:p w:rsidR="0096591B" w:rsidRPr="0096591B" w:rsidRDefault="0096591B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благоустройству и озеленению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65C1" w:rsidRPr="00AD350F" w:rsidTr="00606E2A">
        <w:trPr>
          <w:cantSplit/>
          <w:trHeight w:val="4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200152" w:rsidP="00606E2A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меньшение несанкциониров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>анных свалок (100 %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>ликвидация)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79B" w:rsidRPr="005F5334" w:rsidRDefault="00B5479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cs="Calibri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-го 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325" w:rsidTr="00D76325">
        <w:tc>
          <w:tcPr>
            <w:tcW w:w="4785" w:type="dxa"/>
          </w:tcPr>
          <w:p w:rsidR="00D76325" w:rsidRDefault="00D76325" w:rsidP="009D45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  <w:r w:rsidRPr="00D76325">
              <w:rPr>
                <w:rFonts w:ascii="Times New Roman" w:eastAsiaTheme="minorHAnsi" w:hAnsi="Times New Roman"/>
                <w:sz w:val="24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6" w:type="dxa"/>
          </w:tcPr>
          <w:p w:rsidR="00D76325" w:rsidRDefault="00D76325" w:rsidP="009D45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  <w:r w:rsidRPr="00D76325">
              <w:rPr>
                <w:rFonts w:ascii="Times New Roman" w:eastAsiaTheme="minorHAnsi" w:hAnsi="Times New Roman"/>
                <w:sz w:val="24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D76325" w:rsidTr="00D76325">
        <w:tc>
          <w:tcPr>
            <w:tcW w:w="4785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6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D76325" w:rsidTr="00D76325">
        <w:tc>
          <w:tcPr>
            <w:tcW w:w="4785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6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D76325" w:rsidTr="00D76325">
        <w:tc>
          <w:tcPr>
            <w:tcW w:w="4785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6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D76325" w:rsidTr="00D76325">
        <w:tc>
          <w:tcPr>
            <w:tcW w:w="4785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6" w:type="dxa"/>
          </w:tcPr>
          <w:p w:rsidR="00D76325" w:rsidRPr="00D76325" w:rsidRDefault="00D76325" w:rsidP="00D76325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</w:pPr>
            <w:r w:rsidRPr="00D76325">
              <w:rPr>
                <w:rFonts w:ascii="Times New Roman" w:eastAsiaTheme="minorHAnsi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84291" w:rsidRDefault="00784291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BE3757" w:rsidRDefault="00BE3757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  <w:sectPr w:rsidR="00BE3757" w:rsidSect="009532F0">
          <w:headerReference w:type="default" r:id="rId12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9D4592" w:rsidRDefault="009D4592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1E08BB" w:rsidRPr="00D76325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ascii="Times New Roman" w:hAnsi="Times New Roman"/>
        </w:rPr>
      </w:pPr>
      <w:r w:rsidRPr="00D76325">
        <w:rPr>
          <w:rFonts w:ascii="Times New Roman" w:hAnsi="Times New Roman"/>
        </w:rPr>
        <w:t>Приложение № 1</w:t>
      </w:r>
    </w:p>
    <w:p w:rsidR="004109B5" w:rsidRPr="00D76325" w:rsidRDefault="001E08BB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6325">
        <w:rPr>
          <w:rFonts w:ascii="Times New Roman" w:hAnsi="Times New Roman"/>
        </w:rPr>
        <w:t xml:space="preserve">                                                                         </w:t>
      </w:r>
      <w:r w:rsidR="004109B5" w:rsidRPr="00D76325">
        <w:rPr>
          <w:rFonts w:ascii="Times New Roman" w:hAnsi="Times New Roman"/>
        </w:rPr>
        <w:t xml:space="preserve">                       </w:t>
      </w:r>
      <w:r w:rsidRPr="00D76325">
        <w:rPr>
          <w:rFonts w:ascii="Times New Roman" w:hAnsi="Times New Roman"/>
        </w:rPr>
        <w:t xml:space="preserve">к муниципальной программе </w:t>
      </w:r>
      <w:r w:rsidR="004109B5" w:rsidRPr="00D76325">
        <w:rPr>
          <w:rFonts w:ascii="Times New Roman" w:hAnsi="Times New Roman"/>
        </w:rPr>
        <w:t>«</w:t>
      </w:r>
      <w:r w:rsidR="00200152" w:rsidRPr="00D76325">
        <w:rPr>
          <w:rFonts w:ascii="Times New Roman" w:hAnsi="Times New Roman"/>
        </w:rPr>
        <w:t>Благоустройство</w:t>
      </w:r>
      <w:r w:rsidR="00375444" w:rsidRPr="00D76325">
        <w:rPr>
          <w:rFonts w:ascii="Times New Roman" w:hAnsi="Times New Roman"/>
        </w:rPr>
        <w:t xml:space="preserve"> </w:t>
      </w:r>
    </w:p>
    <w:p w:rsidR="004109B5" w:rsidRPr="00D76325" w:rsidRDefault="00375444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6325">
        <w:rPr>
          <w:rFonts w:ascii="Times New Roman" w:hAnsi="Times New Roman"/>
        </w:rPr>
        <w:t>территории Сергеевского сельского</w:t>
      </w:r>
      <w:r w:rsidRPr="00D76325">
        <w:rPr>
          <w:rFonts w:ascii="Times New Roman" w:hAnsi="Times New Roman"/>
          <w:sz w:val="26"/>
          <w:szCs w:val="26"/>
        </w:rPr>
        <w:t xml:space="preserve"> </w:t>
      </w:r>
      <w:r w:rsidRPr="00D76325">
        <w:rPr>
          <w:rFonts w:ascii="Times New Roman" w:hAnsi="Times New Roman"/>
        </w:rPr>
        <w:t>поселения</w:t>
      </w:r>
      <w:r w:rsidR="001E08BB" w:rsidRPr="00D76325">
        <w:rPr>
          <w:rFonts w:ascii="Times New Roman" w:hAnsi="Times New Roman"/>
        </w:rPr>
        <w:t xml:space="preserve"> на 201</w:t>
      </w:r>
      <w:r w:rsidR="00396C4D" w:rsidRPr="00D76325">
        <w:rPr>
          <w:rFonts w:ascii="Times New Roman" w:hAnsi="Times New Roman"/>
        </w:rPr>
        <w:t>8</w:t>
      </w:r>
      <w:r w:rsidR="001E08BB" w:rsidRPr="00D76325">
        <w:rPr>
          <w:rFonts w:ascii="Times New Roman" w:hAnsi="Times New Roman"/>
        </w:rPr>
        <w:t xml:space="preserve"> – 20</w:t>
      </w:r>
      <w:r w:rsidR="00784291" w:rsidRPr="00D76325">
        <w:rPr>
          <w:rFonts w:ascii="Times New Roman" w:hAnsi="Times New Roman"/>
        </w:rPr>
        <w:t>21</w:t>
      </w:r>
      <w:r w:rsidR="001E08BB" w:rsidRPr="00D76325">
        <w:rPr>
          <w:rFonts w:ascii="Times New Roman" w:hAnsi="Times New Roman"/>
        </w:rPr>
        <w:t xml:space="preserve"> годы</w:t>
      </w:r>
      <w:r w:rsidR="00A31D33" w:rsidRPr="00D76325">
        <w:rPr>
          <w:rFonts w:ascii="Times New Roman" w:hAnsi="Times New Roman"/>
        </w:rPr>
        <w:t>»,</w:t>
      </w:r>
    </w:p>
    <w:p w:rsidR="00784291" w:rsidRPr="00D76325" w:rsidRDefault="00A31D33" w:rsidP="00410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6325">
        <w:rPr>
          <w:rFonts w:ascii="Times New Roman" w:hAnsi="Times New Roman"/>
        </w:rPr>
        <w:t>утверждённой</w:t>
      </w:r>
      <w:r w:rsidR="00396C4D" w:rsidRPr="00D76325">
        <w:rPr>
          <w:rFonts w:ascii="Times New Roman" w:hAnsi="Times New Roman"/>
        </w:rPr>
        <w:t xml:space="preserve"> п</w:t>
      </w:r>
      <w:r w:rsidRPr="00D76325">
        <w:rPr>
          <w:rFonts w:ascii="Times New Roman" w:hAnsi="Times New Roman"/>
        </w:rPr>
        <w:t>остановлением администрации</w:t>
      </w:r>
      <w:r w:rsidR="00784291" w:rsidRPr="00D76325">
        <w:rPr>
          <w:rFonts w:ascii="Times New Roman" w:hAnsi="Times New Roman"/>
        </w:rPr>
        <w:t xml:space="preserve"> </w:t>
      </w:r>
    </w:p>
    <w:p w:rsidR="00A31D33" w:rsidRPr="00D76325" w:rsidRDefault="00A31D33" w:rsidP="00410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76325">
        <w:rPr>
          <w:rFonts w:ascii="Times New Roman" w:hAnsi="Times New Roman"/>
        </w:rPr>
        <w:t xml:space="preserve">Сергеевского сельского поселения </w:t>
      </w:r>
      <w:r w:rsidR="00396C4D" w:rsidRPr="00D76325">
        <w:rPr>
          <w:rFonts w:ascii="Times New Roman" w:hAnsi="Times New Roman"/>
        </w:rPr>
        <w:t>о</w:t>
      </w:r>
      <w:r w:rsidR="000E4570" w:rsidRPr="00D76325">
        <w:rPr>
          <w:rFonts w:ascii="Times New Roman" w:hAnsi="Times New Roman"/>
        </w:rPr>
        <w:t xml:space="preserve">т </w:t>
      </w:r>
      <w:r w:rsidR="00784291" w:rsidRPr="00D76325">
        <w:rPr>
          <w:rFonts w:ascii="Times New Roman" w:hAnsi="Times New Roman"/>
        </w:rPr>
        <w:t>29.10.2018</w:t>
      </w:r>
      <w:r w:rsidR="0038274E" w:rsidRPr="00D76325">
        <w:rPr>
          <w:rFonts w:ascii="Times New Roman" w:hAnsi="Times New Roman"/>
        </w:rPr>
        <w:t xml:space="preserve"> </w:t>
      </w:r>
      <w:r w:rsidR="00396C4D" w:rsidRPr="00D76325">
        <w:rPr>
          <w:rFonts w:ascii="Times New Roman" w:hAnsi="Times New Roman"/>
        </w:rPr>
        <w:t xml:space="preserve">№ </w:t>
      </w:r>
      <w:r w:rsidR="00D76325" w:rsidRPr="00D76325">
        <w:rPr>
          <w:rFonts w:ascii="Times New Roman" w:hAnsi="Times New Roman"/>
        </w:rPr>
        <w:t xml:space="preserve"> </w:t>
      </w:r>
      <w:r w:rsidR="00D76325" w:rsidRPr="00D76325">
        <w:rPr>
          <w:rFonts w:ascii="Times New Roman" w:hAnsi="Times New Roman"/>
          <w:u w:val="single"/>
        </w:rPr>
        <w:t>81</w:t>
      </w:r>
    </w:p>
    <w:p w:rsidR="00B76BC5" w:rsidRPr="00D7632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56F9" w:rsidRDefault="00F856F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56F9" w:rsidRPr="001E08BB" w:rsidRDefault="00F856F9" w:rsidP="00F856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F856F9" w:rsidRPr="001E08BB" w:rsidRDefault="00F856F9" w:rsidP="00F856F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951DD7" w:rsidRPr="00951DD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2880</w:t>
      </w:r>
      <w:r w:rsidR="0095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</w:t>
      </w:r>
      <w:r w:rsidR="0095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руб.)</w:t>
      </w:r>
    </w:p>
    <w:p w:rsidR="002D1951" w:rsidRDefault="002D195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3757" w:rsidRDefault="00BE3757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tblpX="724" w:tblpY="1"/>
        <w:tblOverlap w:val="never"/>
        <w:tblW w:w="138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6945"/>
        <w:gridCol w:w="1134"/>
        <w:gridCol w:w="1134"/>
        <w:gridCol w:w="993"/>
        <w:gridCol w:w="850"/>
        <w:gridCol w:w="709"/>
        <w:gridCol w:w="992"/>
      </w:tblGrid>
      <w:tr w:rsidR="00BE3757" w:rsidRPr="0099205A" w:rsidTr="00DE2367">
        <w:trPr>
          <w:trHeight w:val="213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Источник</w:t>
            </w:r>
          </w:p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</w:p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DE2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BE3757" w:rsidRPr="0099205A" w:rsidRDefault="00BE3757" w:rsidP="00DE2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E3757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E2367" w:rsidRPr="0099205A" w:rsidTr="00DE2367">
        <w:trPr>
          <w:trHeight w:val="187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E2367" w:rsidRPr="0099205A" w:rsidTr="00DE2367">
        <w:trPr>
          <w:trHeight w:val="47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6930AB" w:rsidP="006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Уход за зелёными насаждениями(в том числе: спил аварийных деревьев, подрезка деревьев</w:t>
            </w:r>
            <w:r>
              <w:t xml:space="preserve"> </w:t>
            </w:r>
            <w:r w:rsidRPr="006930AB">
              <w:rPr>
                <w:rFonts w:ascii="Courier New" w:eastAsia="Times New Roman" w:hAnsi="Courier New" w:cs="Courier New"/>
                <w:sz w:val="20"/>
                <w:szCs w:val="20"/>
              </w:rPr>
              <w:t>и кустарников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приобретение посадочного материала </w:t>
            </w:r>
            <w:r w:rsidR="00BE375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для озеленения </w:t>
            </w:r>
            <w:r w:rsidR="00BE3757" w:rsidRPr="0099205A">
              <w:rPr>
                <w:rFonts w:ascii="Courier New" w:eastAsia="Times New Roman" w:hAnsi="Courier New" w:cs="Courier New"/>
                <w:sz w:val="20"/>
                <w:szCs w:val="20"/>
              </w:rPr>
              <w:t>цветников и клумб</w:t>
            </w:r>
            <w:r w:rsidR="00BE3757">
              <w:rPr>
                <w:rFonts w:ascii="Courier New" w:eastAsia="Times New Roman" w:hAnsi="Courier New" w:cs="Courier New"/>
                <w:sz w:val="20"/>
                <w:szCs w:val="20"/>
              </w:rPr>
              <w:t>, саженцев для сквера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детских площадок, услуги техники на вышеуказанные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E2367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6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ыкашивание газонов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бесхозных территорий, 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побелка деревьев, озеленение и разбивка цветников и клумб, посадка саженцев деревьев и 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</w:tr>
      <w:tr w:rsidR="00DE2367" w:rsidRPr="0099205A" w:rsidTr="00DE2367">
        <w:trPr>
          <w:trHeight w:val="45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Ликвидация несанкционированных свалок в сёлах поселения, вывоз мусора с бесхозных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</w:tr>
      <w:tr w:rsidR="00DE2367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Выполнение работ по очистке крыш муниципальных зданий (многофункционального здания и здания сельского клуба) от снега, сосулек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DE2367" w:rsidRPr="0099205A" w:rsidTr="00DE2367">
        <w:trPr>
          <w:trHeight w:val="27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Pr="0099205A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E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Приобретение </w:t>
            </w:r>
            <w:r w:rsidR="00EE5A5D">
              <w:rPr>
                <w:rFonts w:ascii="Courier New" w:eastAsia="Times New Roman" w:hAnsi="Courier New" w:cs="Courier New"/>
                <w:sz w:val="20"/>
                <w:szCs w:val="20"/>
              </w:rPr>
              <w:t>хозтоваров: бензотриммеры, ГСМ, краска, покрасочные кисти, растворитель, известь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, побелочны</w:t>
            </w:r>
            <w:r w:rsidR="00EE5A5D">
              <w:rPr>
                <w:rFonts w:ascii="Courier New" w:eastAsia="Times New Roman" w:hAnsi="Courier New" w:cs="Courier New"/>
                <w:sz w:val="20"/>
                <w:szCs w:val="20"/>
              </w:rPr>
              <w:t>е щётки, мешки для мусора, мусорные пакеты, перчатки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EE5A5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хозяйственного инвентаря для работ по благоустройству (грабли, топоры, лопаты, веники, вёдра)и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закупка расходных материалов для бензиновых триммеров, для бензопилы.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  <w:r w:rsidR="00BE3757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220</w:t>
            </w:r>
          </w:p>
        </w:tc>
      </w:tr>
      <w:tr w:rsidR="00DE2367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Размещение малых архитектурных форм в сельском поселении (скамьи, урны, оборудование детских площадок, площадок отдыха, ограждений);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BE3757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130</w:t>
            </w:r>
          </w:p>
        </w:tc>
      </w:tr>
      <w:tr w:rsidR="00DE2367" w:rsidRPr="0099205A" w:rsidTr="00DE2367">
        <w:trPr>
          <w:trHeight w:val="41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67" w:rsidRDefault="00DE236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Pr="002D1951" w:rsidRDefault="00DE2367" w:rsidP="00B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E2367">
              <w:rPr>
                <w:rFonts w:ascii="Courier New" w:eastAsia="Times New Roman" w:hAnsi="Courier New" w:cs="Courier New"/>
                <w:sz w:val="20"/>
                <w:szCs w:val="20"/>
              </w:rPr>
              <w:t>Содержание линии уличного освещения по улице Школьная в с.Сергеевка и оплата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Pr="0099205A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450</w:t>
            </w:r>
          </w:p>
        </w:tc>
      </w:tr>
      <w:tr w:rsidR="00DE2367" w:rsidRPr="0099205A" w:rsidTr="00DE2367">
        <w:trPr>
          <w:trHeight w:val="2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Default="00DE236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E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Разработка проектно-сметной</w:t>
            </w:r>
            <w:r w:rsid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окументации</w:t>
            </w:r>
            <w:r w:rsidR="00EE5A5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подготовка эскизных проектов детских площадок и общественных </w:t>
            </w:r>
            <w:r w:rsidR="00EE5A5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территорий в с.Сергеевка. Проведение экспертиз   (исполнение программы «Комфортная среда»)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1DD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114</w:t>
            </w:r>
          </w:p>
        </w:tc>
      </w:tr>
      <w:tr w:rsidR="00DE2367" w:rsidRPr="0099205A" w:rsidTr="00DE2367">
        <w:trPr>
          <w:trHeight w:val="50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Default="00DE236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1.9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необходимых материалов и оборудования для монтажа электролиний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  <w:r w:rsid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767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  <w:r w:rsid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297</w:t>
            </w:r>
          </w:p>
        </w:tc>
      </w:tr>
      <w:tr w:rsidR="00DE2367" w:rsidRPr="0099205A" w:rsidTr="00DE2367">
        <w:trPr>
          <w:trHeight w:val="41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Default="00DE236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Default="00DE2367" w:rsidP="00DE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Электронный аукцион на право заключения муниципального контракта на выполнение работ по монтажу линий уличного освещения в населенных пунктах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</w:t>
            </w:r>
            <w:r w:rsidRP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сельского поселения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BE3757" w:rsidRDefault="00DE2367" w:rsidP="00DE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E2367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</w:t>
            </w:r>
            <w:r w:rsidR="00BE3757" w:rsidRPr="00DE2367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Монтаж освещения</w:t>
            </w:r>
            <w:r w:rsidR="00BE3757" w:rsidRPr="00DE2367">
              <w:rPr>
                <w:u w:val="single"/>
              </w:rPr>
              <w:t xml:space="preserve"> </w:t>
            </w:r>
            <w:r w:rsidR="00BE3757" w:rsidRPr="00DE2367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в селе Сергеевка улиц Рабочая, Советская, Колхозная, Ленина, Новая, Горная</w:t>
            </w:r>
            <w:r w:rsidRPr="00DE2367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)</w:t>
            </w:r>
            <w:r w:rsidR="00BE375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DE2367" w:rsidRPr="0099205A" w:rsidRDefault="00DE2367" w:rsidP="00DE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402</w:t>
            </w:r>
            <w:r w:rsid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402</w:t>
            </w:r>
            <w:r w:rsid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9554D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76705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767057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E2367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Default="00DE236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Подведе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ние итогов ежегодного конкурса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двор, лучшая усадьба, лу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чшее предприятие» (приобретение цветов, сувениров, грамот, 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оформление зала)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DE2367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67" w:rsidRDefault="00DE236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Pr="002D1951" w:rsidRDefault="00DE2367" w:rsidP="00DE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E2367">
              <w:rPr>
                <w:rFonts w:ascii="Courier New" w:eastAsia="Times New Roman" w:hAnsi="Courier New" w:cs="Courier New"/>
                <w:sz w:val="20"/>
                <w:szCs w:val="20"/>
              </w:rPr>
              <w:t>Содержание лини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й</w:t>
            </w:r>
            <w:r w:rsidRPr="00DE23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уличного освещения в с.Сергеевка и оплата электроэнергии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оплата аренды за размещение приборов освещения для крепления проводов линий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Pr="0099205A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E2367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E2367" w:rsidRPr="0099205A" w:rsidTr="00EE5A5D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67" w:rsidRDefault="00DE236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Pr="00DE2367" w:rsidRDefault="009554DB" w:rsidP="0095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Устройство наружного освещение сквера, о</w:t>
            </w:r>
            <w:r w:rsidR="00DE2367" w:rsidRPr="00DE236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свещение детск</w:t>
            </w:r>
            <w:r w:rsidR="00DE236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их площадок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в селе Сергеевка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Pr="0099205A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E2367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DE236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767057" w:rsidP="00767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250</w:t>
            </w:r>
          </w:p>
        </w:tc>
      </w:tr>
      <w:tr w:rsidR="006930AB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B" w:rsidRDefault="006930AB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B" w:rsidRPr="00DE2367" w:rsidRDefault="006930AB" w:rsidP="006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t xml:space="preserve"> </w:t>
            </w:r>
            <w:r w:rsidRPr="006930A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Электронный аукцион на право заключения муниципального контракта на выполнение работ по техническому обслуживанию линий уличного освещения на территории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Сергеевского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B" w:rsidRPr="00DE2367" w:rsidRDefault="006930A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930AB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B" w:rsidRDefault="006930A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B" w:rsidRDefault="006930A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B" w:rsidRDefault="006930A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B" w:rsidRDefault="006930A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B" w:rsidRDefault="006930A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E5A5D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D" w:rsidRDefault="00EE5A5D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Default="00EE5A5D" w:rsidP="006930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</w:t>
            </w:r>
            <w:r w:rsidR="009554DB">
              <w:t>Благоустройство подъездного пути к администрации с. Сергеевка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6930AB" w:rsidRDefault="009554D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E2367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Default="009554D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Default="00EE5A5D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Default="00EE5A5D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Default="00EE5A5D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Default="009554DB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</w:p>
        </w:tc>
      </w:tr>
      <w:tr w:rsidR="00DE2367" w:rsidRPr="0099205A" w:rsidTr="00DE2367">
        <w:trPr>
          <w:trHeight w:val="6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7" w:rsidRDefault="00BE3757" w:rsidP="00BE375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BE3757" w:rsidRPr="0099205A" w:rsidRDefault="009554DB" w:rsidP="009554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579</w:t>
            </w:r>
            <w:r w:rsidR="00BE375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BE3757" w:rsidRPr="0099205A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800</w:t>
            </w:r>
            <w:r w:rsidR="00DE236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BE3757" w:rsidRPr="0099205A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800</w:t>
            </w:r>
            <w:r w:rsidR="00DE236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BE37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800</w:t>
            </w:r>
          </w:p>
          <w:p w:rsidR="00BE3757" w:rsidRPr="0099205A" w:rsidRDefault="00BE37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7" w:rsidRDefault="00767057" w:rsidP="00BE37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BE3757" w:rsidRDefault="00767057" w:rsidP="009554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</w:t>
            </w:r>
            <w:r w:rsidR="009554D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979</w:t>
            </w:r>
          </w:p>
        </w:tc>
      </w:tr>
    </w:tbl>
    <w:p w:rsidR="002D1951" w:rsidRDefault="002D1951" w:rsidP="00F856F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D1951" w:rsidSect="00BE3757">
      <w:pgSz w:w="16838" w:h="11906" w:orient="landscape"/>
      <w:pgMar w:top="568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F3" w:rsidRDefault="005D01F3" w:rsidP="0067452D">
      <w:pPr>
        <w:spacing w:after="0" w:line="240" w:lineRule="auto"/>
      </w:pPr>
      <w:r>
        <w:separator/>
      </w:r>
    </w:p>
  </w:endnote>
  <w:endnote w:type="continuationSeparator" w:id="0">
    <w:p w:rsidR="005D01F3" w:rsidRDefault="005D01F3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F3" w:rsidRDefault="005D01F3" w:rsidP="0067452D">
      <w:pPr>
        <w:spacing w:after="0" w:line="240" w:lineRule="auto"/>
      </w:pPr>
      <w:r>
        <w:separator/>
      </w:r>
    </w:p>
  </w:footnote>
  <w:footnote w:type="continuationSeparator" w:id="0">
    <w:p w:rsidR="005D01F3" w:rsidRDefault="005D01F3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391748"/>
      <w:docPartObj>
        <w:docPartGallery w:val="Page Numbers (Top of Page)"/>
        <w:docPartUnique/>
      </w:docPartObj>
    </w:sdtPr>
    <w:sdtEndPr/>
    <w:sdtContent>
      <w:p w:rsidR="00FC7FB1" w:rsidRDefault="00FC7F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CD">
          <w:rPr>
            <w:noProof/>
          </w:rPr>
          <w:t>9</w:t>
        </w:r>
        <w:r>
          <w:fldChar w:fldCharType="end"/>
        </w:r>
      </w:p>
    </w:sdtContent>
  </w:sdt>
  <w:p w:rsidR="00FC7FB1" w:rsidRDefault="00FC7F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3E31"/>
    <w:rsid w:val="001178AE"/>
    <w:rsid w:val="001276D5"/>
    <w:rsid w:val="00127FDB"/>
    <w:rsid w:val="001312CD"/>
    <w:rsid w:val="001316AE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E57E3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6E6A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1951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4EF7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274E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6C4D"/>
    <w:rsid w:val="00397472"/>
    <w:rsid w:val="003A0152"/>
    <w:rsid w:val="003A08C7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61B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9B5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C6DEF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3FD5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BA8"/>
    <w:rsid w:val="00513660"/>
    <w:rsid w:val="00514ED8"/>
    <w:rsid w:val="00516DC1"/>
    <w:rsid w:val="00523474"/>
    <w:rsid w:val="00524F9F"/>
    <w:rsid w:val="00525D04"/>
    <w:rsid w:val="0052745B"/>
    <w:rsid w:val="00531BF9"/>
    <w:rsid w:val="00531EAE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01F3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06E2A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BAC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0AB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35F6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3C14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1FD"/>
    <w:rsid w:val="0074787C"/>
    <w:rsid w:val="00747D87"/>
    <w:rsid w:val="00750507"/>
    <w:rsid w:val="00755886"/>
    <w:rsid w:val="00763116"/>
    <w:rsid w:val="007635CF"/>
    <w:rsid w:val="00766880"/>
    <w:rsid w:val="00767057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291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0139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1759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1DD7"/>
    <w:rsid w:val="009532F0"/>
    <w:rsid w:val="00953400"/>
    <w:rsid w:val="0095387D"/>
    <w:rsid w:val="00954D0C"/>
    <w:rsid w:val="009553FA"/>
    <w:rsid w:val="009554DB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59F8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205A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592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098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3757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49CD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08EE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55F0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16E6"/>
    <w:rsid w:val="00D42042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325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135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367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6FF8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A5D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875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6F9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C7FB1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9673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d">
    <w:name w:val="List Paragraph"/>
    <w:basedOn w:val="a"/>
    <w:uiPriority w:val="34"/>
    <w:qFormat/>
    <w:rsid w:val="004109B5"/>
    <w:pPr>
      <w:ind w:left="720"/>
      <w:contextualSpacing/>
    </w:pPr>
  </w:style>
  <w:style w:type="paragraph" w:customStyle="1" w:styleId="ConsPlusNormal">
    <w:name w:val="ConsPlusNormal"/>
    <w:rsid w:val="00FC7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137A0D081DD6C48B3B1452F5BCFA0AE2D5816348A75C1C4F5F98866BE8A271445D77D28Dv7S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3F4C-2FA1-4684-9971-7F30C39C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91</cp:revision>
  <cp:lastPrinted>2018-10-28T06:33:00Z</cp:lastPrinted>
  <dcterms:created xsi:type="dcterms:W3CDTF">2013-10-09T01:08:00Z</dcterms:created>
  <dcterms:modified xsi:type="dcterms:W3CDTF">2018-11-06T01:12:00Z</dcterms:modified>
</cp:coreProperties>
</file>