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0E" w:rsidRDefault="004A050E" w:rsidP="004A050E">
      <w:pPr>
        <w:spacing w:line="276" w:lineRule="auto"/>
        <w:jc w:val="center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Присвоение звания</w:t>
      </w:r>
    </w:p>
    <w:p w:rsidR="00545FF8" w:rsidRDefault="004A050E" w:rsidP="004A050E">
      <w:pPr>
        <w:spacing w:line="276" w:lineRule="auto"/>
        <w:jc w:val="center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 xml:space="preserve"> «Ветеран труда Иркутской области»</w:t>
      </w:r>
    </w:p>
    <w:p w:rsidR="00D73437" w:rsidRDefault="007E3CD7" w:rsidP="004A050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E3CD7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D73437">
        <w:rPr>
          <w:rFonts w:eastAsiaTheme="minorHAnsi"/>
          <w:sz w:val="28"/>
          <w:szCs w:val="28"/>
          <w:lang w:eastAsia="en-US"/>
        </w:rPr>
        <w:t>за</w:t>
      </w:r>
      <w:r w:rsidR="00D73437" w:rsidRPr="00D73437">
        <w:rPr>
          <w:rFonts w:eastAsiaTheme="minorHAnsi"/>
          <w:sz w:val="28"/>
          <w:szCs w:val="28"/>
          <w:lang w:eastAsia="en-US"/>
        </w:rPr>
        <w:t>кон</w:t>
      </w:r>
      <w:r w:rsidR="00D73437">
        <w:rPr>
          <w:rFonts w:eastAsiaTheme="minorHAnsi"/>
          <w:sz w:val="28"/>
          <w:szCs w:val="28"/>
          <w:lang w:eastAsia="en-US"/>
        </w:rPr>
        <w:t>ом</w:t>
      </w:r>
      <w:r w:rsidR="00D73437" w:rsidRPr="00D73437">
        <w:rPr>
          <w:rFonts w:eastAsiaTheme="minorHAnsi"/>
          <w:sz w:val="28"/>
          <w:szCs w:val="28"/>
          <w:lang w:eastAsia="en-US"/>
        </w:rPr>
        <w:t xml:space="preserve"> Иркутской области </w:t>
      </w:r>
    </w:p>
    <w:p w:rsidR="007E3CD7" w:rsidRPr="007E3CD7" w:rsidRDefault="00D73437" w:rsidP="004A050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73437">
        <w:rPr>
          <w:rFonts w:eastAsiaTheme="minorHAnsi"/>
          <w:sz w:val="28"/>
          <w:szCs w:val="28"/>
          <w:lang w:eastAsia="en-US"/>
        </w:rPr>
        <w:t>от 13 июля 2018 г. N 72-ОЗ "О Ветеранах труда Иркутской области"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8930"/>
      </w:tblGrid>
      <w:tr w:rsidR="0070162B" w:rsidRPr="00545FF8" w:rsidTr="007E032B">
        <w:trPr>
          <w:trHeight w:val="4563"/>
        </w:trPr>
        <w:tc>
          <w:tcPr>
            <w:tcW w:w="1986" w:type="dxa"/>
            <w:shd w:val="clear" w:color="auto" w:fill="auto"/>
          </w:tcPr>
          <w:p w:rsidR="0070162B" w:rsidRPr="00D73437" w:rsidRDefault="004A050E" w:rsidP="004A050E">
            <w:pPr>
              <w:rPr>
                <w:b/>
                <w:sz w:val="28"/>
                <w:szCs w:val="28"/>
              </w:rPr>
            </w:pPr>
            <w:r w:rsidRPr="00D73437">
              <w:rPr>
                <w:b/>
                <w:sz w:val="28"/>
                <w:szCs w:val="28"/>
              </w:rPr>
              <w:t>1. Категория граждан</w:t>
            </w:r>
          </w:p>
        </w:tc>
        <w:tc>
          <w:tcPr>
            <w:tcW w:w="8930" w:type="dxa"/>
            <w:shd w:val="clear" w:color="auto" w:fill="auto"/>
          </w:tcPr>
          <w:p w:rsidR="004A050E" w:rsidRPr="007E032B" w:rsidRDefault="007E3CD7" w:rsidP="004A050E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7E032B">
              <w:t>Г</w:t>
            </w:r>
            <w:r w:rsidR="004A050E" w:rsidRPr="007E032B">
              <w:t>раждане Российской Федерации, проживающие на территории Иркутской области</w:t>
            </w:r>
            <w:r w:rsidR="004A050E" w:rsidRPr="007E032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="004A050E" w:rsidRPr="007E032B">
              <w:t>при соблюдении следующих условий:</w:t>
            </w:r>
          </w:p>
          <w:p w:rsidR="004A050E" w:rsidRPr="007E032B" w:rsidRDefault="004A050E" w:rsidP="004A050E">
            <w:pPr>
              <w:jc w:val="both"/>
            </w:pPr>
            <w:r w:rsidRPr="007E032B">
              <w:t>1)стаж работы (службы) в календарном исчислении не менее 40 лет для мужчин и 35 лет для женщин, из которого стаж работы (службы) на территории Иркутской области в календарном исчислении составляет не менее 20 лет для мужчин и 17,5 года для женщин;</w:t>
            </w:r>
          </w:p>
          <w:p w:rsidR="004A050E" w:rsidRPr="007E032B" w:rsidRDefault="004A050E" w:rsidP="004A050E">
            <w:pPr>
              <w:jc w:val="both"/>
            </w:pPr>
            <w:bookmarkStart w:id="0" w:name="sub_222"/>
            <w:proofErr w:type="gramStart"/>
            <w:r w:rsidRPr="007E032B">
              <w:t xml:space="preserve">2) стаж работы (службы) при досрочном назначении трудовой пенсии по старости в соответствии со </w:t>
            </w:r>
            <w:hyperlink r:id="rId7" w:history="1">
              <w:r w:rsidRPr="007E032B">
                <w:rPr>
                  <w:rStyle w:val="a4"/>
                </w:rPr>
                <w:t>статьями 27</w:t>
              </w:r>
            </w:hyperlink>
            <w:r w:rsidRPr="007E032B">
              <w:t xml:space="preserve">, </w:t>
            </w:r>
            <w:hyperlink r:id="rId8" w:history="1">
              <w:r w:rsidRPr="007E032B">
                <w:rPr>
                  <w:rStyle w:val="a4"/>
                </w:rPr>
                <w:t>28</w:t>
              </w:r>
            </w:hyperlink>
            <w:r w:rsidRPr="007E032B">
              <w:t xml:space="preserve"> Федерального закона от 17 декабря 2001 года N 173-ФЗ </w:t>
            </w:r>
            <w:r w:rsidR="007E3CD7" w:rsidRPr="007E032B">
              <w:t>«</w:t>
            </w:r>
            <w:r w:rsidRPr="007E032B">
              <w:t>О трудовых пенсиях в Российской Федерации</w:t>
            </w:r>
            <w:r w:rsidR="007E3CD7" w:rsidRPr="007E032B">
              <w:t>»</w:t>
            </w:r>
            <w:r w:rsidRPr="007E032B">
              <w:t xml:space="preserve"> либо досрочном назначении страховой пенсии по старости в соответствии со </w:t>
            </w:r>
            <w:hyperlink r:id="rId9" w:history="1">
              <w:r w:rsidRPr="007E032B">
                <w:rPr>
                  <w:rStyle w:val="a4"/>
                </w:rPr>
                <w:t>статьями 30</w:t>
              </w:r>
            </w:hyperlink>
            <w:r w:rsidRPr="007E032B">
              <w:t xml:space="preserve">, </w:t>
            </w:r>
            <w:hyperlink r:id="rId10" w:history="1">
              <w:r w:rsidRPr="007E032B">
                <w:rPr>
                  <w:rStyle w:val="a4"/>
                </w:rPr>
                <w:t>32</w:t>
              </w:r>
            </w:hyperlink>
            <w:r w:rsidRPr="007E032B">
              <w:t xml:space="preserve"> Федерального закона от 28 декабря 2013 года N 400-ФЗ </w:t>
            </w:r>
            <w:r w:rsidR="007E3CD7" w:rsidRPr="007E032B">
              <w:t>«</w:t>
            </w:r>
            <w:r w:rsidRPr="007E032B">
              <w:t>О страховых пенсиях</w:t>
            </w:r>
            <w:r w:rsidR="007E3CD7" w:rsidRPr="007E032B">
              <w:t>»</w:t>
            </w:r>
            <w:r w:rsidRPr="007E032B">
              <w:t xml:space="preserve"> в календарном исчислении</w:t>
            </w:r>
            <w:proofErr w:type="gramEnd"/>
            <w:r w:rsidRPr="007E032B">
              <w:t xml:space="preserve"> не менее 35 лет для мужчин и 30 лет для женщин, из которого стаж работы (службы) на территории Иркутской области в календарном исчислении составляет не менее 17,5 года для мужчин и 15 лет для женщин;</w:t>
            </w:r>
          </w:p>
          <w:p w:rsidR="004A050E" w:rsidRPr="007E032B" w:rsidRDefault="004A050E" w:rsidP="004A050E">
            <w:pPr>
              <w:jc w:val="both"/>
            </w:pPr>
            <w:bookmarkStart w:id="1" w:name="sub_203"/>
            <w:bookmarkEnd w:id="0"/>
            <w:r w:rsidRPr="007E032B">
              <w:t xml:space="preserve">3) наличие наград, почетных званий и поощрений в соответствии с перечнем, </w:t>
            </w:r>
            <w:r w:rsidR="007E3CD7" w:rsidRPr="007E032B">
              <w:t>установленных законом</w:t>
            </w:r>
            <w:r w:rsidR="00AA2C92" w:rsidRPr="007E032B">
              <w:t xml:space="preserve"> </w:t>
            </w:r>
            <w:r w:rsidR="007E3CD7" w:rsidRPr="007E032B">
              <w:t xml:space="preserve"> </w:t>
            </w:r>
          </w:p>
          <w:bookmarkEnd w:id="1"/>
          <w:p w:rsidR="0078679A" w:rsidRPr="007E3CD7" w:rsidRDefault="0078679A" w:rsidP="004A050E">
            <w:pPr>
              <w:jc w:val="both"/>
              <w:rPr>
                <w:sz w:val="28"/>
                <w:szCs w:val="28"/>
              </w:rPr>
            </w:pPr>
          </w:p>
        </w:tc>
      </w:tr>
      <w:tr w:rsidR="0070162B" w:rsidRPr="00545FF8" w:rsidTr="007E032B">
        <w:trPr>
          <w:trHeight w:val="2520"/>
        </w:trPr>
        <w:tc>
          <w:tcPr>
            <w:tcW w:w="1986" w:type="dxa"/>
            <w:shd w:val="clear" w:color="auto" w:fill="auto"/>
          </w:tcPr>
          <w:p w:rsidR="00611199" w:rsidRPr="007E3CD7" w:rsidRDefault="00611199" w:rsidP="0078679A">
            <w:pPr>
              <w:rPr>
                <w:sz w:val="28"/>
                <w:szCs w:val="28"/>
              </w:rPr>
            </w:pPr>
          </w:p>
          <w:p w:rsidR="0070162B" w:rsidRPr="00D73437" w:rsidRDefault="007E3CD7" w:rsidP="007E3CD7">
            <w:pPr>
              <w:rPr>
                <w:b/>
                <w:sz w:val="28"/>
                <w:szCs w:val="28"/>
              </w:rPr>
            </w:pPr>
            <w:r w:rsidRPr="00D73437">
              <w:rPr>
                <w:b/>
                <w:sz w:val="28"/>
                <w:szCs w:val="28"/>
              </w:rPr>
              <w:t>2</w:t>
            </w:r>
            <w:r w:rsidR="0078679A" w:rsidRPr="00D73437">
              <w:rPr>
                <w:b/>
                <w:sz w:val="28"/>
                <w:szCs w:val="28"/>
              </w:rPr>
              <w:t xml:space="preserve">. </w:t>
            </w:r>
            <w:r w:rsidRPr="00D73437">
              <w:rPr>
                <w:b/>
                <w:sz w:val="28"/>
                <w:szCs w:val="28"/>
              </w:rPr>
              <w:t>Необходимые д</w:t>
            </w:r>
            <w:r w:rsidR="0078679A" w:rsidRPr="00D73437">
              <w:rPr>
                <w:b/>
                <w:sz w:val="28"/>
                <w:szCs w:val="28"/>
              </w:rPr>
              <w:t xml:space="preserve">окументы </w:t>
            </w:r>
          </w:p>
        </w:tc>
        <w:tc>
          <w:tcPr>
            <w:tcW w:w="8930" w:type="dxa"/>
            <w:shd w:val="clear" w:color="auto" w:fill="auto"/>
          </w:tcPr>
          <w:p w:rsidR="007E3CD7" w:rsidRPr="007E032B" w:rsidRDefault="007E3CD7" w:rsidP="001B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321"/>
            <w:r w:rsidRPr="007E032B">
              <w:rPr>
                <w:rFonts w:ascii="Times New Roman" w:hAnsi="Times New Roman" w:cs="Times New Roman"/>
                <w:sz w:val="24"/>
                <w:szCs w:val="24"/>
              </w:rPr>
              <w:t>Заявление, к которому прилагается фотография размером 3 x 4 сантиметра, а также следующие документы</w:t>
            </w:r>
          </w:p>
          <w:p w:rsidR="007E3CD7" w:rsidRPr="007E032B" w:rsidRDefault="007E3CD7" w:rsidP="001B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B">
              <w:rPr>
                <w:rFonts w:ascii="Times New Roman" w:hAnsi="Times New Roman" w:cs="Times New Roman"/>
                <w:sz w:val="24"/>
                <w:szCs w:val="24"/>
              </w:rPr>
              <w:t>1) паспорт или иной документ, удостоверяющий личность заявителя;</w:t>
            </w:r>
          </w:p>
          <w:p w:rsidR="007E3CD7" w:rsidRPr="007E032B" w:rsidRDefault="007E3CD7" w:rsidP="001B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322"/>
            <w:bookmarkEnd w:id="2"/>
            <w:r w:rsidRPr="007E032B">
              <w:rPr>
                <w:rFonts w:ascii="Times New Roman" w:hAnsi="Times New Roman" w:cs="Times New Roman"/>
                <w:sz w:val="24"/>
                <w:szCs w:val="24"/>
              </w:rPr>
              <w:t>2) документы, удостоверяющие личность и подтверждающие полномочия представителя заявителя, - в случае обращения с заявлением представителя заявителя;</w:t>
            </w:r>
          </w:p>
          <w:p w:rsidR="007E3CD7" w:rsidRPr="007E032B" w:rsidRDefault="007E3CD7" w:rsidP="001B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323"/>
            <w:bookmarkEnd w:id="3"/>
            <w:r w:rsidRPr="007E032B">
              <w:rPr>
                <w:rFonts w:ascii="Times New Roman" w:hAnsi="Times New Roman" w:cs="Times New Roman"/>
                <w:sz w:val="24"/>
                <w:szCs w:val="24"/>
              </w:rPr>
              <w:t>3) документы, подтверждающие наличие наград, почетных званий и поощрений</w:t>
            </w:r>
            <w:r w:rsidR="001B1C19" w:rsidRPr="007E0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1C19" w:rsidRPr="007E032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="001B1C19" w:rsidRPr="007E032B">
              <w:rPr>
                <w:rFonts w:ascii="Times New Roman" w:hAnsi="Times New Roman" w:cs="Times New Roman"/>
                <w:sz w:val="24"/>
                <w:szCs w:val="24"/>
              </w:rPr>
              <w:t xml:space="preserve"> с перечнем, установленных законом</w:t>
            </w:r>
            <w:r w:rsidRPr="007E03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3CD7" w:rsidRPr="007E032B" w:rsidRDefault="007E3CD7" w:rsidP="001B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324"/>
            <w:bookmarkEnd w:id="4"/>
            <w:r w:rsidRPr="007E032B">
              <w:rPr>
                <w:rFonts w:ascii="Times New Roman" w:hAnsi="Times New Roman" w:cs="Times New Roman"/>
                <w:sz w:val="24"/>
                <w:szCs w:val="24"/>
              </w:rPr>
              <w:t>4) трудовая книжка.</w:t>
            </w:r>
          </w:p>
          <w:bookmarkEnd w:id="5"/>
          <w:p w:rsidR="0070162B" w:rsidRPr="007E3CD7" w:rsidRDefault="0070162B" w:rsidP="001B1C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75" w:rsidRPr="00545FF8" w:rsidTr="007E032B">
        <w:tc>
          <w:tcPr>
            <w:tcW w:w="1986" w:type="dxa"/>
            <w:shd w:val="clear" w:color="auto" w:fill="auto"/>
          </w:tcPr>
          <w:p w:rsidR="00DA3275" w:rsidRPr="00D73437" w:rsidRDefault="007E3CD7" w:rsidP="007E3CD7">
            <w:pPr>
              <w:rPr>
                <w:b/>
                <w:sz w:val="28"/>
                <w:szCs w:val="28"/>
              </w:rPr>
            </w:pPr>
            <w:r w:rsidRPr="00D73437">
              <w:rPr>
                <w:b/>
                <w:sz w:val="28"/>
                <w:szCs w:val="28"/>
              </w:rPr>
              <w:t xml:space="preserve">3. Перечень наград </w:t>
            </w:r>
          </w:p>
        </w:tc>
        <w:tc>
          <w:tcPr>
            <w:tcW w:w="8930" w:type="dxa"/>
            <w:shd w:val="clear" w:color="auto" w:fill="auto"/>
          </w:tcPr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bookmarkStart w:id="6" w:name="sub_91"/>
            <w:r w:rsidRPr="007E032B">
              <w:rPr>
                <w:rFonts w:ascii="Times New Roman CYR" w:eastAsiaTheme="minorEastAsia" w:hAnsi="Times New Roman CYR" w:cs="Times New Roman CYR"/>
              </w:rPr>
              <w:t xml:space="preserve">1) награды Иркутской области и почетные звания Иркутской области, учрежденные </w:t>
            </w:r>
            <w:hyperlink r:id="rId11" w:history="1">
              <w:r w:rsidRPr="007E032B">
                <w:rPr>
                  <w:rFonts w:ascii="Times New Roman CYR" w:eastAsiaTheme="minorEastAsia" w:hAnsi="Times New Roman CYR" w:cs="Times New Roman CYR"/>
                  <w:color w:val="106BBE"/>
                </w:rPr>
                <w:t>Законом</w:t>
              </w:r>
            </w:hyperlink>
            <w:r w:rsidRPr="007E032B">
              <w:rPr>
                <w:rFonts w:ascii="Times New Roman CYR" w:eastAsiaTheme="minorEastAsia" w:hAnsi="Times New Roman CYR" w:cs="Times New Roman CYR"/>
              </w:rPr>
              <w:t xml:space="preserve"> Иркутской области от 24 декабря 2010 года N 141-ОЗ "О наградах Иркутской области и почетных званиях Иркутской области":</w:t>
            </w:r>
          </w:p>
          <w:bookmarkEnd w:id="6"/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Благодарность Губернатора Иркутской области;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Почетная грамота Губернатора Иркутской области;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Почетная грамота Законодательного Собрания Иркутской области;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знак отличия "За заслуги перед Иркутской областью";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знак отличия "За честь и мужество";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почетное звание "Почетный гражданин Иркутской области";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почетное звание "Заслуженный геолог Иркутской области";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почетное звание "Заслуженный работник дорожного хозяйства Иркутской области";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почетное звание "Заслуженный работник жилищно-коммунального хозяйства Иркутской области";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почетное звание "Заслуженный работник здравоохранения Иркутской области";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почетное звание "Заслуженный работник культуры и искусства Иркутской области";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почетное звание "Заслуженный работник лесного хозяйства Иркутской области";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почетное звание "Заслуженный работник науки и высшей школы Иркутской области";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почетное звание "Заслуженный работник образования Иркутской области";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почетное звание "Заслуженный работник промышленности Иркутской области";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lastRenderedPageBreak/>
              <w:t>почетное звание "Заслуженный работник связи Иркутской области";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почетное звание "Заслуженный работник сельского хозяйства Иркутской области";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почетное звание "Заслуженный работник социальной защиты населения Иркутской области";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почетное звание "Заслуженный работник торговли и сферы услуг Иркутской области";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почетное звание "Заслуженный работник транспорта Иркутской области";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почетное звание "Заслуженный работник физической культуры и спорта Иркутской области";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почетное звание "Заслуженный строитель Иркутской области";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почетное звание "Заслуженный эколог Иркутской области";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почетное звание "Заслуженный энергетик Иркутской области";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почетное звание "Заслуженный юрист Иркутской области";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bookmarkStart w:id="7" w:name="sub_92"/>
            <w:r w:rsidRPr="007E032B">
              <w:rPr>
                <w:rFonts w:ascii="Times New Roman CYR" w:eastAsiaTheme="minorEastAsia" w:hAnsi="Times New Roman CYR" w:cs="Times New Roman CYR"/>
              </w:rPr>
              <w:t xml:space="preserve">2) награды и почетное звание Иркутской области, учрежденные </w:t>
            </w:r>
            <w:hyperlink r:id="rId12" w:history="1">
              <w:r w:rsidRPr="007E032B">
                <w:rPr>
                  <w:rFonts w:ascii="Times New Roman CYR" w:eastAsiaTheme="minorEastAsia" w:hAnsi="Times New Roman CYR" w:cs="Times New Roman CYR"/>
                  <w:color w:val="106BBE"/>
                </w:rPr>
                <w:t>Законом</w:t>
              </w:r>
            </w:hyperlink>
            <w:r w:rsidRPr="007E032B">
              <w:rPr>
                <w:rFonts w:ascii="Times New Roman CYR" w:eastAsiaTheme="minorEastAsia" w:hAnsi="Times New Roman CYR" w:cs="Times New Roman CYR"/>
              </w:rPr>
              <w:t xml:space="preserve"> Иркутской области от 4 марта 1997 года N 10-оз "О наградах и почетных званиях в Иркутской области":</w:t>
            </w:r>
          </w:p>
          <w:bookmarkEnd w:id="7"/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знак отличия "За заслуги перед Иркутской областью";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Почетная грамота Губернатора Иркутской области;</w:t>
            </w:r>
          </w:p>
          <w:p w:rsidR="007E032B" w:rsidRPr="007E032B" w:rsidRDefault="007E032B" w:rsidP="007E0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7E032B">
              <w:rPr>
                <w:rFonts w:ascii="Times New Roman CYR" w:eastAsiaTheme="minorEastAsia" w:hAnsi="Times New Roman CYR" w:cs="Times New Roman CYR"/>
              </w:rPr>
              <w:t>почетное звание "Почетный гражданин Иркутской области";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 xml:space="preserve">3) государственные награды и почетные звания Усть-Ордынского Бурятского автономного округа, награды органов государственной власти Усть-Ордынского Бурятского автономного округа, учрежденные </w:t>
            </w:r>
            <w:hyperlink r:id="rId13" w:history="1">
              <w:r w:rsidRPr="00AF2E8A">
                <w:rPr>
                  <w:rFonts w:ascii="Times New Roman CYR" w:eastAsiaTheme="minorEastAsia" w:hAnsi="Times New Roman CYR" w:cs="Times New Roman CYR"/>
                  <w:color w:val="106BBE"/>
                </w:rPr>
                <w:t>Законом</w:t>
              </w:r>
            </w:hyperlink>
            <w:r w:rsidRPr="00AF2E8A">
              <w:rPr>
                <w:rFonts w:ascii="Times New Roman CYR" w:eastAsiaTheme="minorEastAsia" w:hAnsi="Times New Roman CYR" w:cs="Times New Roman CYR"/>
              </w:rPr>
              <w:t xml:space="preserve"> Усть-Ордынского Бурятского автономного округа от 2 июня 2000 года N 116-оз "О государственных наградах, почетных званиях Усть-Ордынского Бурятского автономного округа и наградах органов государственной власти Усть-Ордынского Бурятского автономного округа":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Почетная грамота Усть-Ордынского Бурятского автономного округа;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медаль "За заслуги в объединении Усть-Ордынского Бурятского автономного округа и Иркутской области";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юбилейная медаль "70 лет Усть-Ордынскому Бурятскому автономному округу";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Благодарственное письмо Усть-Ордынского Бурятского автономного округа;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Почетный знак "Долгожитель";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Почетный знак "Почетный работник государственной службы Усть-Ордынского Бурятского автономного округа";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Почетный знак "Почетный работник муниципальной службы Усть-Ордынского Бурятского автономного округа";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Знак отличия "Гражданская доблесть" (в честь Дня округа);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почетные звания Усть-Ордынского Бурятского автономного округа: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Почетный гражданин Усть-Ордынского Бурятского автономного округа;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заслуженный работник сельского хозяйства Усть-Ордынского Бурятского автономного округа;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заслуженный работник образования Усть-Ордынского Бурятского автономного округа;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заслуженный работник здравоохранения Усть-Ордынского Бурятского автономного округа;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заслуженный деятель культуры Усть-Ордынского Бурятского автономного округа;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заслуженный деятель физической культуры и спорта Усть-Ордынского Бурятского автономного округа;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заслуженный сотрудник органов внутренних дел;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заслуженный юрист Усть-Ордынского Бурятского автономного округа;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заслуженный экономист Усть-Ордынского Бурятского автономного округа;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заслуженный работник лесной промышленности Усть-Ордынского Бурятского автономного округа;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заслуженный строитель Усть-Ордынского Бурятского автономного округа;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заслуженный деятель науки Усть-Ордынского Бурятского автономного округа;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lastRenderedPageBreak/>
              <w:t>заслуженный эколог Усть-Ордынского Бурятского автономного округа;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заслуженный работник социальной защиты населения Усть-Ордынского Бурятского автономного округа;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заслуженный работник сферы обслуживания населения Усть-Ордынского Бурятского автономного округа;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Почетная грамота администрации Усть-Ордынского Бурятского автономного округа;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Благодарственное письмо администрации Усть-Ордынского Бурятского автономного округа;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bookmarkStart w:id="8" w:name="sub_9328"/>
            <w:r w:rsidRPr="00AF2E8A">
              <w:rPr>
                <w:rFonts w:ascii="Times New Roman CYR" w:eastAsiaTheme="minorEastAsia" w:hAnsi="Times New Roman CYR" w:cs="Times New Roman CYR"/>
              </w:rPr>
              <w:t>Почетная грамота Думы Усть-Ордынского Бурятского автономного округа;</w:t>
            </w:r>
          </w:p>
          <w:bookmarkEnd w:id="8"/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AF2E8A">
              <w:rPr>
                <w:rFonts w:ascii="Times New Roman CYR" w:eastAsiaTheme="minorEastAsia" w:hAnsi="Times New Roman CYR" w:cs="Times New Roman CYR"/>
              </w:rPr>
              <w:t>Благодарственное письмо Думы Усть-Ордынского Бурятского автономного округа: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bookmarkStart w:id="9" w:name="sub_94"/>
            <w:r w:rsidRPr="00AF2E8A">
              <w:rPr>
                <w:rFonts w:ascii="Times New Roman CYR" w:eastAsiaTheme="minorEastAsia" w:hAnsi="Times New Roman CYR" w:cs="Times New Roman CYR"/>
              </w:rPr>
              <w:t>4) почетное звание "Ветеран труда", присвоение которого подтверждено соответствующей записью в трудовой книжке, присвоенное в период до 1 января 1992 года организацией, осуществлявшей деятельность на территории Иркутской области;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bookmarkStart w:id="10" w:name="sub_95"/>
            <w:bookmarkEnd w:id="9"/>
            <w:r w:rsidRPr="00AF2E8A">
              <w:rPr>
                <w:rFonts w:ascii="Times New Roman CYR" w:eastAsiaTheme="minorEastAsia" w:hAnsi="Times New Roman CYR" w:cs="Times New Roman CYR"/>
              </w:rPr>
              <w:t>5) звание "Ударник коммунистического труда";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bookmarkStart w:id="11" w:name="sub_96"/>
            <w:bookmarkEnd w:id="10"/>
            <w:r w:rsidRPr="00AF2E8A">
              <w:rPr>
                <w:rFonts w:ascii="Times New Roman CYR" w:eastAsiaTheme="minorEastAsia" w:hAnsi="Times New Roman CYR" w:cs="Times New Roman CYR"/>
              </w:rPr>
              <w:t>6) почетная грамота Центросоюза;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bookmarkStart w:id="12" w:name="sub_97"/>
            <w:bookmarkEnd w:id="11"/>
            <w:r w:rsidRPr="00AF2E8A">
              <w:rPr>
                <w:rFonts w:ascii="Times New Roman CYR" w:eastAsiaTheme="minorEastAsia" w:hAnsi="Times New Roman CYR" w:cs="Times New Roman CYR"/>
              </w:rPr>
              <w:t xml:space="preserve">7) почетные грамоты и знаки ВЦСПС, Федерации независимых профсоюзов России (ФНПР), ЦК профсоюзов, Центрального Совета по управлению курортами профсоюзов СССР, </w:t>
            </w:r>
            <w:proofErr w:type="spellStart"/>
            <w:r w:rsidRPr="00AF2E8A">
              <w:rPr>
                <w:rFonts w:ascii="Times New Roman CYR" w:eastAsiaTheme="minorEastAsia" w:hAnsi="Times New Roman CYR" w:cs="Times New Roman CYR"/>
              </w:rPr>
              <w:t>Профкурорта</w:t>
            </w:r>
            <w:proofErr w:type="spellEnd"/>
            <w:r w:rsidRPr="00AF2E8A">
              <w:rPr>
                <w:rFonts w:ascii="Times New Roman CYR" w:eastAsiaTheme="minorEastAsia" w:hAnsi="Times New Roman CYR" w:cs="Times New Roman CYR"/>
              </w:rPr>
              <w:t>, Центрального совета спортивных обще</w:t>
            </w:r>
            <w:proofErr w:type="gramStart"/>
            <w:r w:rsidRPr="00AF2E8A">
              <w:rPr>
                <w:rFonts w:ascii="Times New Roman CYR" w:eastAsiaTheme="minorEastAsia" w:hAnsi="Times New Roman CYR" w:cs="Times New Roman CYR"/>
              </w:rPr>
              <w:t>ств пр</w:t>
            </w:r>
            <w:proofErr w:type="gramEnd"/>
            <w:r w:rsidRPr="00AF2E8A">
              <w:rPr>
                <w:rFonts w:ascii="Times New Roman CYR" w:eastAsiaTheme="minorEastAsia" w:hAnsi="Times New Roman CYR" w:cs="Times New Roman CYR"/>
              </w:rPr>
              <w:t>офсоюзов, почетные грамоты Союза "Иркутское областное объединение организаций профсоюзов" (Иркутского областного объединения организаций профсоюзов, Иркутского областного Совета профсоюзов (</w:t>
            </w:r>
            <w:proofErr w:type="spellStart"/>
            <w:r w:rsidRPr="00AF2E8A">
              <w:rPr>
                <w:rFonts w:ascii="Times New Roman CYR" w:eastAsiaTheme="minorEastAsia" w:hAnsi="Times New Roman CYR" w:cs="Times New Roman CYR"/>
              </w:rPr>
              <w:t>Облсовпрофа</w:t>
            </w:r>
            <w:proofErr w:type="spellEnd"/>
            <w:r w:rsidRPr="00AF2E8A">
              <w:rPr>
                <w:rFonts w:ascii="Times New Roman CYR" w:eastAsiaTheme="minorEastAsia" w:hAnsi="Times New Roman CYR" w:cs="Times New Roman CYR"/>
              </w:rPr>
              <w:t>));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bookmarkStart w:id="13" w:name="sub_98"/>
            <w:bookmarkEnd w:id="12"/>
            <w:r w:rsidRPr="00AF2E8A">
              <w:rPr>
                <w:rFonts w:ascii="Times New Roman CYR" w:eastAsiaTheme="minorEastAsia" w:hAnsi="Times New Roman CYR" w:cs="Times New Roman CYR"/>
              </w:rPr>
              <w:t>8) почетные грамоты Иркутского областного комитета КПСС, исполнительного комитета Иркутского областного Совета народных депутатов, Иркутского областного комитета комсомола;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bookmarkStart w:id="14" w:name="sub_99"/>
            <w:bookmarkEnd w:id="13"/>
            <w:r w:rsidRPr="00AF2E8A">
              <w:rPr>
                <w:rFonts w:ascii="Times New Roman CYR" w:eastAsiaTheme="minorEastAsia" w:hAnsi="Times New Roman CYR" w:cs="Times New Roman CYR"/>
              </w:rPr>
              <w:t>9) знак "Золотое перо", учрежденный администрацией Иркутской области в целях награждения победителей ежегодного конкурса "Журналист года Иркутской области";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bookmarkStart w:id="15" w:name="sub_910"/>
            <w:bookmarkEnd w:id="14"/>
            <w:r w:rsidRPr="00AF2E8A">
              <w:rPr>
                <w:rFonts w:ascii="Times New Roman CYR" w:eastAsiaTheme="minorEastAsia" w:hAnsi="Times New Roman CYR" w:cs="Times New Roman CYR"/>
              </w:rPr>
              <w:t>10) Почетный знак "Материнская слава", учрежденный Губернатором Иркутской области;</w:t>
            </w:r>
          </w:p>
          <w:p w:rsidR="00AF2E8A" w:rsidRPr="00AF2E8A" w:rsidRDefault="00AF2E8A" w:rsidP="00AF2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</w:rPr>
            </w:pPr>
            <w:bookmarkStart w:id="16" w:name="_GoBack"/>
            <w:bookmarkEnd w:id="15"/>
            <w:bookmarkEnd w:id="16"/>
            <w:r w:rsidRPr="00AF2E8A">
              <w:rPr>
                <w:rFonts w:ascii="Times New Roman CYR" w:eastAsiaTheme="minorEastAsia" w:hAnsi="Times New Roman CYR" w:cs="Times New Roman CYR"/>
              </w:rPr>
              <w:t xml:space="preserve">11) Благодарность Губернатора Иркутской области (Благодарность губернатора Иркутской области), Почетная грамота Законодательного Собрания Иркутской области (Почетная грамота Законодательного собрания Иркутской области), награждение которой произведено до вступления в силу </w:t>
            </w:r>
            <w:hyperlink r:id="rId14" w:history="1">
              <w:r w:rsidRPr="00AF2E8A">
                <w:rPr>
                  <w:rFonts w:ascii="Times New Roman CYR" w:eastAsiaTheme="minorEastAsia" w:hAnsi="Times New Roman CYR" w:cs="Times New Roman CYR"/>
                  <w:color w:val="106BBE"/>
                </w:rPr>
                <w:t>Закона</w:t>
              </w:r>
            </w:hyperlink>
            <w:r w:rsidRPr="00AF2E8A">
              <w:rPr>
                <w:rFonts w:ascii="Times New Roman CYR" w:eastAsiaTheme="minorEastAsia" w:hAnsi="Times New Roman CYR" w:cs="Times New Roman CYR"/>
              </w:rPr>
              <w:t xml:space="preserve"> Иркутской области от 24 декабря 2010 года N 141-ОЗ "О наградах Иркутской области и почетных званиях Иркутской области";</w:t>
            </w:r>
          </w:p>
          <w:p w:rsidR="00DA3275" w:rsidRPr="007E3CD7" w:rsidRDefault="00AF2E8A" w:rsidP="00AF2E8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E8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12) Почетная грамота Губернатора Иркутской области (Почетная грамота губернатора Иркутской области), награждение которой произведено до вступления в силу </w:t>
            </w:r>
            <w:hyperlink r:id="rId15" w:history="1">
              <w:r w:rsidRPr="00AF2E8A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</w:rPr>
                <w:t>Закона</w:t>
              </w:r>
            </w:hyperlink>
            <w:r w:rsidRPr="00AF2E8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Иркутской области от 4 марта 1997 года N 10-оз "О наградах и почетных званиях в Иркутской области".</w:t>
            </w:r>
          </w:p>
        </w:tc>
      </w:tr>
      <w:tr w:rsidR="0070162B" w:rsidRPr="00545FF8" w:rsidTr="007E032B">
        <w:trPr>
          <w:trHeight w:val="730"/>
        </w:trPr>
        <w:tc>
          <w:tcPr>
            <w:tcW w:w="1986" w:type="dxa"/>
            <w:shd w:val="clear" w:color="auto" w:fill="auto"/>
          </w:tcPr>
          <w:p w:rsidR="0070162B" w:rsidRPr="00D73437" w:rsidRDefault="007E3CD7" w:rsidP="0078679A">
            <w:pPr>
              <w:rPr>
                <w:b/>
                <w:sz w:val="28"/>
                <w:szCs w:val="28"/>
              </w:rPr>
            </w:pPr>
            <w:r w:rsidRPr="00D73437">
              <w:rPr>
                <w:b/>
                <w:sz w:val="28"/>
                <w:szCs w:val="28"/>
              </w:rPr>
              <w:lastRenderedPageBreak/>
              <w:t xml:space="preserve">4. Куда обратиться </w:t>
            </w:r>
            <w:r w:rsidR="0078679A" w:rsidRPr="00D73437">
              <w:rPr>
                <w:b/>
                <w:sz w:val="28"/>
                <w:szCs w:val="28"/>
              </w:rPr>
              <w:t xml:space="preserve"> </w:t>
            </w:r>
            <w:r w:rsidR="00545FF8" w:rsidRPr="00D7343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shd w:val="clear" w:color="auto" w:fill="auto"/>
          </w:tcPr>
          <w:p w:rsidR="0070162B" w:rsidRDefault="007E3CD7" w:rsidP="007E3CD7">
            <w:pPr>
              <w:jc w:val="both"/>
            </w:pPr>
            <w:r w:rsidRPr="007E032B">
              <w:t>ОГКУ «УСЗН  по городу Усолье-Сибирское и Усольскому району, г. Усолье-Сибирское, ул. Б. Хмельницкого, д. 32, кабинет 2,7,8, телефон  67586</w:t>
            </w:r>
            <w:r w:rsidR="0078679A" w:rsidRPr="007E032B">
              <w:t xml:space="preserve">  </w:t>
            </w:r>
            <w:r w:rsidR="00157977">
              <w:t xml:space="preserve">,  консультация в </w:t>
            </w:r>
            <w:proofErr w:type="spellStart"/>
            <w:r w:rsidR="00157977">
              <w:t>каб</w:t>
            </w:r>
            <w:proofErr w:type="spellEnd"/>
            <w:r w:rsidR="00157977">
              <w:t>. 5, тел 68939</w:t>
            </w:r>
          </w:p>
          <w:p w:rsidR="007E032B" w:rsidRPr="007E032B" w:rsidRDefault="007E032B" w:rsidP="007E3CD7">
            <w:pPr>
              <w:jc w:val="both"/>
            </w:pPr>
          </w:p>
        </w:tc>
      </w:tr>
      <w:tr w:rsidR="007E3CD7" w:rsidRPr="00545FF8" w:rsidTr="007E032B">
        <w:trPr>
          <w:trHeight w:val="884"/>
        </w:trPr>
        <w:tc>
          <w:tcPr>
            <w:tcW w:w="1986" w:type="dxa"/>
            <w:shd w:val="clear" w:color="auto" w:fill="auto"/>
          </w:tcPr>
          <w:p w:rsidR="007E3CD7" w:rsidRPr="00D73437" w:rsidRDefault="007E3CD7" w:rsidP="0078679A">
            <w:pPr>
              <w:rPr>
                <w:b/>
                <w:sz w:val="28"/>
                <w:szCs w:val="28"/>
              </w:rPr>
            </w:pPr>
            <w:r w:rsidRPr="00D73437">
              <w:rPr>
                <w:b/>
                <w:sz w:val="28"/>
                <w:szCs w:val="28"/>
              </w:rPr>
              <w:t>5. Действие закона</w:t>
            </w:r>
          </w:p>
        </w:tc>
        <w:tc>
          <w:tcPr>
            <w:tcW w:w="8930" w:type="dxa"/>
            <w:shd w:val="clear" w:color="auto" w:fill="auto"/>
          </w:tcPr>
          <w:p w:rsidR="007E3CD7" w:rsidRPr="007E032B" w:rsidRDefault="007E3CD7" w:rsidP="0078679A">
            <w:pPr>
              <w:jc w:val="both"/>
              <w:rPr>
                <w:b/>
              </w:rPr>
            </w:pPr>
            <w:r w:rsidRPr="007E032B">
              <w:rPr>
                <w:b/>
              </w:rPr>
              <w:t xml:space="preserve">с 01.01.2019 года </w:t>
            </w:r>
          </w:p>
        </w:tc>
      </w:tr>
    </w:tbl>
    <w:p w:rsidR="00006CD7" w:rsidRPr="00545FF8" w:rsidRDefault="00006CD7" w:rsidP="00DA3275">
      <w:pPr>
        <w:rPr>
          <w:sz w:val="28"/>
          <w:szCs w:val="28"/>
        </w:rPr>
      </w:pPr>
    </w:p>
    <w:sectPr w:rsidR="00006CD7" w:rsidRPr="00545FF8" w:rsidSect="001B632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5E0"/>
    <w:multiLevelType w:val="hybridMultilevel"/>
    <w:tmpl w:val="C462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4E46"/>
    <w:multiLevelType w:val="hybridMultilevel"/>
    <w:tmpl w:val="66868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84DD7"/>
    <w:multiLevelType w:val="hybridMultilevel"/>
    <w:tmpl w:val="E02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4090C"/>
    <w:multiLevelType w:val="hybridMultilevel"/>
    <w:tmpl w:val="821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2B"/>
    <w:rsid w:val="00006CD7"/>
    <w:rsid w:val="00066B0A"/>
    <w:rsid w:val="000803AB"/>
    <w:rsid w:val="000A5771"/>
    <w:rsid w:val="00157977"/>
    <w:rsid w:val="001B1C19"/>
    <w:rsid w:val="001B6326"/>
    <w:rsid w:val="002869EC"/>
    <w:rsid w:val="00306134"/>
    <w:rsid w:val="004A050E"/>
    <w:rsid w:val="004F3E95"/>
    <w:rsid w:val="00545FF8"/>
    <w:rsid w:val="005A44E7"/>
    <w:rsid w:val="006047EA"/>
    <w:rsid w:val="00611199"/>
    <w:rsid w:val="0070162B"/>
    <w:rsid w:val="00731728"/>
    <w:rsid w:val="0078679A"/>
    <w:rsid w:val="007E032B"/>
    <w:rsid w:val="007E3CD7"/>
    <w:rsid w:val="0082564C"/>
    <w:rsid w:val="009B5BCC"/>
    <w:rsid w:val="00AA2C92"/>
    <w:rsid w:val="00AF2E8A"/>
    <w:rsid w:val="00CE2F23"/>
    <w:rsid w:val="00D106CA"/>
    <w:rsid w:val="00D73437"/>
    <w:rsid w:val="00DA3275"/>
    <w:rsid w:val="00F11E89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5146&amp;sub=28" TargetMode="External"/><Relationship Id="rId13" Type="http://schemas.openxmlformats.org/officeDocument/2006/relationships/hyperlink" Target="http://internet.garant.ru/document/redirect/34700781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2025146&amp;sub=27" TargetMode="External"/><Relationship Id="rId12" Type="http://schemas.openxmlformats.org/officeDocument/2006/relationships/hyperlink" Target="http://internet.garant.ru/document?id=21504364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34625167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21604364/0" TargetMode="External"/><Relationship Id="rId10" Type="http://schemas.openxmlformats.org/officeDocument/2006/relationships/hyperlink" Target="http://internet.garant.ru/document?id=70452688&amp;sub=3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452688&amp;sub=30" TargetMode="External"/><Relationship Id="rId14" Type="http://schemas.openxmlformats.org/officeDocument/2006/relationships/hyperlink" Target="http://internet.garant.ru/document/redirect/347251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EA17-1287-4DB4-B3A8-98A6CC20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Серобаба</dc:creator>
  <cp:lastModifiedBy>Алена Забелина</cp:lastModifiedBy>
  <cp:revision>13</cp:revision>
  <cp:lastPrinted>2019-12-28T00:53:00Z</cp:lastPrinted>
  <dcterms:created xsi:type="dcterms:W3CDTF">2018-07-26T08:24:00Z</dcterms:created>
  <dcterms:modified xsi:type="dcterms:W3CDTF">2020-02-05T02:48:00Z</dcterms:modified>
</cp:coreProperties>
</file>