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7C7F15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A06AC8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24.02.</w:t>
      </w:r>
      <w:r w:rsidR="00690F45"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3C13E8">
        <w:rPr>
          <w:rFonts w:ascii="Times New Roman" w:hAnsi="Times New Roman" w:cs="Times New Roman"/>
          <w:sz w:val="28"/>
          <w:szCs w:val="28"/>
        </w:rPr>
        <w:t>1</w:t>
      </w:r>
      <w:r w:rsidR="00690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A06AC8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4E554F" w:rsidRDefault="004E554F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54F" w:rsidRPr="003E7074" w:rsidRDefault="004E554F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Успенского сельского поселения Успенского района от 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30января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576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Мет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дик</w:t>
      </w:r>
      <w:r w:rsidR="00B753E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расчета платы за резервирование места для создания семейного (р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дового) захоронения, превышающего размер бесплатно предоставляемого места для родственного захоронения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5FA" w:rsidRDefault="00CE45FA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54F" w:rsidRPr="003E7074" w:rsidRDefault="004E554F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</w:p>
    <w:p w:rsidR="00E37580" w:rsidRPr="0077661E" w:rsidRDefault="000A47A6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</w:t>
      </w:r>
      <w:r w:rsidR="00B753E5">
        <w:rPr>
          <w:rFonts w:ascii="Times New Roman" w:hAnsi="Times New Roman" w:cs="Times New Roman"/>
          <w:sz w:val="28"/>
          <w:szCs w:val="28"/>
        </w:rPr>
        <w:t>30января</w:t>
      </w:r>
      <w:r w:rsidR="0077661E">
        <w:rPr>
          <w:rFonts w:ascii="Times New Roman" w:hAnsi="Times New Roman" w:cs="Times New Roman"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sz w:val="28"/>
          <w:szCs w:val="28"/>
        </w:rPr>
        <w:t>1</w:t>
      </w:r>
      <w:r w:rsidR="0077661E" w:rsidRPr="00B753E5">
        <w:rPr>
          <w:rFonts w:ascii="Times New Roman" w:hAnsi="Times New Roman" w:cs="Times New Roman"/>
          <w:sz w:val="28"/>
          <w:szCs w:val="28"/>
        </w:rPr>
        <w:t>«</w:t>
      </w:r>
      <w:r w:rsidR="00B753E5" w:rsidRPr="00B753E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Методики расчета платы за резервирование места для создания семейного (родового) з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хоронения, превышающего размер бесплатно предоставляемого места для родственного захоронения</w:t>
      </w:r>
      <w:r w:rsidR="0077661E" w:rsidRPr="00B753E5">
        <w:rPr>
          <w:rFonts w:ascii="Times New Roman" w:hAnsi="Times New Roman" w:cs="Times New Roman"/>
          <w:bCs/>
          <w:sz w:val="28"/>
          <w:szCs w:val="28"/>
        </w:rPr>
        <w:t>»</w:t>
      </w:r>
      <w:r w:rsidR="004E554F">
        <w:rPr>
          <w:rFonts w:ascii="Times New Roman" w:hAnsi="Times New Roman" w:cs="Times New Roman"/>
          <w:bCs/>
          <w:sz w:val="28"/>
          <w:szCs w:val="28"/>
        </w:rPr>
        <w:t>,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новой редакции (прилаг</w:t>
      </w:r>
      <w:r w:rsid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>
        <w:rPr>
          <w:rFonts w:ascii="Times New Roman" w:hAnsi="Times New Roman" w:cs="Times New Roman"/>
          <w:bCs/>
          <w:sz w:val="28"/>
          <w:szCs w:val="28"/>
        </w:rPr>
        <w:t>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B3" w:rsidRPr="00150BC9" w:rsidRDefault="0077661E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B753E5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</w:t>
      </w:r>
      <w:r w:rsidR="00B753E5" w:rsidRPr="003E7074">
        <w:rPr>
          <w:rFonts w:ascii="Times New Roman" w:hAnsi="Times New Roman" w:cs="Times New Roman"/>
          <w:sz w:val="28"/>
          <w:szCs w:val="28"/>
        </w:rPr>
        <w:t>.</w:t>
      </w:r>
    </w:p>
    <w:p w:rsidR="00831123" w:rsidRDefault="0077661E" w:rsidP="0083112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r w:rsidR="00DB5861" w:rsidRPr="00150BC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</w:t>
      </w:r>
      <w:r w:rsidR="00DB5861" w:rsidRPr="00150BC9">
        <w:rPr>
          <w:rFonts w:ascii="Times New Roman" w:hAnsi="Times New Roman" w:cs="Times New Roman"/>
          <w:sz w:val="28"/>
          <w:szCs w:val="28"/>
        </w:rPr>
        <w:lastRenderedPageBreak/>
        <w:t xml:space="preserve">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>Н.М. Молдованенко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Н.Н. Буркот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EB73FE" w:rsidRPr="00150BC9" w:rsidRDefault="00EB73FE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4F16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A06AC8" w:rsidP="004E554F">
      <w:pPr>
        <w:tabs>
          <w:tab w:val="left" w:pos="793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41656" w:rsidRPr="003E7074">
        <w:rPr>
          <w:rFonts w:ascii="Times New Roman" w:hAnsi="Times New Roman"/>
          <w:sz w:val="28"/>
          <w:szCs w:val="28"/>
        </w:rPr>
        <w:t>Н.Н. Буркот</w:t>
      </w:r>
    </w:p>
    <w:p w:rsidR="004E554F" w:rsidRDefault="004E554F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</w:t>
      </w:r>
      <w:r w:rsidR="00A06AC8">
        <w:rPr>
          <w:rFonts w:ascii="Times New Roman" w:hAnsi="Times New Roman"/>
          <w:sz w:val="28"/>
          <w:szCs w:val="28"/>
        </w:rPr>
        <w:t xml:space="preserve">                            </w:t>
      </w:r>
      <w:r w:rsidRPr="003E7074">
        <w:rPr>
          <w:rFonts w:ascii="Times New Roman" w:hAnsi="Times New Roman"/>
          <w:sz w:val="28"/>
          <w:szCs w:val="28"/>
        </w:rPr>
        <w:t xml:space="preserve">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9F792C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A06AC8" w:rsidRDefault="00A06AC8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B753E5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6AC8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202</w:t>
      </w:r>
      <w:r w:rsidR="003C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06AC8">
        <w:rPr>
          <w:rFonts w:ascii="Times New Roman" w:hAnsi="Times New Roman"/>
          <w:sz w:val="28"/>
          <w:szCs w:val="28"/>
        </w:rPr>
        <w:t>112</w:t>
      </w:r>
      <w:bookmarkStart w:id="1" w:name="_GoBack"/>
      <w:bookmarkEnd w:id="1"/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 xml:space="preserve">Приложение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53E5">
        <w:rPr>
          <w:rFonts w:ascii="Times New Roman" w:hAnsi="Times New Roman"/>
          <w:sz w:val="28"/>
          <w:szCs w:val="28"/>
        </w:rPr>
        <w:t>30</w:t>
      </w:r>
      <w:r w:rsidR="005F362E">
        <w:rPr>
          <w:rFonts w:ascii="Times New Roman" w:hAnsi="Times New Roman"/>
          <w:sz w:val="28"/>
          <w:szCs w:val="28"/>
        </w:rPr>
        <w:t>.0</w:t>
      </w:r>
      <w:r w:rsidR="00B753E5">
        <w:rPr>
          <w:rFonts w:ascii="Times New Roman" w:hAnsi="Times New Roman"/>
          <w:sz w:val="28"/>
          <w:szCs w:val="28"/>
        </w:rPr>
        <w:t>1</w:t>
      </w:r>
      <w:r w:rsidR="005F3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</w:t>
      </w:r>
      <w:r w:rsidR="00B753E5">
        <w:rPr>
          <w:rFonts w:ascii="Times New Roman" w:hAnsi="Times New Roman"/>
          <w:sz w:val="28"/>
          <w:szCs w:val="28"/>
        </w:rPr>
        <w:t>1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53E5" w:rsidRPr="00571139" w:rsidRDefault="00B753E5" w:rsidP="00B753E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139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платы за резервирование места для создания      семейного (родового) захоронения, превышающего размер бесплатно    предоставляемого места для родственного захоронения</w:t>
      </w:r>
    </w:p>
    <w:p w:rsidR="00B753E5" w:rsidRPr="00571139" w:rsidRDefault="00B753E5" w:rsidP="00B753E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53E5" w:rsidRPr="00571139" w:rsidRDefault="00B753E5" w:rsidP="00B753E5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Pr="00571139">
        <w:rPr>
          <w:rFonts w:ascii="Times New Roman" w:hAnsi="Times New Roman" w:cs="Times New Roman"/>
          <w:bCs/>
          <w:sz w:val="28"/>
          <w:szCs w:val="28"/>
        </w:rPr>
        <w:t>Методика расчета платы за резервирование места для созд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 xml:space="preserve">ния семейного (родового) захоронения, превышающего размер бесплатно предоставляемого места для родственного захоронения, </w:t>
      </w:r>
      <w:r w:rsidRPr="00571139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платы </w:t>
      </w:r>
      <w:r w:rsidRPr="00571139">
        <w:rPr>
          <w:rFonts w:ascii="Times New Roman" w:hAnsi="Times New Roman" w:cs="Times New Roman"/>
          <w:bCs/>
          <w:sz w:val="28"/>
          <w:szCs w:val="28"/>
        </w:rPr>
        <w:t>за резервирование места для создания семейного (родового) з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хоронения, превышающего размер бесплатно предоставляемого места для ро</w:t>
      </w:r>
      <w:r w:rsidRPr="00571139">
        <w:rPr>
          <w:rFonts w:ascii="Times New Roman" w:hAnsi="Times New Roman" w:cs="Times New Roman"/>
          <w:bCs/>
          <w:sz w:val="28"/>
          <w:szCs w:val="28"/>
        </w:rPr>
        <w:t>д</w:t>
      </w:r>
      <w:r w:rsidRPr="00571139">
        <w:rPr>
          <w:rFonts w:ascii="Times New Roman" w:hAnsi="Times New Roman" w:cs="Times New Roman"/>
          <w:bCs/>
          <w:sz w:val="28"/>
          <w:szCs w:val="28"/>
        </w:rPr>
        <w:t>ственного захоронения</w:t>
      </w:r>
      <w:r w:rsidRPr="00571139">
        <w:rPr>
          <w:rFonts w:ascii="Times New Roman" w:hAnsi="Times New Roman" w:cs="Times New Roman"/>
          <w:sz w:val="28"/>
          <w:szCs w:val="28"/>
        </w:rPr>
        <w:t>.</w:t>
      </w:r>
    </w:p>
    <w:p w:rsidR="00B753E5" w:rsidRPr="00571139" w:rsidRDefault="00B753E5" w:rsidP="00B753E5">
      <w:pPr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pacing w:val="2"/>
          <w:sz w:val="28"/>
          <w:szCs w:val="28"/>
        </w:rPr>
        <w:t>2. Расчет платы за резервирование места для создания семейного (род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вого) захоронения осуществляется по следующей формуле: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71139">
        <w:rPr>
          <w:rFonts w:ascii="Times New Roman" w:hAnsi="Times New Roman" w:cs="Times New Roman"/>
          <w:sz w:val="28"/>
          <w:szCs w:val="28"/>
        </w:rPr>
        <w:t>ЕП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71139">
        <w:rPr>
          <w:rFonts w:ascii="Times New Roman" w:hAnsi="Times New Roman" w:cs="Times New Roman"/>
          <w:sz w:val="28"/>
          <w:szCs w:val="28"/>
        </w:rPr>
        <w:t xml:space="preserve"> = (S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571139">
        <w:rPr>
          <w:rFonts w:ascii="Times New Roman" w:hAnsi="Times New Roman" w:cs="Times New Roman"/>
          <w:sz w:val="28"/>
          <w:szCs w:val="28"/>
        </w:rPr>
        <w:t xml:space="preserve"> - S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71139">
        <w:rPr>
          <w:rFonts w:ascii="Times New Roman" w:hAnsi="Times New Roman" w:cs="Times New Roman"/>
          <w:sz w:val="28"/>
          <w:szCs w:val="28"/>
        </w:rPr>
        <w:t>) x СТ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571139">
        <w:rPr>
          <w:rFonts w:ascii="Times New Roman" w:hAnsi="Times New Roman" w:cs="Times New Roman"/>
          <w:sz w:val="28"/>
          <w:szCs w:val="28"/>
        </w:rPr>
        <w:t xml:space="preserve"> x (К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r w:rsidRPr="00571139">
        <w:rPr>
          <w:rFonts w:ascii="Times New Roman" w:hAnsi="Times New Roman" w:cs="Times New Roman"/>
          <w:sz w:val="28"/>
          <w:szCs w:val="28"/>
        </w:rPr>
        <w:t>+ К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139">
        <w:rPr>
          <w:rFonts w:ascii="Times New Roman" w:hAnsi="Times New Roman" w:cs="Times New Roman"/>
          <w:sz w:val="28"/>
          <w:szCs w:val="28"/>
        </w:rPr>
        <w:t>, где:</w:t>
      </w:r>
    </w:p>
    <w:p w:rsidR="00B753E5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ЕП</w:t>
      </w:r>
      <w:r w:rsidRPr="00571139">
        <w:rPr>
          <w:sz w:val="28"/>
          <w:szCs w:val="28"/>
          <w:vertAlign w:val="subscript"/>
        </w:rPr>
        <w:t>б</w:t>
      </w:r>
      <w:r w:rsidRPr="00571139">
        <w:rPr>
          <w:spacing w:val="2"/>
          <w:sz w:val="28"/>
          <w:szCs w:val="28"/>
        </w:rPr>
        <w:t> - размер платы за резервирование места для создания семейного (родов</w:t>
      </w:r>
      <w:r w:rsidRPr="00571139">
        <w:rPr>
          <w:spacing w:val="2"/>
          <w:sz w:val="28"/>
          <w:szCs w:val="28"/>
        </w:rPr>
        <w:t>о</w:t>
      </w:r>
      <w:r w:rsidRPr="00571139">
        <w:rPr>
          <w:spacing w:val="2"/>
          <w:sz w:val="28"/>
          <w:szCs w:val="28"/>
        </w:rPr>
        <w:t>го) захоронения</w:t>
      </w:r>
      <w:r>
        <w:rPr>
          <w:spacing w:val="2"/>
          <w:sz w:val="28"/>
          <w:szCs w:val="28"/>
        </w:rPr>
        <w:t>,</w:t>
      </w:r>
      <w:r w:rsidRPr="00571139">
        <w:rPr>
          <w:spacing w:val="2"/>
          <w:sz w:val="28"/>
          <w:szCs w:val="28"/>
        </w:rPr>
        <w:t xml:space="preserve"> в рублях;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S</w:t>
      </w:r>
      <w:r w:rsidRPr="00571139">
        <w:rPr>
          <w:sz w:val="28"/>
          <w:szCs w:val="28"/>
          <w:vertAlign w:val="subscript"/>
        </w:rPr>
        <w:t>общ</w:t>
      </w:r>
      <w:r w:rsidRPr="00571139">
        <w:rPr>
          <w:spacing w:val="2"/>
          <w:sz w:val="28"/>
          <w:szCs w:val="28"/>
        </w:rPr>
        <w:t> - площадь места для создания семейного (родового) захоронения</w:t>
      </w:r>
      <w:r>
        <w:rPr>
          <w:spacing w:val="2"/>
          <w:sz w:val="28"/>
          <w:szCs w:val="28"/>
        </w:rPr>
        <w:t>,</w:t>
      </w:r>
    </w:p>
    <w:p w:rsidR="00B753E5" w:rsidRPr="00571139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vertAlign w:val="subscript"/>
        </w:rPr>
      </w:pPr>
      <w:r w:rsidRPr="00571139">
        <w:rPr>
          <w:spacing w:val="2"/>
          <w:sz w:val="28"/>
          <w:szCs w:val="28"/>
        </w:rPr>
        <w:t>в кв.метрах;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S</w:t>
      </w:r>
      <w:r w:rsidRPr="00571139">
        <w:rPr>
          <w:sz w:val="28"/>
          <w:szCs w:val="28"/>
          <w:vertAlign w:val="subscript"/>
        </w:rPr>
        <w:t>б</w:t>
      </w:r>
      <w:r w:rsidRPr="00571139">
        <w:rPr>
          <w:spacing w:val="2"/>
          <w:sz w:val="28"/>
          <w:szCs w:val="28"/>
        </w:rPr>
        <w:t> - площадь бесплатно предоставляемого места для родственного захорон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ния</w:t>
      </w:r>
      <w:r>
        <w:rPr>
          <w:spacing w:val="2"/>
          <w:sz w:val="28"/>
          <w:szCs w:val="28"/>
        </w:rPr>
        <w:t>,</w:t>
      </w:r>
      <w:r w:rsidRPr="00571139">
        <w:rPr>
          <w:spacing w:val="2"/>
          <w:sz w:val="28"/>
          <w:szCs w:val="28"/>
        </w:rPr>
        <w:t xml:space="preserve"> в кв.метрах;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зук</w:t>
      </w:r>
      <w:r w:rsidRPr="00571139">
        <w:rPr>
          <w:sz w:val="28"/>
          <w:szCs w:val="28"/>
        </w:rPr>
        <w:t xml:space="preserve"> = СТ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sz w:val="28"/>
          <w:szCs w:val="28"/>
        </w:rPr>
        <w:t xml:space="preserve"> / К </w:t>
      </w:r>
      <w:r>
        <w:rPr>
          <w:sz w:val="28"/>
          <w:szCs w:val="28"/>
          <w:vertAlign w:val="subscript"/>
        </w:rPr>
        <w:t>общк</w:t>
      </w:r>
      <w:r>
        <w:rPr>
          <w:sz w:val="28"/>
          <w:szCs w:val="28"/>
        </w:rPr>
        <w:t>,</w:t>
      </w:r>
      <w:r w:rsidRPr="00571139">
        <w:rPr>
          <w:sz w:val="28"/>
          <w:szCs w:val="28"/>
        </w:rPr>
        <w:t>где:</w:t>
      </w:r>
    </w:p>
    <w:p w:rsidR="00B753E5" w:rsidRPr="00571139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зук</w:t>
      </w:r>
      <w:r w:rsidRPr="00571139">
        <w:rPr>
          <w:spacing w:val="2"/>
          <w:sz w:val="28"/>
          <w:szCs w:val="28"/>
        </w:rPr>
        <w:t xml:space="preserve"> - кадастровая стоимость 1 кв. метра земельного участка кладбища, на территории которого резервируется место для создания семейного (родового) </w:t>
      </w:r>
      <w:r w:rsidRPr="00571139">
        <w:rPr>
          <w:spacing w:val="2"/>
          <w:sz w:val="28"/>
          <w:szCs w:val="28"/>
        </w:rPr>
        <w:lastRenderedPageBreak/>
        <w:t>захоронения, в рублях;</w:t>
      </w:r>
      <w:r w:rsidRPr="00571139">
        <w:rPr>
          <w:spacing w:val="2"/>
          <w:sz w:val="28"/>
          <w:szCs w:val="28"/>
        </w:rPr>
        <w:br/>
      </w:r>
    </w:p>
    <w:p w:rsidR="00B753E5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spacing w:val="2"/>
          <w:sz w:val="28"/>
          <w:szCs w:val="28"/>
        </w:rPr>
        <w:t>- кадастровая стоимость земельного участка кладбища, на территории которого резервируется место для создания семейного (родового) захорон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ния, в рублях;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 xml:space="preserve">К 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spacing w:val="2"/>
          <w:sz w:val="28"/>
          <w:szCs w:val="28"/>
        </w:rPr>
        <w:t>- площадь земельного участка кладбища, на территории которого резе</w:t>
      </w:r>
      <w:r w:rsidRPr="00571139">
        <w:rPr>
          <w:spacing w:val="2"/>
          <w:sz w:val="28"/>
          <w:szCs w:val="28"/>
        </w:rPr>
        <w:t>р</w:t>
      </w:r>
      <w:r w:rsidRPr="00571139">
        <w:rPr>
          <w:spacing w:val="2"/>
          <w:sz w:val="28"/>
          <w:szCs w:val="28"/>
        </w:rPr>
        <w:t>вируется место для создания семейного (родового) захоронения, в кв. 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К</w:t>
      </w:r>
      <w:r w:rsidRPr="00571139">
        <w:rPr>
          <w:sz w:val="28"/>
          <w:szCs w:val="28"/>
          <w:vertAlign w:val="subscript"/>
        </w:rPr>
        <w:t>вгк</w:t>
      </w:r>
      <w:r w:rsidRPr="00571139">
        <w:rPr>
          <w:spacing w:val="2"/>
          <w:sz w:val="28"/>
          <w:szCs w:val="28"/>
        </w:rPr>
        <w:t> - коэффициент близости места, предоставляемого для создания семейного (родового) захоронения, к входной группе кладбища</w:t>
      </w:r>
      <w:r>
        <w:rPr>
          <w:spacing w:val="2"/>
          <w:sz w:val="28"/>
          <w:szCs w:val="28"/>
        </w:rPr>
        <w:t xml:space="preserve"> (центральный въезд)</w:t>
      </w:r>
      <w:r w:rsidRPr="00571139">
        <w:rPr>
          <w:spacing w:val="2"/>
          <w:sz w:val="28"/>
          <w:szCs w:val="28"/>
        </w:rPr>
        <w:t>, к</w:t>
      </w:r>
      <w:r w:rsidRPr="00571139">
        <w:rPr>
          <w:spacing w:val="2"/>
          <w:sz w:val="28"/>
          <w:szCs w:val="28"/>
        </w:rPr>
        <w:t>о</w:t>
      </w:r>
      <w:r w:rsidRPr="00571139">
        <w:rPr>
          <w:spacing w:val="2"/>
          <w:sz w:val="28"/>
          <w:szCs w:val="28"/>
        </w:rPr>
        <w:t>торый определяется согласно таблице 1.</w:t>
      </w:r>
    </w:p>
    <w:p w:rsidR="00B753E5" w:rsidRPr="00571139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2593"/>
      </w:tblGrid>
      <w:tr w:rsidR="00B753E5" w:rsidRPr="00571139" w:rsidTr="004E554F">
        <w:trPr>
          <w:trHeight w:val="15"/>
        </w:trPr>
        <w:tc>
          <w:tcPr>
            <w:tcW w:w="8501" w:type="dxa"/>
            <w:hideMark/>
          </w:tcPr>
          <w:p w:rsidR="00B753E5" w:rsidRPr="00571139" w:rsidRDefault="00B753E5" w:rsidP="004E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753E5" w:rsidRPr="00571139" w:rsidRDefault="00B753E5" w:rsidP="004E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предоставляемого для создания семейного (родового) захоронения, по прямой линии до ворот для въе</w:t>
            </w:r>
            <w:r w:rsidRPr="00571139">
              <w:rPr>
                <w:sz w:val="28"/>
                <w:szCs w:val="28"/>
              </w:rPr>
              <w:t>з</w:t>
            </w:r>
            <w:r w:rsidRPr="00571139">
              <w:rPr>
                <w:sz w:val="28"/>
                <w:szCs w:val="28"/>
              </w:rPr>
              <w:t>да/выезда автотранспорта входной группы кладбища</w:t>
            </w:r>
            <w:r>
              <w:rPr>
                <w:sz w:val="28"/>
                <w:szCs w:val="28"/>
              </w:rPr>
              <w:t xml:space="preserve"> (центральный въезд)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коэфф</w:t>
            </w:r>
            <w:r w:rsidRPr="00571139">
              <w:rPr>
                <w:sz w:val="28"/>
                <w:szCs w:val="28"/>
              </w:rPr>
              <w:t>и</w:t>
            </w:r>
            <w:r w:rsidRPr="00571139">
              <w:rPr>
                <w:sz w:val="28"/>
                <w:szCs w:val="28"/>
              </w:rPr>
              <w:t>циента</w:t>
            </w:r>
            <w:r w:rsidR="000D5A6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14325" cy="219710"/>
                      <wp:effectExtent l="0" t="0" r="0" b="0"/>
                      <wp:docPr id="3" name="AutoShape 1" descr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4.7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571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00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и свыше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</w:tbl>
    <w:p w:rsidR="00B753E5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К</w:t>
      </w:r>
      <w:r w:rsidRPr="00571139">
        <w:rPr>
          <w:sz w:val="28"/>
          <w:szCs w:val="28"/>
          <w:vertAlign w:val="subscript"/>
        </w:rPr>
        <w:t>дк</w:t>
      </w:r>
      <w:r w:rsidRPr="00571139">
        <w:rPr>
          <w:spacing w:val="2"/>
          <w:sz w:val="28"/>
          <w:szCs w:val="28"/>
        </w:rPr>
        <w:t> - коэффициент близости места, предоставляемого для создания семейного (родового) захоронения, к дорогам на территории кладбища, который опред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ляется согласно таблице 2.</w:t>
      </w:r>
    </w:p>
    <w:p w:rsidR="00B753E5" w:rsidRPr="00571139" w:rsidRDefault="00B753E5" w:rsidP="00B753E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451"/>
      </w:tblGrid>
      <w:tr w:rsidR="00B753E5" w:rsidRPr="00571139" w:rsidTr="004E554F">
        <w:trPr>
          <w:trHeight w:val="15"/>
        </w:trPr>
        <w:tc>
          <w:tcPr>
            <w:tcW w:w="8686" w:type="dxa"/>
            <w:hideMark/>
          </w:tcPr>
          <w:p w:rsidR="00B753E5" w:rsidRPr="00571139" w:rsidRDefault="00B753E5" w:rsidP="004E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753E5" w:rsidRPr="00571139" w:rsidRDefault="00B753E5" w:rsidP="004E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rPr>
          <w:trHeight w:val="2059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9353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предоставляемого для создания семейного (родового) захоронения, по прямой линии до границы ближайшей асфальтированной дороги</w:t>
            </w:r>
            <w:r w:rsidR="004E554F">
              <w:rPr>
                <w:sz w:val="28"/>
                <w:szCs w:val="28"/>
              </w:rPr>
              <w:t xml:space="preserve">, на кладбище (для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с.Успенское) или грунтовой дороги, на кладбище (все кладбища, кроме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с. Успенское)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</w:t>
            </w:r>
            <w:r w:rsidRPr="00571139">
              <w:rPr>
                <w:sz w:val="28"/>
                <w:szCs w:val="28"/>
              </w:rPr>
              <w:t>ф</w:t>
            </w:r>
            <w:r w:rsidRPr="00571139">
              <w:rPr>
                <w:sz w:val="28"/>
                <w:szCs w:val="28"/>
              </w:rPr>
              <w:t>фициента</w:t>
            </w:r>
            <w:r w:rsidR="000D5A6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78130" cy="241300"/>
                      <wp:effectExtent l="0" t="0" r="0" b="0"/>
                      <wp:docPr id="1" name="AutoShape 2" descr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813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1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75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76м </w:t>
            </w:r>
            <w:r w:rsidRPr="0057113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4E55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571139">
              <w:rPr>
                <w:sz w:val="28"/>
                <w:szCs w:val="28"/>
              </w:rPr>
              <w:t>1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35312" w:rsidP="004E55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</w:tbl>
    <w:p w:rsidR="00895629" w:rsidRDefault="00F0589C" w:rsidP="00B75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Н.Н.Буркот</w:t>
      </w:r>
    </w:p>
    <w:sectPr w:rsidR="003A4E83" w:rsidSect="004E554F">
      <w:pgSz w:w="11906" w:h="16838"/>
      <w:pgMar w:top="851" w:right="567" w:bottom="184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C8" w:rsidRDefault="00A06AC8" w:rsidP="00EE64B8">
      <w:r>
        <w:separator/>
      </w:r>
    </w:p>
  </w:endnote>
  <w:endnote w:type="continuationSeparator" w:id="0">
    <w:p w:rsidR="00A06AC8" w:rsidRDefault="00A06AC8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C8" w:rsidRDefault="00A06AC8" w:rsidP="00EE64B8">
      <w:r>
        <w:separator/>
      </w:r>
    </w:p>
  </w:footnote>
  <w:footnote w:type="continuationSeparator" w:id="0">
    <w:p w:rsidR="00A06AC8" w:rsidRDefault="00A06AC8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049B8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D4A83"/>
    <w:rsid w:val="000D5A62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0885"/>
    <w:rsid w:val="0027494F"/>
    <w:rsid w:val="00280C3C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D6B29"/>
    <w:rsid w:val="003E65E0"/>
    <w:rsid w:val="003E7074"/>
    <w:rsid w:val="003F11D4"/>
    <w:rsid w:val="003F7776"/>
    <w:rsid w:val="004179CB"/>
    <w:rsid w:val="0043189C"/>
    <w:rsid w:val="004670B8"/>
    <w:rsid w:val="00470562"/>
    <w:rsid w:val="00484D23"/>
    <w:rsid w:val="004862A2"/>
    <w:rsid w:val="004B41BA"/>
    <w:rsid w:val="004C2DE1"/>
    <w:rsid w:val="004C785D"/>
    <w:rsid w:val="004D2ABC"/>
    <w:rsid w:val="004E554F"/>
    <w:rsid w:val="004F7B7F"/>
    <w:rsid w:val="005037E8"/>
    <w:rsid w:val="00505196"/>
    <w:rsid w:val="005211F7"/>
    <w:rsid w:val="00522000"/>
    <w:rsid w:val="0052571C"/>
    <w:rsid w:val="005503FE"/>
    <w:rsid w:val="00550502"/>
    <w:rsid w:val="00554056"/>
    <w:rsid w:val="005554E4"/>
    <w:rsid w:val="00555B88"/>
    <w:rsid w:val="00561F3D"/>
    <w:rsid w:val="00571139"/>
    <w:rsid w:val="00571AE4"/>
    <w:rsid w:val="00576F17"/>
    <w:rsid w:val="00577BD7"/>
    <w:rsid w:val="00580EFB"/>
    <w:rsid w:val="00591A26"/>
    <w:rsid w:val="0059502C"/>
    <w:rsid w:val="00595F2A"/>
    <w:rsid w:val="005B5C72"/>
    <w:rsid w:val="005C12D0"/>
    <w:rsid w:val="005D68B3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1F4A"/>
    <w:rsid w:val="0062213D"/>
    <w:rsid w:val="00642C9C"/>
    <w:rsid w:val="0065044F"/>
    <w:rsid w:val="00653E99"/>
    <w:rsid w:val="00654796"/>
    <w:rsid w:val="00662FD6"/>
    <w:rsid w:val="00672B0E"/>
    <w:rsid w:val="00675542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5312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06AC8"/>
    <w:rsid w:val="00A21B43"/>
    <w:rsid w:val="00A31E1B"/>
    <w:rsid w:val="00A4710E"/>
    <w:rsid w:val="00A56B07"/>
    <w:rsid w:val="00A56CDA"/>
    <w:rsid w:val="00A60CD0"/>
    <w:rsid w:val="00A7438C"/>
    <w:rsid w:val="00A75E04"/>
    <w:rsid w:val="00A84310"/>
    <w:rsid w:val="00A85FD1"/>
    <w:rsid w:val="00AA3C50"/>
    <w:rsid w:val="00AA4659"/>
    <w:rsid w:val="00AA4C93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753E5"/>
    <w:rsid w:val="00B85B80"/>
    <w:rsid w:val="00B91B36"/>
    <w:rsid w:val="00B95277"/>
    <w:rsid w:val="00BA5006"/>
    <w:rsid w:val="00BB0B0F"/>
    <w:rsid w:val="00BB135B"/>
    <w:rsid w:val="00BB45B1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63D2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655DA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B73FE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A2069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7B44-53E0-45D7-855F-B8D0637E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2</cp:revision>
  <cp:lastPrinted>2021-02-25T06:04:00Z</cp:lastPrinted>
  <dcterms:created xsi:type="dcterms:W3CDTF">2021-02-25T07:33:00Z</dcterms:created>
  <dcterms:modified xsi:type="dcterms:W3CDTF">2021-02-25T07:33:00Z</dcterms:modified>
</cp:coreProperties>
</file>