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6D133E" w:rsidRDefault="008E55C1" w:rsidP="006D133E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Pr="006D133E" w:rsidRDefault="006D133E" w:rsidP="006D133E">
      <w:pPr>
        <w:rPr>
          <w:b/>
          <w:sz w:val="36"/>
          <w:szCs w:val="36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>
        <w:rPr>
          <w:sz w:val="28"/>
          <w:szCs w:val="28"/>
        </w:rPr>
        <w:t xml:space="preserve"> 25.01.2017 г. </w:t>
      </w:r>
      <w:r w:rsidR="005D50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D50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0E9">
        <w:rPr>
          <w:sz w:val="28"/>
          <w:szCs w:val="28"/>
        </w:rPr>
        <w:t xml:space="preserve"> </w:t>
      </w:r>
      <w:r w:rsidR="00F27C2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84527">
        <w:rPr>
          <w:sz w:val="28"/>
          <w:szCs w:val="28"/>
        </w:rPr>
        <w:t>№</w:t>
      </w:r>
      <w:r w:rsidR="00F27C24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  <w:r w:rsidR="00F27C24">
        <w:rPr>
          <w:sz w:val="28"/>
          <w:szCs w:val="28"/>
        </w:rPr>
        <w:t xml:space="preserve"> 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6D3F59">
        <w:rPr>
          <w:sz w:val="28"/>
          <w:szCs w:val="28"/>
        </w:rPr>
        <w:t xml:space="preserve">Внести в </w:t>
      </w:r>
      <w:hyperlink r:id="rId9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>г. № 53 "Об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 xml:space="preserve">зону </w:t>
      </w:r>
      <w:r w:rsidR="00B2389E">
        <w:rPr>
          <w:sz w:val="28"/>
          <w:szCs w:val="28"/>
        </w:rPr>
        <w:t>культового назначения</w:t>
      </w:r>
      <w:r w:rsidR="009C08A0">
        <w:rPr>
          <w:sz w:val="28"/>
          <w:szCs w:val="28"/>
        </w:rPr>
        <w:t xml:space="preserve"> (ОДЗ 210)</w:t>
      </w:r>
      <w:r w:rsidR="00126230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6D133E" w:rsidRPr="00903507" w:rsidRDefault="006D133E" w:rsidP="006D133E">
      <w:pPr>
        <w:spacing w:before="240"/>
        <w:rPr>
          <w:sz w:val="28"/>
          <w:szCs w:val="28"/>
        </w:rPr>
      </w:pPr>
      <w:r w:rsidRPr="00903507">
        <w:rPr>
          <w:sz w:val="28"/>
          <w:szCs w:val="28"/>
        </w:rPr>
        <w:t>Глава городского поселения</w:t>
      </w:r>
    </w:p>
    <w:p w:rsidR="006D133E" w:rsidRPr="00903507" w:rsidRDefault="006D133E" w:rsidP="006D133E">
      <w:pPr>
        <w:tabs>
          <w:tab w:val="left" w:pos="7371"/>
        </w:tabs>
        <w:rPr>
          <w:sz w:val="28"/>
          <w:szCs w:val="28"/>
        </w:rPr>
      </w:pPr>
      <w:r w:rsidRPr="00903507">
        <w:rPr>
          <w:sz w:val="28"/>
          <w:szCs w:val="28"/>
        </w:rPr>
        <w:t>Тельминского муниципального образования</w:t>
      </w:r>
      <w:r w:rsidRPr="00903507">
        <w:rPr>
          <w:sz w:val="28"/>
          <w:szCs w:val="28"/>
        </w:rPr>
        <w:tab/>
        <w:t xml:space="preserve">    М.А. Ерофеев</w:t>
      </w:r>
    </w:p>
    <w:p w:rsidR="006D133E" w:rsidRPr="00903507" w:rsidRDefault="006D133E" w:rsidP="006D133E">
      <w:pPr>
        <w:shd w:val="clear" w:color="auto" w:fill="FFFFFF"/>
        <w:rPr>
          <w:color w:val="000000"/>
          <w:spacing w:val="3"/>
          <w:szCs w:val="28"/>
        </w:rPr>
      </w:pPr>
    </w:p>
    <w:p w:rsidR="006D133E" w:rsidRPr="00903507" w:rsidRDefault="006D133E" w:rsidP="006D133E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903507">
        <w:rPr>
          <w:color w:val="000000"/>
          <w:spacing w:val="3"/>
          <w:sz w:val="28"/>
          <w:szCs w:val="28"/>
        </w:rPr>
        <w:t>Председатель Думы городского поселения</w:t>
      </w:r>
    </w:p>
    <w:p w:rsidR="006D133E" w:rsidRPr="00903507" w:rsidRDefault="006D133E" w:rsidP="006D133E">
      <w:pPr>
        <w:tabs>
          <w:tab w:val="left" w:pos="7371"/>
        </w:tabs>
        <w:rPr>
          <w:sz w:val="28"/>
          <w:szCs w:val="28"/>
        </w:rPr>
      </w:pPr>
      <w:r w:rsidRPr="00903507">
        <w:rPr>
          <w:sz w:val="28"/>
          <w:szCs w:val="28"/>
        </w:rPr>
        <w:t>Тельминского муниципального образования</w:t>
      </w:r>
      <w:r w:rsidRPr="00903507">
        <w:rPr>
          <w:sz w:val="28"/>
          <w:szCs w:val="28"/>
        </w:rPr>
        <w:tab/>
        <w:t xml:space="preserve">    Е.И. Гришина</w:t>
      </w:r>
    </w:p>
    <w:p w:rsidR="00907957" w:rsidRDefault="00907957" w:rsidP="00907957">
      <w:pPr>
        <w:tabs>
          <w:tab w:val="left" w:pos="7371"/>
        </w:tabs>
        <w:rPr>
          <w:sz w:val="28"/>
          <w:szCs w:val="28"/>
        </w:rPr>
      </w:pPr>
    </w:p>
    <w:p w:rsidR="006D133E" w:rsidRDefault="006D133E" w:rsidP="002A0614">
      <w:pPr>
        <w:jc w:val="right"/>
      </w:pPr>
    </w:p>
    <w:p w:rsidR="004F2DE5" w:rsidRDefault="002A0614" w:rsidP="002A0614">
      <w:pPr>
        <w:jc w:val="right"/>
      </w:pPr>
      <w:r>
        <w:t xml:space="preserve"> </w:t>
      </w:r>
    </w:p>
    <w:p w:rsidR="00E1499C" w:rsidRDefault="002105BB" w:rsidP="006D133E">
      <w:pPr>
        <w:ind w:left="4821" w:firstLine="708"/>
      </w:pPr>
      <w:r>
        <w:lastRenderedPageBreak/>
        <w:t>Утверждено</w:t>
      </w:r>
    </w:p>
    <w:p w:rsidR="002105BB" w:rsidRDefault="00E1499C" w:rsidP="006D133E">
      <w:pPr>
        <w:pStyle w:val="ab"/>
        <w:tabs>
          <w:tab w:val="left" w:pos="5954"/>
        </w:tabs>
        <w:ind w:left="5529"/>
      </w:pPr>
      <w:r>
        <w:t>Р</w:t>
      </w:r>
      <w:r w:rsidR="002105BB">
        <w:t>ешением Думы</w:t>
      </w:r>
    </w:p>
    <w:p w:rsidR="002105BB" w:rsidRDefault="00E1499C" w:rsidP="006D133E">
      <w:pPr>
        <w:pStyle w:val="ab"/>
        <w:tabs>
          <w:tab w:val="left" w:pos="5954"/>
          <w:tab w:val="left" w:pos="6096"/>
          <w:tab w:val="left" w:pos="6379"/>
        </w:tabs>
        <w:ind w:left="5529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6D133E">
      <w:pPr>
        <w:pStyle w:val="ab"/>
        <w:tabs>
          <w:tab w:val="left" w:pos="5954"/>
        </w:tabs>
        <w:ind w:left="5529"/>
      </w:pPr>
      <w:r>
        <w:t xml:space="preserve">муниципального образования </w:t>
      </w:r>
    </w:p>
    <w:p w:rsidR="002105BB" w:rsidRDefault="002105BB" w:rsidP="006D133E">
      <w:pPr>
        <w:pStyle w:val="ab"/>
        <w:tabs>
          <w:tab w:val="left" w:pos="5954"/>
        </w:tabs>
        <w:ind w:left="5529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  <w:bookmarkStart w:id="0" w:name="_GoBack"/>
      <w:bookmarkEnd w:id="0"/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№95 от 24.09.2014; №106 от 19.11.2014</w:t>
      </w:r>
      <w:r w:rsidR="002A0614">
        <w:rPr>
          <w:b/>
          <w:lang w:eastAsia="x-none"/>
        </w:rPr>
        <w:t>; № 127 от 29.04.2015</w:t>
      </w:r>
      <w:r w:rsidR="006B1D40">
        <w:rPr>
          <w:b/>
          <w:lang w:eastAsia="x-none"/>
        </w:rPr>
        <w:t>; №136 от 26.08.2015</w:t>
      </w:r>
      <w:r w:rsidR="001F110A">
        <w:rPr>
          <w:b/>
          <w:lang w:eastAsia="x-none"/>
        </w:rPr>
        <w:t xml:space="preserve">; №173 </w:t>
      </w:r>
      <w:proofErr w:type="gramStart"/>
      <w:r w:rsidR="001F110A">
        <w:rPr>
          <w:b/>
          <w:lang w:eastAsia="x-none"/>
        </w:rPr>
        <w:t>от</w:t>
      </w:r>
      <w:proofErr w:type="gramEnd"/>
      <w:r w:rsidR="001F110A">
        <w:rPr>
          <w:b/>
          <w:lang w:eastAsia="x-none"/>
        </w:rPr>
        <w:t xml:space="preserve"> 31.08.2016</w:t>
      </w:r>
      <w:r w:rsidR="009C08A0">
        <w:rPr>
          <w:b/>
          <w:lang w:eastAsia="x-none"/>
        </w:rPr>
        <w:t>;№176 от 26.10.2016</w:t>
      </w:r>
      <w:r w:rsidR="006D133E">
        <w:rPr>
          <w:b/>
          <w:lang w:eastAsia="x-none"/>
        </w:rPr>
        <w:t>; №189 от 25.01.2017</w:t>
      </w:r>
      <w:r w:rsidR="00FC139D">
        <w:rPr>
          <w:b/>
          <w:lang w:eastAsia="x-none"/>
        </w:rPr>
        <w:t xml:space="preserve">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1F110A">
        <w:rPr>
          <w:b/>
          <w:lang w:eastAsia="x-none"/>
        </w:rPr>
        <w:t>6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C08A0" w:rsidRPr="007D4E0B" w:rsidRDefault="00C10507" w:rsidP="009C08A0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9C08A0" w:rsidRPr="007D4E0B">
        <w:rPr>
          <w:b/>
          <w:szCs w:val="20"/>
          <w:u w:val="single"/>
        </w:rPr>
        <w:lastRenderedPageBreak/>
        <w:t>ЗОНА КУЛЬТОВОГО НАЗНАЧЕНИЯ (ОДЗ 210)</w:t>
      </w:r>
    </w:p>
    <w:p w:rsidR="009C08A0" w:rsidRPr="007D4E0B" w:rsidRDefault="009C08A0" w:rsidP="009C08A0">
      <w:pPr>
        <w:jc w:val="center"/>
        <w:rPr>
          <w:b/>
          <w:szCs w:val="20"/>
          <w:u w:val="single"/>
        </w:rPr>
      </w:pPr>
    </w:p>
    <w:p w:rsidR="009C08A0" w:rsidRPr="007D4E0B" w:rsidRDefault="009C08A0" w:rsidP="009C08A0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C08A0" w:rsidRPr="007D4E0B" w:rsidRDefault="009C08A0" w:rsidP="009C08A0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C08A0" w:rsidRPr="007D4E0B" w:rsidTr="009C08A0">
        <w:trPr>
          <w:trHeight w:val="569"/>
        </w:trPr>
        <w:tc>
          <w:tcPr>
            <w:tcW w:w="2448" w:type="dxa"/>
            <w:vAlign w:val="center"/>
          </w:tcPr>
          <w:p w:rsidR="009C08A0" w:rsidRPr="007D4E0B" w:rsidRDefault="009C08A0" w:rsidP="009C08A0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C08A0" w:rsidRPr="007D4E0B" w:rsidRDefault="009C08A0" w:rsidP="009C08A0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C08A0" w:rsidRPr="007D4E0B" w:rsidRDefault="009C08A0" w:rsidP="009C08A0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08A0" w:rsidRPr="007D4E0B" w:rsidTr="009C08A0">
        <w:tc>
          <w:tcPr>
            <w:tcW w:w="2448" w:type="dxa"/>
          </w:tcPr>
          <w:p w:rsidR="009C08A0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9C08A0" w:rsidRDefault="009C08A0" w:rsidP="009C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9C08A0" w:rsidRPr="007D4E0B" w:rsidRDefault="009C08A0" w:rsidP="009C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 для постоянного проживания священнослужителей</w:t>
            </w:r>
          </w:p>
        </w:tc>
        <w:tc>
          <w:tcPr>
            <w:tcW w:w="5031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9C08A0" w:rsidRPr="007D4E0B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C08A0" w:rsidRPr="007D4E0B" w:rsidRDefault="009C08A0" w:rsidP="009C08A0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</w:p>
        </w:tc>
      </w:tr>
    </w:tbl>
    <w:p w:rsidR="009C08A0" w:rsidRPr="007D4E0B" w:rsidRDefault="009C08A0" w:rsidP="009C08A0">
      <w:pPr>
        <w:rPr>
          <w:sz w:val="20"/>
          <w:szCs w:val="20"/>
        </w:rPr>
      </w:pPr>
    </w:p>
    <w:p w:rsidR="009C08A0" w:rsidRPr="007D4E0B" w:rsidRDefault="009C08A0" w:rsidP="009C08A0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9C08A0" w:rsidRPr="007D4E0B" w:rsidRDefault="009C08A0" w:rsidP="009C08A0">
      <w:pPr>
        <w:rPr>
          <w:sz w:val="20"/>
          <w:szCs w:val="20"/>
        </w:rPr>
      </w:pPr>
    </w:p>
    <w:p w:rsidR="009C08A0" w:rsidRPr="007D4E0B" w:rsidRDefault="009C08A0" w:rsidP="009C08A0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9C08A0" w:rsidRPr="007D4E0B" w:rsidRDefault="009C08A0" w:rsidP="009C08A0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9C08A0" w:rsidRPr="007D4E0B" w:rsidTr="009C08A0">
        <w:trPr>
          <w:trHeight w:val="384"/>
        </w:trPr>
        <w:tc>
          <w:tcPr>
            <w:tcW w:w="2448" w:type="dxa"/>
            <w:vAlign w:val="center"/>
          </w:tcPr>
          <w:p w:rsidR="009C08A0" w:rsidRPr="007D4E0B" w:rsidRDefault="009C08A0" w:rsidP="009C08A0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C08A0" w:rsidRPr="007D4E0B" w:rsidRDefault="009C08A0" w:rsidP="009C08A0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9C08A0" w:rsidRPr="007D4E0B" w:rsidRDefault="009C08A0" w:rsidP="009C08A0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08A0" w:rsidRPr="007D4E0B" w:rsidTr="009C08A0">
        <w:trPr>
          <w:trHeight w:val="206"/>
        </w:trPr>
        <w:tc>
          <w:tcPr>
            <w:tcW w:w="2448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9C08A0" w:rsidRPr="007D4E0B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</w:p>
        </w:tc>
      </w:tr>
      <w:tr w:rsidR="009C08A0" w:rsidRPr="007D4E0B" w:rsidTr="009C08A0">
        <w:trPr>
          <w:trHeight w:val="206"/>
        </w:trPr>
        <w:tc>
          <w:tcPr>
            <w:tcW w:w="2448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C08A0" w:rsidRPr="007D4E0B" w:rsidRDefault="009C08A0" w:rsidP="009C08A0">
            <w:pPr>
              <w:rPr>
                <w:sz w:val="20"/>
                <w:szCs w:val="20"/>
              </w:rPr>
            </w:pPr>
          </w:p>
        </w:tc>
      </w:tr>
    </w:tbl>
    <w:p w:rsidR="009C08A0" w:rsidRDefault="009C08A0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B2389E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B2389E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4A0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  <w:r w:rsidRPr="007D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26230" w:rsidP="001262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 xml:space="preserve">объектов </w:t>
            </w:r>
            <w:r w:rsidRPr="007D4E0B">
              <w:rPr>
                <w:sz w:val="20"/>
                <w:szCs w:val="20"/>
              </w:rPr>
              <w:lastRenderedPageBreak/>
              <w:t>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хранения индивидуального </w:t>
            </w:r>
            <w:r w:rsidRPr="007D4E0B">
              <w:rPr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</w:t>
            </w:r>
            <w:r w:rsidRPr="007D4E0B">
              <w:rPr>
                <w:sz w:val="20"/>
                <w:szCs w:val="20"/>
              </w:rPr>
              <w:lastRenderedPageBreak/>
              <w:t>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lastRenderedPageBreak/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703640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действующим </w:t>
            </w:r>
            <w:r w:rsidRPr="00703640">
              <w:rPr>
                <w:sz w:val="20"/>
                <w:szCs w:val="20"/>
              </w:rPr>
              <w:lastRenderedPageBreak/>
              <w:t>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назначения в санитарно-защитных зонах, установленных в </w:t>
            </w:r>
            <w:r w:rsidRPr="007D4E0B">
              <w:rPr>
                <w:sz w:val="20"/>
                <w:szCs w:val="20"/>
              </w:rPr>
              <w:lastRenderedPageBreak/>
              <w:t>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D4E0B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действующим законодательством </w:t>
            </w:r>
            <w:r w:rsidRPr="007D4E0B">
              <w:rPr>
                <w:sz w:val="20"/>
                <w:szCs w:val="20"/>
              </w:rPr>
              <w:lastRenderedPageBreak/>
              <w:t>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социального и коммунально-бытового </w:t>
            </w:r>
            <w:r w:rsidRPr="007D4E0B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lastRenderedPageBreak/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C10507" w:rsidRDefault="00C10507" w:rsidP="00C1050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29" w:rsidRDefault="00105229">
      <w:r>
        <w:separator/>
      </w:r>
    </w:p>
  </w:endnote>
  <w:endnote w:type="continuationSeparator" w:id="0">
    <w:p w:rsidR="00105229" w:rsidRDefault="0010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29" w:rsidRDefault="00105229">
      <w:r>
        <w:separator/>
      </w:r>
    </w:p>
  </w:footnote>
  <w:footnote w:type="continuationSeparator" w:id="0">
    <w:p w:rsidR="00105229" w:rsidRDefault="0010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05229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D3267"/>
    <w:rsid w:val="001D6D38"/>
    <w:rsid w:val="001F110A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D45CA"/>
    <w:rsid w:val="005D50E9"/>
    <w:rsid w:val="005D7F63"/>
    <w:rsid w:val="005F03E2"/>
    <w:rsid w:val="005F1C34"/>
    <w:rsid w:val="00611AAB"/>
    <w:rsid w:val="00620A67"/>
    <w:rsid w:val="00626A75"/>
    <w:rsid w:val="0063423E"/>
    <w:rsid w:val="00637C40"/>
    <w:rsid w:val="00644F06"/>
    <w:rsid w:val="0068111F"/>
    <w:rsid w:val="006A536A"/>
    <w:rsid w:val="006A6B80"/>
    <w:rsid w:val="006B1D40"/>
    <w:rsid w:val="006B5442"/>
    <w:rsid w:val="006B6431"/>
    <w:rsid w:val="006C2731"/>
    <w:rsid w:val="006D133E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A4783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A06DE9"/>
    <w:rsid w:val="00A80B7C"/>
    <w:rsid w:val="00AA4EE3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64A4"/>
    <w:rsid w:val="00BC0A01"/>
    <w:rsid w:val="00BF038F"/>
    <w:rsid w:val="00C0212E"/>
    <w:rsid w:val="00C0718C"/>
    <w:rsid w:val="00C10507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A23D-165A-4400-80C1-D9EF0B5E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28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12</cp:revision>
  <cp:lastPrinted>2017-01-25T06:04:00Z</cp:lastPrinted>
  <dcterms:created xsi:type="dcterms:W3CDTF">2013-09-13T06:32:00Z</dcterms:created>
  <dcterms:modified xsi:type="dcterms:W3CDTF">2017-01-25T06:05:00Z</dcterms:modified>
</cp:coreProperties>
</file>