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C04553"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32D" w:rsidRPr="004B76D1" w:rsidRDefault="00E5232D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4B76D1" w:rsidRDefault="00C04553" w:rsidP="002C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14.11</w:t>
      </w:r>
      <w:r w:rsidR="0059124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152</w:t>
      </w:r>
    </w:p>
    <w:p w:rsidR="003F429A" w:rsidRPr="004B76D1" w:rsidRDefault="003F429A" w:rsidP="002C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45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E2B2D" w:rsidRPr="004B76D1" w:rsidRDefault="00AE2B2D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4B76D1" w:rsidRDefault="003F429A" w:rsidP="00A1559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отдельных положений федеральных законов в области противодействия коррупции</w:t>
      </w:r>
    </w:p>
    <w:p w:rsidR="002C467F" w:rsidRPr="004B76D1" w:rsidRDefault="002C467F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2D" w:rsidRPr="004B76D1" w:rsidRDefault="003F429A" w:rsidP="004B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E2B2D" w:rsidRPr="004B7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Федерации,</w:t>
        </w:r>
      </w:hyperlink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</w:t>
      </w:r>
      <w:r w:rsidR="00A1559C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B2D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BA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B2D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73E53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</w:t>
      </w:r>
      <w:r w:rsidR="00A1559C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</w:t>
      </w:r>
      <w:r w:rsidR="00473E53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2B2D"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AE2B2D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F429A" w:rsidRPr="004B76D1" w:rsidRDefault="003F429A" w:rsidP="003F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F429A" w:rsidRPr="004B76D1" w:rsidRDefault="003F429A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3F429A" w:rsidRDefault="003F429A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депутата Со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Хабаровского края, выборного должностного лица местного самоуправления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Хабаровского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 муниципального</w:t>
      </w:r>
      <w:r w:rsidR="0002065D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Хабаровского к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2065D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75534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="00A217E4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119BA" w:rsidRPr="00B119BA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сообщении лицами, замещающими муниципальные должности выборного должностного лица местного самоуправления </w:t>
      </w:r>
      <w:r w:rsidRPr="00B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«Село Маяк</w:t>
      </w:r>
      <w:r w:rsidRPr="00B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Pr="00B1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осуществляющими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2 к настоящему решению.</w:t>
      </w:r>
    </w:p>
    <w:p w:rsidR="003F429A" w:rsidRPr="00B119BA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уведомления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 депутатами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 о возникновении личной заинтересованности при исполнении полномочий депутата, которая может привести к конфликту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согласно приложению 3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3F429A" w:rsidRPr="004B76D1" w:rsidRDefault="003F429A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Признать утратившим силу решение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Хабаровского края от 25</w:t>
      </w:r>
      <w:r w:rsid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предоставлении депутатами Со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установленных законодательством Российской Федерации».</w:t>
      </w:r>
    </w:p>
    <w:p w:rsidR="003F429A" w:rsidRPr="004B76D1" w:rsidRDefault="003F429A" w:rsidP="00E5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Сборнике нормативных правовых актов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района.</w:t>
      </w:r>
    </w:p>
    <w:p w:rsidR="003F429A" w:rsidRPr="004B76D1" w:rsidRDefault="003F429A" w:rsidP="003F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73E53" w:rsidRPr="004B76D1" w:rsidRDefault="00473E53" w:rsidP="00473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59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А.Н. Ильин</w:t>
      </w:r>
    </w:p>
    <w:p w:rsidR="003F429A" w:rsidRPr="007B034B" w:rsidRDefault="00C25A59" w:rsidP="00B11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43946"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F429A" w:rsidRPr="007B034B" w:rsidRDefault="003F429A" w:rsidP="00E5232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C25A59"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F429A" w:rsidRPr="007B034B" w:rsidRDefault="004B76D1" w:rsidP="00E52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</w:t>
      </w:r>
      <w:r w:rsidR="0059124A" w:rsidRPr="007B0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34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№ 152</w:t>
      </w:r>
    </w:p>
    <w:p w:rsidR="0002053E" w:rsidRDefault="0002053E" w:rsidP="0002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3E" w:rsidRDefault="0002053E" w:rsidP="0002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7B034B" w:rsidRDefault="003F429A" w:rsidP="0002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</w:t>
      </w:r>
    </w:p>
    <w:p w:rsidR="00B37DDB" w:rsidRPr="007B034B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лицами</w:t>
      </w:r>
      <w:r w:rsidR="00D75534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замещающими муниципальные должности депутата Со</w:t>
      </w:r>
      <w:r w:rsidR="00C25A5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вета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06605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Нанайского муниципального района Хабаровского края, выборного должностного лица местного самоуправления 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Нанайского муниципального района Хабаровского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37DDB" w:rsidRPr="007B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 Хабаровского каря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29A" w:rsidRPr="007B034B" w:rsidRDefault="003F429A" w:rsidP="00D7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 официальном сайте администрации 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 муниципального района Хабаровского края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лиц, замещающих муниципальные должности депутата Со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Хабаровского края, выборного должностного лица местного самоуправления 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406605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867FF9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Хабаровского края (далее – соответственно депутатов, выборных должностных лиц), 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перечень объектов недвижимого имущества, принадлежащих депутату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выборному должностному лицу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депутату,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выборному должностному лицу,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супруге (супругу) и несовершеннолетним детям;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декларированный годовой доход депутата,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выборного должностного лица,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супруги (супруга) и несовершеннолетних детей;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выборного должностного лица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иные сведения (кроме указанных в пункте 1 настоящего Порядка) о доходах депутата,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выборного должностного лица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персональные данные супруги (супруга), детей и иных членов семьи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депутата;</w:t>
      </w:r>
    </w:p>
    <w:p w:rsidR="003F429A" w:rsidRPr="007B034B" w:rsidRDefault="003F429A" w:rsidP="00D7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депутату,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выборному должностному лицу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выборным должностным лицом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указанные сведения были уточнены депутатом, </w:t>
      </w:r>
      <w:r w:rsidR="00D75534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выборным должностным лицом 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уточненные сведения подлежат размещению на официальном сайте в течение 14 рабочих дней со дня их уточнения.</w:t>
      </w:r>
    </w:p>
    <w:p w:rsidR="008A48AB" w:rsidRPr="007B034B" w:rsidRDefault="008F7F52" w:rsidP="008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</w:t>
      </w:r>
      <w:r w:rsidR="00FC0241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6B1E12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A48A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депутатами, выборным должностным лицом обеспечивается уполномоченным специалистом администрации сельского поселения «Село</w:t>
      </w:r>
      <w:r w:rsidR="007B034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Маяк</w:t>
      </w:r>
      <w:r w:rsidR="008A48A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Нанайского муниципального района (далее – уполномоченный специалист).</w:t>
      </w:r>
    </w:p>
    <w:p w:rsidR="003F429A" w:rsidRPr="007B034B" w:rsidRDefault="008F7F52" w:rsidP="00AE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8A48A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Уполномоченный специалист</w:t>
      </w:r>
      <w:r w:rsidR="00AE2B2D" w:rsidRPr="007B03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:</w:t>
      </w: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депутату,</w:t>
      </w:r>
      <w:r w:rsidR="00AE2B2D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выборному должностному лицу,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которого поступил запрос;</w:t>
      </w:r>
    </w:p>
    <w:p w:rsidR="00C01C86" w:rsidRPr="007B034B" w:rsidRDefault="00C01C86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1 настоящего Порядка, в том случае, если запрашиваемые сведения отсутствуют на официальном сайте или сообщают ему электронный адрес официального сайта, дату размещения сведений, указанных в пункте 1 настоящего Порядка, если запрашиваемые сведения размещены на официальном сайте;</w:t>
      </w:r>
    </w:p>
    <w:p w:rsidR="00766D7A" w:rsidRPr="007B034B" w:rsidRDefault="00766D7A" w:rsidP="00FB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течение семи рабочих дней со дня поступления запроса от средства массовой информации сообщают ему электронный адрес официального сайта, дату размещения сведений, указанных в пункте 1 настоящего Порядка, в том случае, если запрашиваемые сведения размещены на официальном сайте.</w:t>
      </w:r>
    </w:p>
    <w:p w:rsidR="003F429A" w:rsidRPr="007B034B" w:rsidRDefault="003F429A" w:rsidP="0059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Уполномоченный специалист,</w:t>
      </w:r>
      <w:r w:rsidR="00AE2B2D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241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обеспечивающий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AE2B2D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формации для опубликования, несу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AE2B2D" w:rsidRPr="007B034B" w:rsidRDefault="00AE2B2D" w:rsidP="00A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29A" w:rsidRPr="007B034B" w:rsidRDefault="003F429A" w:rsidP="003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4A" w:rsidRPr="007B034B" w:rsidRDefault="003F429A" w:rsidP="007B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</w:t>
      </w:r>
      <w:r w:rsidR="007319B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34B"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А.В. Алипченко</w:t>
      </w:r>
    </w:p>
    <w:p w:rsidR="0059124A" w:rsidRPr="007B034B" w:rsidRDefault="0059124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119BA" w:rsidRPr="00A23FE3" w:rsidRDefault="00B119BA" w:rsidP="00B119BA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119BA" w:rsidRPr="00A23FE3" w:rsidRDefault="00B119BA" w:rsidP="00B119B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119BA" w:rsidRPr="00A23FE3" w:rsidRDefault="00E37362" w:rsidP="00B119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14.11.2017 № 152</w:t>
      </w:r>
    </w:p>
    <w:p w:rsidR="00B119BA" w:rsidRPr="00A23FE3" w:rsidRDefault="00B119BA" w:rsidP="00B119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B119BA" w:rsidRPr="00A23FE3" w:rsidRDefault="00B119BA" w:rsidP="00B1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сообщении лицами, замещающими муниципальные должности, выборного должностного лица местного самоуправления </w:t>
      </w:r>
      <w:r w:rsidR="00A2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</w:t>
      </w:r>
      <w:r w:rsidRPr="00A2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Нанайского муниципального района Хабаровского края, осуществляющими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119BA" w:rsidRPr="00A23FE3" w:rsidRDefault="00B119BA" w:rsidP="00B1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должности, выборного должностного лица местного самоуправления сельского поселения «Село </w:t>
      </w:r>
      <w:r w:rsid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края, осуществляющими свои полномочия на постоянной основе (далее –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№ 10.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который они возглавляют</w:t>
      </w:r>
      <w:bookmarkStart w:id="0" w:name="Par0"/>
      <w:bookmarkEnd w:id="0"/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BA" w:rsidRPr="00A23FE3" w:rsidRDefault="00B119BA" w:rsidP="00B11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уполномоченному специалисту </w:t>
      </w:r>
      <w:r w:rsid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</w:t>
      </w:r>
      <w:r w:rsid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возглавляе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 уведомлению прилагаются документы (при их 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подтверждающие стоимость подарка (кассовый чек, товарный чек, иной документ об оплате (приобретении) подарка).</w:t>
      </w:r>
    </w:p>
    <w:p w:rsidR="00B119BA" w:rsidRPr="00A23FE3" w:rsidRDefault="00B119BA" w:rsidP="00B11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119BA" w:rsidRPr="00A23FE3" w:rsidRDefault="00B119BA" w:rsidP="00B11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</w:t>
      </w:r>
      <w:r w:rsidRPr="00A23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комиссию по инвентаризации и списанию материальных запасов основных средств, созданную в органе местного самоуправления в соответствии с законодательством о бухгалтерском учёте (далее – комиссия по инвентаризации)</w:t>
      </w:r>
      <w:r w:rsidRPr="00A2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Подарок, стоимость которого подтверждается документами и превышает 3 тыс. рублей либо стоимость которого, получившим его лицу неизвестна, сдается ответственному уполномоченному специалисту,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 должен быть пронумерован, прошнурован и скреплён печатью органа местного самоуправления.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согласно пункта 7 настоящего Положения. 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A23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по инвентаризации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Уполномоченный специалист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Лицо, замещающее муниципальную должность, сдавшее подарок, может его выкупить, направив в орган местного самоуправления, который они возглавляют соответствующее заявление не позднее двух месяцев со дня сдачи подарка. 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Уполномоченный специалист в течение 3 месяцев со дня поступления заявления, согласно пункту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Подарок, в отношении которого не поступило заявление, согласно пункту 12 настоящего Положения, может использоваться органом местного самоуправления с учетом заключения комиссии по инвентаризации о целесообразности использования подарка для обеспечения деятельности органа местного самоуправления.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 специалистом посредством проведения торгов в порядке, предусмотренном законодательством Российской Федерации.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Оценка стоимости подарка для реализации (выкупа), предусмотренная согласно пунктам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зачисляются в доход бюджета сел</w:t>
      </w:r>
      <w:r w:rsid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«Село Маяк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в порядке, установленном бюджетным законодательством Российской Федерации.</w:t>
      </w: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C9" w:rsidRDefault="00B119BA" w:rsidP="00C7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                                                          </w:t>
      </w:r>
      <w:r w:rsidR="00A2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Алипченко</w:t>
      </w:r>
    </w:p>
    <w:p w:rsidR="00C702C9" w:rsidRDefault="00C702C9" w:rsidP="00C7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C9" w:rsidRDefault="00C702C9" w:rsidP="00C7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C9" w:rsidRDefault="00C702C9" w:rsidP="00C7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C702C9" w:rsidP="00C7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119BA"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19BA" w:rsidRPr="00A23FE3" w:rsidRDefault="00B119BA" w:rsidP="00B119B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выборного должностного лица местного самоуправления сельского поселения «Село </w:t>
      </w:r>
      <w:r w:rsidR="00C7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Нанайского муниципального района Хабаровского края, осуществляющими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</w:p>
    <w:p w:rsidR="00B119BA" w:rsidRPr="00A23FE3" w:rsidRDefault="00B119BA" w:rsidP="00B119B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решением Совета депутатов от </w:t>
      </w:r>
      <w:r w:rsidR="00C7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14.11.2017 </w:t>
      </w:r>
      <w:r w:rsidRPr="00A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02C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B119BA" w:rsidRPr="00A23FE3" w:rsidRDefault="00B119BA" w:rsidP="00B119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B119BA" w:rsidRPr="00A23FE3" w:rsidRDefault="00B119BA" w:rsidP="00B119B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(Ф.И.О. уполномоченного </w:t>
      </w:r>
      <w:bookmarkStart w:id="1" w:name="_GoBack"/>
      <w:bookmarkEnd w:id="1"/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специалиста)</w:t>
      </w:r>
    </w:p>
    <w:p w:rsidR="00B119BA" w:rsidRPr="00A23FE3" w:rsidRDefault="00B119BA" w:rsidP="00B119B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119BA" w:rsidRPr="00A23FE3" w:rsidRDefault="00B119BA" w:rsidP="00B119B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119BA" w:rsidRPr="00A23FE3" w:rsidTr="007C6B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646" w:rsidRDefault="009D6646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119BA" w:rsidRPr="00A23FE3" w:rsidRDefault="00B119BA" w:rsidP="00B119BA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получения)</w:t>
      </w:r>
    </w:p>
    <w:p w:rsidR="00B119BA" w:rsidRPr="00A23FE3" w:rsidRDefault="009D6646" w:rsidP="00B119B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B119BA"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19BA"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(ов) на  </w:t>
      </w: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B119BA" w:rsidRPr="00A23FE3" w:rsidTr="007C6B03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customMarkFollows="1" w:id="2"/>
              <w:t>*</w:t>
            </w:r>
          </w:p>
        </w:tc>
      </w:tr>
      <w:tr w:rsidR="00B119BA" w:rsidRPr="00A23FE3" w:rsidTr="007C6B03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BA" w:rsidRPr="00A23FE3" w:rsidTr="007C6B03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BA" w:rsidRPr="00A23FE3" w:rsidTr="007C6B03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BA" w:rsidRPr="00A23FE3" w:rsidTr="007C6B03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BA" w:rsidRPr="00A23FE3" w:rsidTr="007C6B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119BA" w:rsidRPr="00A23FE3" w:rsidTr="007C6B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BA" w:rsidRPr="00A23FE3" w:rsidRDefault="00B119BA" w:rsidP="00B119B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119BA" w:rsidRPr="00A23FE3" w:rsidTr="007C6B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19BA" w:rsidRPr="00A23FE3" w:rsidTr="007C6B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BA" w:rsidRPr="00A23FE3" w:rsidRDefault="00B119BA" w:rsidP="00B119B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119BA" w:rsidRPr="00A23FE3" w:rsidTr="007C6B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19BA" w:rsidRPr="00A23FE3" w:rsidTr="007C6B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BA" w:rsidRPr="00A23FE3" w:rsidRDefault="00B119BA" w:rsidP="00B119BA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B119BA" w:rsidRPr="00A23FE3" w:rsidRDefault="00B119BA" w:rsidP="00B119B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119BA" w:rsidRPr="00A23FE3" w:rsidTr="007C6B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BA" w:rsidRPr="00A23FE3" w:rsidRDefault="00B119BA" w:rsidP="007C6B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3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119BA" w:rsidRPr="00A23FE3" w:rsidRDefault="00B119BA" w:rsidP="00B119BA">
      <w:pPr>
        <w:rPr>
          <w:sz w:val="24"/>
          <w:szCs w:val="24"/>
        </w:rPr>
      </w:pPr>
    </w:p>
    <w:p w:rsidR="00B119BA" w:rsidRPr="00A23FE3" w:rsidRDefault="00B119BA" w:rsidP="00B1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9BA" w:rsidRPr="00A23FE3" w:rsidRDefault="00B119BA" w:rsidP="00B1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9BA" w:rsidRPr="00A23FE3" w:rsidRDefault="00B119BA" w:rsidP="00B1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                                                                 </w:t>
      </w:r>
      <w:r w:rsidR="006B1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Алипченко</w:t>
      </w:r>
    </w:p>
    <w:p w:rsidR="00B119BA" w:rsidRPr="00A23FE3" w:rsidRDefault="00B119BA" w:rsidP="00B119BA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3FE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B119BA" w:rsidRDefault="00B119BA" w:rsidP="00E5232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E5232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3BA" w:rsidRPr="00FD6D13" w:rsidRDefault="006B14A3" w:rsidP="00E5232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F73BA" w:rsidRPr="00FD6D13" w:rsidRDefault="003F73BA" w:rsidP="00E5232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7319BB"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F73BA" w:rsidRPr="00FD6D13" w:rsidRDefault="003F73BA" w:rsidP="00E52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5775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14.11.2017 № 152</w:t>
      </w:r>
    </w:p>
    <w:p w:rsidR="003F73BA" w:rsidRPr="00FD6D13" w:rsidRDefault="003F73BA" w:rsidP="003F42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F429A" w:rsidRPr="00FD6D13" w:rsidRDefault="003F429A" w:rsidP="003F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</w:t>
      </w: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429A" w:rsidRPr="00FD6D13" w:rsidRDefault="003F429A" w:rsidP="003F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 Со</w:t>
      </w:r>
      <w:r w:rsidR="007319BB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вета</w:t>
      </w: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  <w:r w:rsidR="00FD6D13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</w:t>
      </w:r>
      <w:r w:rsidR="007319BB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 Хабаровского края депутатами Со</w:t>
      </w:r>
      <w:r w:rsidR="007319BB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вета</w:t>
      </w: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  <w:r w:rsidR="007319BB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</w:t>
      </w:r>
      <w:r w:rsidR="00FD6D13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«Село Маяк</w:t>
      </w:r>
      <w:r w:rsidR="007319BB"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 Хабаровского края о возникновении личной заинтересованности при исполнении полномочий депутата, которая может привести к конфликту интересов</w:t>
      </w:r>
    </w:p>
    <w:p w:rsidR="003F429A" w:rsidRPr="00FD6D13" w:rsidRDefault="003F429A" w:rsidP="003F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Со</w:t>
      </w:r>
      <w:r w:rsidR="007319BB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319BB" w:rsidRPr="00FD6D1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D6D13" w:rsidRPr="00FD6D13">
        <w:rPr>
          <w:rFonts w:ascii="Times New Roman" w:hAnsi="Times New Roman" w:cs="Times New Roman"/>
          <w:sz w:val="24"/>
          <w:szCs w:val="24"/>
        </w:rPr>
        <w:t>Маяк</w:t>
      </w:r>
      <w:r w:rsidR="007319BB" w:rsidRPr="00FD6D13">
        <w:rPr>
          <w:rFonts w:ascii="Times New Roman" w:hAnsi="Times New Roman" w:cs="Times New Roman"/>
          <w:sz w:val="24"/>
          <w:szCs w:val="24"/>
        </w:rPr>
        <w:t xml:space="preserve">» </w:t>
      </w:r>
      <w:r w:rsidRPr="00FD6D13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(Далее – Со</w:t>
      </w:r>
      <w:r w:rsidR="007319BB" w:rsidRPr="00FD6D13">
        <w:rPr>
          <w:rFonts w:ascii="Times New Roman" w:hAnsi="Times New Roman" w:cs="Times New Roman"/>
          <w:sz w:val="24"/>
          <w:szCs w:val="24"/>
        </w:rPr>
        <w:t>вет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депутатов) депутатами Со</w:t>
      </w:r>
      <w:r w:rsidR="007319BB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D6D13" w:rsidRPr="00FD6D13">
        <w:rPr>
          <w:rFonts w:ascii="Times New Roman" w:hAnsi="Times New Roman" w:cs="Times New Roman"/>
          <w:sz w:val="24"/>
          <w:szCs w:val="24"/>
        </w:rPr>
        <w:t>сельского поселения «Село Маяк</w:t>
      </w:r>
      <w:r w:rsidR="007319BB" w:rsidRPr="00FD6D13">
        <w:rPr>
          <w:rFonts w:ascii="Times New Roman" w:hAnsi="Times New Roman" w:cs="Times New Roman"/>
          <w:sz w:val="24"/>
          <w:szCs w:val="24"/>
        </w:rPr>
        <w:t xml:space="preserve">» </w:t>
      </w:r>
      <w:r w:rsidRPr="00FD6D13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(далее – депутат)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2. Депутаты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3. При возникновении у депутата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4. Депутаты составляют уведомление на имя председателя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 форме согласно приложению 1.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К уведомлению могут прилагаться имеющиеся в распоряжении депутата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депутатом по предотвращению или урегулированию конфликта интересов.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В случае, если уведомление не может быть передано депутатом лично, оно направляется в Со</w:t>
      </w:r>
      <w:r w:rsidR="00960123" w:rsidRPr="00FD6D13">
        <w:rPr>
          <w:rFonts w:ascii="Times New Roman" w:hAnsi="Times New Roman" w:cs="Times New Roman"/>
          <w:sz w:val="24"/>
          <w:szCs w:val="24"/>
        </w:rPr>
        <w:t>вет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 каналам факсимильной связи или по почте с уведомлением о вручении.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 xml:space="preserve">5. Уведомление регистрируется </w:t>
      </w:r>
      <w:r w:rsidR="004717AF" w:rsidRPr="00FD6D13">
        <w:rPr>
          <w:rFonts w:ascii="Times New Roman" w:hAnsi="Times New Roman" w:cs="Times New Roman"/>
          <w:bCs/>
          <w:sz w:val="24"/>
          <w:szCs w:val="24"/>
        </w:rPr>
        <w:t>уполномоченным</w:t>
      </w:r>
      <w:r w:rsidRPr="00FD6D13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 w:rsidR="004717AF" w:rsidRPr="00FD6D13">
        <w:rPr>
          <w:rFonts w:ascii="Times New Roman" w:hAnsi="Times New Roman" w:cs="Times New Roman"/>
          <w:bCs/>
          <w:sz w:val="24"/>
          <w:szCs w:val="24"/>
        </w:rPr>
        <w:t>ом</w:t>
      </w:r>
      <w:r w:rsidRPr="00FD6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D13">
        <w:rPr>
          <w:rFonts w:ascii="Times New Roman" w:hAnsi="Times New Roman" w:cs="Times New Roman"/>
          <w:sz w:val="24"/>
          <w:szCs w:val="24"/>
        </w:rPr>
        <w:t xml:space="preserve">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</w:t>
      </w:r>
      <w:r w:rsidR="0032258A" w:rsidRPr="00FD6D13">
        <w:rPr>
          <w:rFonts w:ascii="Times New Roman" w:hAnsi="Times New Roman" w:cs="Times New Roman"/>
          <w:sz w:val="24"/>
          <w:szCs w:val="24"/>
        </w:rPr>
        <w:t xml:space="preserve">согласно приложению 2.  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6. Копия уведомления с отметкой о его регистрации выдается депутату на руки под роспись в Журнале или направляется ему по почте с уведомлением о вручении.</w:t>
      </w:r>
    </w:p>
    <w:p w:rsidR="003F429A" w:rsidRPr="00FD6D13" w:rsidRDefault="003F429A" w:rsidP="00E5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 xml:space="preserve">7. Не позднее трех рабочих дней, следующих за днем регистрации уведомления, </w:t>
      </w:r>
      <w:r w:rsidR="0032258A" w:rsidRPr="00FD6D13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FD6D13">
        <w:rPr>
          <w:rFonts w:ascii="Times New Roman" w:hAnsi="Times New Roman" w:cs="Times New Roman"/>
          <w:sz w:val="24"/>
          <w:szCs w:val="24"/>
        </w:rPr>
        <w:t xml:space="preserve"> обеспечивает его направление председателю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 с докладной запиской.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8. Председатель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выносит данный вопрос на очередное или внеочередное заседание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после его предварительного рассмотрения на совместном заседании постоянных комиссий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в соответствии с Регламентом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lastRenderedPageBreak/>
        <w:t>9. Рассмотрение данного вопроса на заседании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начинается с представления данного вопроса председателем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или депутатом уполномоченным решением совместного заседания постоянных комиссий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10. Депутат, представивший уведомление выступает на заседании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с кратким сообщением, по существу представленной в уведомлении информации.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11. Каждый депутат, депутатская группа имеют право задавать вопросы депутату представившему уведомление, высказаться в поддержку или против решения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депутатов, выносимого по результатам рассмотрения уведомления в соответствии с пунктом 12 настоящего Положения. 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12.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 результатам рассмотрения уведомления принимается одно из следующих решений: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депутатом, представившим уведомление, конфликт интересов отсутствует;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депутатом, представившим уведомление, личная заинтересованность приводит или может привести к конфликту интересов;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3) признать, что депутатом, представившим уведомление, не соблюдались требования об урегулировании конфликта интересов.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13. Решение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 данному вопросу принимается большинством голосов от установленного числа депутатов Со</w:t>
      </w:r>
      <w:r w:rsidR="00960123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14. В случае принятия решения, предусмотренного подпунктом 2 пункта 12 настоящего Положения, председатель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по поручению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интересов, либо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рекомендует  депутату, представившему уведомление, принять такие меры.</w:t>
      </w:r>
    </w:p>
    <w:p w:rsidR="00647333" w:rsidRPr="00FD6D13" w:rsidRDefault="00647333" w:rsidP="0064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15. В случае принятия решения, предусмотренного подпунктом 3 пункта 12 настоящего Положения Со</w:t>
      </w:r>
      <w:r w:rsidR="004717AF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депутатов, рассматривается вопрос о проведении в установленном порядке проверки для решения вопроса о применении в отношении депутата, представившего уведомление, мер юридической ответственности, предусмотренных законодательством Российской Федерации.</w:t>
      </w:r>
    </w:p>
    <w:p w:rsidR="003F429A" w:rsidRPr="00FD6D13" w:rsidRDefault="003F429A" w:rsidP="003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29A" w:rsidRPr="00FD6D13" w:rsidRDefault="003F429A" w:rsidP="003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32D" w:rsidRPr="00FD6D13" w:rsidRDefault="00E5232D" w:rsidP="003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40C" w:rsidRPr="00FD6D13" w:rsidRDefault="006C640C" w:rsidP="003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29A" w:rsidRPr="00FD6D13" w:rsidRDefault="0017261E" w:rsidP="0017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</w:t>
      </w:r>
      <w:r w:rsidR="004717AF" w:rsidRPr="00FD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FD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                                                          </w:t>
      </w:r>
      <w:r w:rsidR="00FD6D13" w:rsidRPr="00FD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Алипченко</w:t>
      </w:r>
    </w:p>
    <w:p w:rsidR="00E33691" w:rsidRPr="00FD6D13" w:rsidRDefault="00E33691" w:rsidP="0064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br w:type="page"/>
      </w:r>
    </w:p>
    <w:p w:rsidR="003F429A" w:rsidRPr="00FD6D13" w:rsidRDefault="003F429A" w:rsidP="007562B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F429A" w:rsidRPr="00FD6D13" w:rsidRDefault="003F429A" w:rsidP="003F42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к Порядку уведомления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65550" w:rsidRPr="00FD6D1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D6D13" w:rsidRPr="00FD6D13">
        <w:rPr>
          <w:rFonts w:ascii="Times New Roman" w:hAnsi="Times New Roman" w:cs="Times New Roman"/>
          <w:sz w:val="24"/>
          <w:szCs w:val="24"/>
        </w:rPr>
        <w:t>Маяк</w:t>
      </w:r>
      <w:r w:rsidR="00B65550" w:rsidRPr="00FD6D13">
        <w:rPr>
          <w:rFonts w:ascii="Times New Roman" w:hAnsi="Times New Roman" w:cs="Times New Roman"/>
          <w:sz w:val="24"/>
          <w:szCs w:val="24"/>
        </w:rPr>
        <w:t xml:space="preserve">» </w:t>
      </w:r>
      <w:r w:rsidRPr="00FD6D13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депутатами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Нанайского муниципального района Хабаровского края о возникновении личной заинтересованности при исполнении полномочий депутата, которая может привести к конфликту интересов утвержденному решением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="005B0476">
        <w:rPr>
          <w:rFonts w:ascii="Times New Roman" w:hAnsi="Times New Roman" w:cs="Times New Roman"/>
          <w:sz w:val="24"/>
          <w:szCs w:val="24"/>
        </w:rPr>
        <w:t xml:space="preserve"> депутатов от 14.11.2017 № 152</w:t>
      </w: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FD6D13" w:rsidRDefault="003F429A" w:rsidP="00B51A8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</w:t>
      </w:r>
      <w:r w:rsidR="00B65550"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B65550"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B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</w:t>
      </w:r>
      <w:r w:rsidR="00B65550"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</w:t>
      </w: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анайского муниципального района Хабаровского края  </w:t>
      </w:r>
    </w:p>
    <w:p w:rsidR="004E67E3" w:rsidRPr="00FD6D13" w:rsidRDefault="004E67E3" w:rsidP="003F429A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должность,</w:t>
      </w: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телефон)</w:t>
      </w:r>
    </w:p>
    <w:p w:rsidR="00E33691" w:rsidRPr="00FD6D13" w:rsidRDefault="00E33691" w:rsidP="00E336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691" w:rsidRPr="00FD6D13" w:rsidRDefault="00E33691" w:rsidP="00E336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691" w:rsidRPr="00FD6D13" w:rsidRDefault="003F429A" w:rsidP="00E336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F429A" w:rsidRPr="00FD6D13" w:rsidRDefault="003F429A" w:rsidP="00E336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429A" w:rsidRPr="00FD6D13" w:rsidRDefault="003F429A" w:rsidP="003F4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F429A" w:rsidRPr="00FD6D13" w:rsidRDefault="003F429A" w:rsidP="003F4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E33691" w:rsidRPr="00FD6D13" w:rsidRDefault="00E33691" w:rsidP="003F4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3F429A" w:rsidRPr="00FD6D13" w:rsidRDefault="003F429A" w:rsidP="003F4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(принятые) меры по предотвращению или урегулированию конфликта интересов:  </w:t>
      </w: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FD6D13" w:rsidRDefault="003F429A" w:rsidP="003F429A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369"/>
        <w:gridCol w:w="369"/>
        <w:gridCol w:w="1361"/>
        <w:gridCol w:w="1701"/>
        <w:gridCol w:w="1134"/>
        <w:gridCol w:w="3402"/>
      </w:tblGrid>
      <w:tr w:rsidR="003F429A" w:rsidRPr="00FD6D13" w:rsidTr="00984F12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29A" w:rsidRPr="00FD6D13" w:rsidTr="00984F1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429A" w:rsidRPr="00FD6D13" w:rsidRDefault="003F429A" w:rsidP="00984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65550" w:rsidRPr="00FD6D13" w:rsidRDefault="00B65550" w:rsidP="006C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13" w:rsidRDefault="00FD6D13" w:rsidP="0017261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D6D13" w:rsidRDefault="00FD6D13" w:rsidP="0017261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7261E" w:rsidRPr="00FD6D13" w:rsidRDefault="0017261E" w:rsidP="0017261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7261E" w:rsidRPr="00FD6D13" w:rsidRDefault="0017261E" w:rsidP="0017261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к Порядку уведомления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65550" w:rsidRPr="00FD6D1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D6D13" w:rsidRPr="00FD6D13">
        <w:rPr>
          <w:rFonts w:ascii="Times New Roman" w:hAnsi="Times New Roman" w:cs="Times New Roman"/>
          <w:sz w:val="24"/>
          <w:szCs w:val="24"/>
        </w:rPr>
        <w:t>Маяк</w:t>
      </w:r>
      <w:r w:rsidR="00B65550" w:rsidRPr="00FD6D13">
        <w:rPr>
          <w:rFonts w:ascii="Times New Roman" w:hAnsi="Times New Roman" w:cs="Times New Roman"/>
          <w:sz w:val="24"/>
          <w:szCs w:val="24"/>
        </w:rPr>
        <w:t xml:space="preserve">» </w:t>
      </w:r>
      <w:r w:rsidRPr="00FD6D13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 депутатами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Pr="00FD6D13">
        <w:rPr>
          <w:rFonts w:ascii="Times New Roman" w:hAnsi="Times New Roman" w:cs="Times New Roman"/>
          <w:sz w:val="24"/>
          <w:szCs w:val="24"/>
        </w:rPr>
        <w:t xml:space="preserve"> депутатов Нанайского муниципального района Хабаровского края о возникновении личной заинтересованности при исполнении полномочий депутата, которая может привести к конфликту интересов утвержденному решением Со</w:t>
      </w:r>
      <w:r w:rsidR="00B65550" w:rsidRPr="00FD6D13">
        <w:rPr>
          <w:rFonts w:ascii="Times New Roman" w:hAnsi="Times New Roman" w:cs="Times New Roman"/>
          <w:sz w:val="24"/>
          <w:szCs w:val="24"/>
        </w:rPr>
        <w:t>вета</w:t>
      </w:r>
      <w:r w:rsidR="005B0476">
        <w:rPr>
          <w:rFonts w:ascii="Times New Roman" w:hAnsi="Times New Roman" w:cs="Times New Roman"/>
          <w:sz w:val="24"/>
          <w:szCs w:val="24"/>
        </w:rPr>
        <w:t xml:space="preserve"> депутатов от 14.11.2017 № 152</w:t>
      </w:r>
    </w:p>
    <w:p w:rsidR="0017261E" w:rsidRPr="00FD6D13" w:rsidRDefault="0017261E" w:rsidP="0017261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61E" w:rsidRPr="00FD6D13" w:rsidRDefault="0017261E" w:rsidP="0017261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61E" w:rsidRPr="00FD6D13" w:rsidRDefault="0017261E" w:rsidP="0017261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D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Журнал</w:t>
      </w:r>
    </w:p>
    <w:p w:rsidR="0017261E" w:rsidRPr="00FD6D13" w:rsidRDefault="0017261E" w:rsidP="0017261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D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7"/>
        <w:gridCol w:w="113"/>
        <w:gridCol w:w="1531"/>
        <w:gridCol w:w="369"/>
        <w:gridCol w:w="369"/>
        <w:gridCol w:w="312"/>
      </w:tblGrid>
      <w:tr w:rsidR="0017261E" w:rsidRPr="00FD6D13" w:rsidTr="0094637D">
        <w:trPr>
          <w:jc w:val="righ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7261E" w:rsidRPr="00FD6D13" w:rsidRDefault="0017261E" w:rsidP="001726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7"/>
        <w:gridCol w:w="113"/>
        <w:gridCol w:w="1247"/>
        <w:gridCol w:w="369"/>
        <w:gridCol w:w="369"/>
        <w:gridCol w:w="312"/>
      </w:tblGrid>
      <w:tr w:rsidR="0017261E" w:rsidRPr="00FD6D13" w:rsidTr="0094637D"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7261E" w:rsidRPr="00FD6D13" w:rsidRDefault="0017261E" w:rsidP="0017261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680"/>
        <w:gridCol w:w="851"/>
      </w:tblGrid>
      <w:tr w:rsidR="0017261E" w:rsidRPr="00FD6D13" w:rsidTr="0094637D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</w:tr>
    </w:tbl>
    <w:p w:rsidR="0017261E" w:rsidRPr="00FD6D13" w:rsidRDefault="0017261E" w:rsidP="0017261E">
      <w:pPr>
        <w:autoSpaceDE w:val="0"/>
        <w:autoSpaceDN w:val="0"/>
        <w:spacing w:after="48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64"/>
        <w:gridCol w:w="964"/>
        <w:gridCol w:w="1392"/>
        <w:gridCol w:w="1120"/>
        <w:gridCol w:w="946"/>
        <w:gridCol w:w="1701"/>
        <w:gridCol w:w="1276"/>
        <w:gridCol w:w="1134"/>
      </w:tblGrid>
      <w:tr w:rsidR="0017261E" w:rsidRPr="00FD6D13" w:rsidTr="0094637D">
        <w:trPr>
          <w:cantSplit/>
        </w:trPr>
        <w:tc>
          <w:tcPr>
            <w:tcW w:w="454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4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</w:t>
            </w: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рацион</w:t>
            </w: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ный номер уведом</w:t>
            </w: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964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</w:t>
            </w: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рации уведом</w:t>
            </w: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458" w:type="dxa"/>
            <w:gridSpan w:val="3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депутате, представившем уведомление</w:t>
            </w:r>
          </w:p>
        </w:tc>
        <w:tc>
          <w:tcPr>
            <w:tcW w:w="1701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276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134" w:type="dxa"/>
            <w:vMerge w:val="restart"/>
          </w:tcPr>
          <w:p w:rsidR="0017261E" w:rsidRPr="00FD6D13" w:rsidRDefault="0017261E" w:rsidP="009463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17261E" w:rsidRPr="00FD6D13" w:rsidTr="0094637D">
        <w:trPr>
          <w:cantSplit/>
        </w:trPr>
        <w:tc>
          <w:tcPr>
            <w:tcW w:w="454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120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6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701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1E" w:rsidRPr="00FD6D13" w:rsidTr="0094637D">
        <w:trPr>
          <w:cantSplit/>
        </w:trPr>
        <w:tc>
          <w:tcPr>
            <w:tcW w:w="45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D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261E" w:rsidRPr="00FD6D13" w:rsidTr="0094637D">
        <w:trPr>
          <w:cantSplit/>
        </w:trPr>
        <w:tc>
          <w:tcPr>
            <w:tcW w:w="45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261E" w:rsidRPr="00FD6D13" w:rsidRDefault="0017261E" w:rsidP="0094637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61E" w:rsidRPr="00FD6D13" w:rsidRDefault="0017261E" w:rsidP="001726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61E" w:rsidRPr="00FD6D13" w:rsidRDefault="0017261E" w:rsidP="0017261E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61E" w:rsidRPr="00FD6D13" w:rsidRDefault="0017261E" w:rsidP="001726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61E" w:rsidRPr="00FD6D13" w:rsidRDefault="00B65550" w:rsidP="0017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1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17261E" w:rsidRPr="00FD6D13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                       </w:t>
      </w:r>
      <w:r w:rsidR="00FD6D13" w:rsidRPr="00FD6D13">
        <w:rPr>
          <w:rFonts w:ascii="Times New Roman" w:hAnsi="Times New Roman" w:cs="Times New Roman"/>
          <w:sz w:val="24"/>
          <w:szCs w:val="24"/>
        </w:rPr>
        <w:t>А.В. Алипченко</w:t>
      </w:r>
    </w:p>
    <w:p w:rsidR="0017261E" w:rsidRPr="00FD6D13" w:rsidRDefault="0017261E">
      <w:pPr>
        <w:rPr>
          <w:rFonts w:ascii="Times New Roman" w:hAnsi="Times New Roman" w:cs="Times New Roman"/>
          <w:sz w:val="24"/>
          <w:szCs w:val="24"/>
        </w:rPr>
      </w:pPr>
    </w:p>
    <w:p w:rsidR="00B51A82" w:rsidRDefault="00B51A82" w:rsidP="00FD6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58" w:rsidRPr="003A0258" w:rsidRDefault="003A0258" w:rsidP="003A0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0258" w:rsidRPr="003A0258" w:rsidRDefault="003A0258" w:rsidP="003A02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0258">
        <w:rPr>
          <w:rFonts w:ascii="Times New Roman" w:hAnsi="Times New Roman" w:cs="Times New Roman"/>
          <w:sz w:val="24"/>
          <w:szCs w:val="24"/>
        </w:rPr>
        <w:t>к проекту решения Совета депутатов «О реализации отдельных положений федеральных законов в области противодействия коррупции»</w:t>
      </w:r>
    </w:p>
    <w:p w:rsidR="003A0258" w:rsidRPr="003A0258" w:rsidRDefault="003A0258" w:rsidP="003A02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58">
        <w:rPr>
          <w:rFonts w:ascii="Times New Roman" w:hAnsi="Times New Roman" w:cs="Times New Roman"/>
          <w:sz w:val="24"/>
          <w:szCs w:val="24"/>
        </w:rPr>
        <w:t>Настоящий проект решения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в целях приведения муниципальных правовых актов в области противодействия коррупции в соответствии с действующими нормами федерального антикоррупционного законодательства.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58">
        <w:rPr>
          <w:rFonts w:ascii="Times New Roman" w:hAnsi="Times New Roman" w:cs="Times New Roman"/>
          <w:sz w:val="24"/>
          <w:szCs w:val="24"/>
        </w:rPr>
        <w:t>Представленный проект решения включает в себя: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258">
        <w:rPr>
          <w:rFonts w:ascii="Times New Roman" w:hAnsi="Times New Roman" w:cs="Times New Roman"/>
          <w:sz w:val="24"/>
          <w:szCs w:val="24"/>
        </w:rPr>
        <w:t xml:space="preserve">1) нормы регулирующие порядок </w:t>
      </w:r>
      <w:r w:rsidRPr="003A0258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в  информационно-телекоммуникационной сети «Интернет» и предоставления этих сведений средствам массовой информации для опубликования, которые представляют депутаты, выборные должностные лица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«Село Маяк</w:t>
      </w:r>
      <w:r w:rsidRPr="003A025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258">
        <w:rPr>
          <w:rFonts w:ascii="Times New Roman" w:hAnsi="Times New Roman" w:cs="Times New Roman"/>
          <w:bCs/>
          <w:sz w:val="24"/>
          <w:szCs w:val="24"/>
        </w:rPr>
        <w:t xml:space="preserve">Нанайского муниципального района, отнесенные Федеральным законом № 131-ФЗ, к лицам, замещающим муниципальные должности, а именно действие данного порядка распространяется на депутатов Совета депутатов и главу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«Село Маяк</w:t>
      </w:r>
      <w:r w:rsidRPr="003A025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258">
        <w:rPr>
          <w:rFonts w:ascii="Times New Roman" w:hAnsi="Times New Roman" w:cs="Times New Roman"/>
          <w:bCs/>
          <w:sz w:val="24"/>
          <w:szCs w:val="24"/>
        </w:rPr>
        <w:t>2) нормы положения, регулирующего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Совета депутатов, главой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Маяк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выборных должностных лиц, работающих на постоянной основе, </w:t>
      </w:r>
      <w:r w:rsidRPr="003A0258">
        <w:rPr>
          <w:rFonts w:ascii="Times New Roman" w:hAnsi="Times New Roman" w:cs="Times New Roman"/>
          <w:bCs/>
          <w:sz w:val="24"/>
          <w:szCs w:val="24"/>
        </w:rPr>
        <w:t xml:space="preserve">служебных (должностных) обязанностей, сдаче и оценке подарка, реализации (выкупе) и зачислении средств, вырученных от его реализации в бюджет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«Село Маяк</w:t>
      </w:r>
      <w:r w:rsidRPr="003A02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Нанайского </w:t>
      </w:r>
      <w:r w:rsidRPr="003A0258">
        <w:rPr>
          <w:rFonts w:ascii="Times New Roman" w:hAnsi="Times New Roman" w:cs="Times New Roman"/>
          <w:bCs/>
          <w:sz w:val="24"/>
          <w:szCs w:val="24"/>
        </w:rPr>
        <w:t>муниципального района;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58">
        <w:rPr>
          <w:rFonts w:ascii="Times New Roman" w:hAnsi="Times New Roman" w:cs="Times New Roman"/>
          <w:bCs/>
          <w:sz w:val="24"/>
          <w:szCs w:val="24"/>
        </w:rPr>
        <w:t xml:space="preserve">3) нормы регулирующие порядок 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Нанайского муниципального района Хабаровского края депутатами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 о возникновении личной заинтересованности при исполнении полномочий депутата, которая может привести к конфликту интересов.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настоящим проектом решения признается утратившим силу решение Совета депутатов края от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12.2015 № 69 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предоставлении депутатами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установленных законодательством Российской Федерации», в связи с тем, что 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установлен иной порядок предоставления сведений о доходах, расходах об имуществе и обязательствах имущественного характера</w:t>
      </w:r>
      <w:r w:rsidRPr="003A0258">
        <w:rPr>
          <w:rFonts w:ascii="Times New Roman" w:hAnsi="Times New Roman" w:cs="Times New Roman"/>
          <w:sz w:val="24"/>
          <w:szCs w:val="24"/>
        </w:rPr>
        <w:t xml:space="preserve"> 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депутатом, членом выборного органа местного самоуправления, выборным должностным лицом местного самоуправления,</w:t>
      </w:r>
      <w:r w:rsidRPr="003A0258">
        <w:rPr>
          <w:rFonts w:ascii="Times New Roman" w:hAnsi="Times New Roman" w:cs="Times New Roman"/>
          <w:sz w:val="24"/>
          <w:szCs w:val="24"/>
        </w:rPr>
        <w:t xml:space="preserve"> теперь в соответствии с частью 4.2. статьи 12.1. Федерального закона № 273-ФЗ «О противодействии коррупции», 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федеральным законом, граждане, претендующие на замещение муниципальной 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должности, и </w:t>
      </w:r>
      <w:r w:rsidRPr="003A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замещающие муниципальные должности,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3A0258" w:rsidRPr="003A0258" w:rsidRDefault="003A0258" w:rsidP="003A025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принятие настоящего решения создаст нормативную правовую базу для регулирования правоотношений в области противодействия коррупции в рамках компетенции и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«Село Маяк»</w:t>
      </w:r>
      <w:r w:rsidRPr="003A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района.</w:t>
      </w:r>
    </w:p>
    <w:p w:rsidR="003A0258" w:rsidRPr="003A0258" w:rsidRDefault="003A0258" w:rsidP="003A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258" w:rsidRPr="003A0258" w:rsidRDefault="003A0258" w:rsidP="003A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258" w:rsidRPr="003A0258" w:rsidRDefault="003A0258" w:rsidP="003A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258" w:rsidRPr="003A0258" w:rsidRDefault="003A0258" w:rsidP="003A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258" w:rsidRPr="003A0258" w:rsidRDefault="003A0258" w:rsidP="003A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5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Алипченко</w:t>
      </w:r>
    </w:p>
    <w:p w:rsidR="0017261E" w:rsidRPr="003A0258" w:rsidRDefault="0017261E" w:rsidP="003A02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61E" w:rsidRPr="003A0258" w:rsidSect="0002053E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85" w:rsidRDefault="00F83285" w:rsidP="003F73BA">
      <w:pPr>
        <w:spacing w:after="0" w:line="240" w:lineRule="auto"/>
      </w:pPr>
      <w:r>
        <w:separator/>
      </w:r>
    </w:p>
  </w:endnote>
  <w:endnote w:type="continuationSeparator" w:id="1">
    <w:p w:rsidR="00F83285" w:rsidRDefault="00F83285" w:rsidP="003F73BA">
      <w:pPr>
        <w:spacing w:after="0" w:line="240" w:lineRule="auto"/>
      </w:pPr>
      <w:r>
        <w:continuationSeparator/>
      </w:r>
    </w:p>
  </w:endnote>
  <w:endnote w:id="2">
    <w:p w:rsidR="00B119BA" w:rsidRPr="0017261E" w:rsidRDefault="00B119BA" w:rsidP="00B119BA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85" w:rsidRDefault="00F83285" w:rsidP="003F73BA">
      <w:pPr>
        <w:spacing w:after="0" w:line="240" w:lineRule="auto"/>
      </w:pPr>
      <w:r>
        <w:separator/>
      </w:r>
    </w:p>
  </w:footnote>
  <w:footnote w:type="continuationSeparator" w:id="1">
    <w:p w:rsidR="00F83285" w:rsidRDefault="00F83285" w:rsidP="003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651"/>
      <w:docPartObj>
        <w:docPartGallery w:val="Page Numbers (Top of Page)"/>
        <w:docPartUnique/>
      </w:docPartObj>
    </w:sdtPr>
    <w:sdtContent>
      <w:p w:rsidR="0002053E" w:rsidRDefault="0002053E">
        <w:pPr>
          <w:pStyle w:val="ae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02053E" w:rsidRDefault="0002053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9A"/>
    <w:rsid w:val="0002053E"/>
    <w:rsid w:val="0002065D"/>
    <w:rsid w:val="000B1027"/>
    <w:rsid w:val="000E236E"/>
    <w:rsid w:val="000F2267"/>
    <w:rsid w:val="00100D65"/>
    <w:rsid w:val="00116E9D"/>
    <w:rsid w:val="0017261E"/>
    <w:rsid w:val="00175139"/>
    <w:rsid w:val="001B4C10"/>
    <w:rsid w:val="00257872"/>
    <w:rsid w:val="00270992"/>
    <w:rsid w:val="00283876"/>
    <w:rsid w:val="002C467F"/>
    <w:rsid w:val="0032258A"/>
    <w:rsid w:val="0036705C"/>
    <w:rsid w:val="003A0258"/>
    <w:rsid w:val="003F429A"/>
    <w:rsid w:val="003F73BA"/>
    <w:rsid w:val="00406605"/>
    <w:rsid w:val="00436660"/>
    <w:rsid w:val="004717AF"/>
    <w:rsid w:val="00473E53"/>
    <w:rsid w:val="004A085E"/>
    <w:rsid w:val="004B76D1"/>
    <w:rsid w:val="004E67E3"/>
    <w:rsid w:val="0050228F"/>
    <w:rsid w:val="00553579"/>
    <w:rsid w:val="0059124A"/>
    <w:rsid w:val="005B0476"/>
    <w:rsid w:val="00605DD9"/>
    <w:rsid w:val="00647333"/>
    <w:rsid w:val="006675BE"/>
    <w:rsid w:val="00676A2B"/>
    <w:rsid w:val="006B14A3"/>
    <w:rsid w:val="006B1E12"/>
    <w:rsid w:val="006C4634"/>
    <w:rsid w:val="006C640C"/>
    <w:rsid w:val="007319BB"/>
    <w:rsid w:val="00743946"/>
    <w:rsid w:val="007562B8"/>
    <w:rsid w:val="007665EB"/>
    <w:rsid w:val="00766D7A"/>
    <w:rsid w:val="007A695D"/>
    <w:rsid w:val="007B034B"/>
    <w:rsid w:val="00812BEC"/>
    <w:rsid w:val="00833F47"/>
    <w:rsid w:val="00867FF9"/>
    <w:rsid w:val="008A48AB"/>
    <w:rsid w:val="008F7F52"/>
    <w:rsid w:val="00936D55"/>
    <w:rsid w:val="00955775"/>
    <w:rsid w:val="00960123"/>
    <w:rsid w:val="00984F12"/>
    <w:rsid w:val="009D6646"/>
    <w:rsid w:val="009F15FD"/>
    <w:rsid w:val="00A1559C"/>
    <w:rsid w:val="00A217E4"/>
    <w:rsid w:val="00A23FE3"/>
    <w:rsid w:val="00A264C0"/>
    <w:rsid w:val="00A440C6"/>
    <w:rsid w:val="00A729F2"/>
    <w:rsid w:val="00A73CD9"/>
    <w:rsid w:val="00A806F8"/>
    <w:rsid w:val="00AE2B2D"/>
    <w:rsid w:val="00B119BA"/>
    <w:rsid w:val="00B12E0D"/>
    <w:rsid w:val="00B35379"/>
    <w:rsid w:val="00B37DDB"/>
    <w:rsid w:val="00B51A82"/>
    <w:rsid w:val="00B5234E"/>
    <w:rsid w:val="00B65550"/>
    <w:rsid w:val="00B70470"/>
    <w:rsid w:val="00B7779B"/>
    <w:rsid w:val="00BE4955"/>
    <w:rsid w:val="00C01C86"/>
    <w:rsid w:val="00C04553"/>
    <w:rsid w:val="00C25A59"/>
    <w:rsid w:val="00C34CD6"/>
    <w:rsid w:val="00C702C9"/>
    <w:rsid w:val="00CB4CE8"/>
    <w:rsid w:val="00CD3DD2"/>
    <w:rsid w:val="00CF28C8"/>
    <w:rsid w:val="00D654A1"/>
    <w:rsid w:val="00D75534"/>
    <w:rsid w:val="00D845A4"/>
    <w:rsid w:val="00DF3D8A"/>
    <w:rsid w:val="00E33691"/>
    <w:rsid w:val="00E37362"/>
    <w:rsid w:val="00E5232D"/>
    <w:rsid w:val="00EA4FC9"/>
    <w:rsid w:val="00EB04F2"/>
    <w:rsid w:val="00EC7CAC"/>
    <w:rsid w:val="00F368C3"/>
    <w:rsid w:val="00F80F03"/>
    <w:rsid w:val="00F81AE4"/>
    <w:rsid w:val="00F83285"/>
    <w:rsid w:val="00FB29B1"/>
    <w:rsid w:val="00FC0050"/>
    <w:rsid w:val="00FC0241"/>
    <w:rsid w:val="00FD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053E"/>
  </w:style>
  <w:style w:type="paragraph" w:styleId="af0">
    <w:name w:val="footer"/>
    <w:basedOn w:val="a"/>
    <w:link w:val="af1"/>
    <w:uiPriority w:val="99"/>
    <w:semiHidden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base.ru/grazhdanskij-kodeks/chast-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22BF-C5AA-405B-A9D5-487C40B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52</cp:revision>
  <cp:lastPrinted>2017-11-14T03:01:00Z</cp:lastPrinted>
  <dcterms:created xsi:type="dcterms:W3CDTF">2017-10-16T23:27:00Z</dcterms:created>
  <dcterms:modified xsi:type="dcterms:W3CDTF">2017-11-14T04:26:00Z</dcterms:modified>
</cp:coreProperties>
</file>