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EA" w:rsidRPr="006809EA" w:rsidRDefault="00DF0BBB" w:rsidP="006809EA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  <w:t>15.08.2018Г. №82</w:t>
      </w:r>
    </w:p>
    <w:p w:rsidR="006809EA" w:rsidRPr="006809EA" w:rsidRDefault="006809EA" w:rsidP="006809EA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</w:pPr>
      <w:r w:rsidRPr="006809EA"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  <w:t>РОССИЙСКАЯ ФЕДЕРАЦИЯ</w:t>
      </w:r>
    </w:p>
    <w:p w:rsidR="006809EA" w:rsidRPr="006809EA" w:rsidRDefault="006809EA" w:rsidP="006809EA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</w:pPr>
      <w:r w:rsidRPr="006809EA"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  <w:t>ИРКУТСКАЯ ОБЛАСТЬ</w:t>
      </w:r>
    </w:p>
    <w:p w:rsidR="006809EA" w:rsidRPr="006809EA" w:rsidRDefault="006809EA" w:rsidP="006809EA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</w:pPr>
      <w:r w:rsidRPr="006809EA"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  <w:t>ИРКУТСКИЙ РАЙОН</w:t>
      </w:r>
    </w:p>
    <w:p w:rsidR="006809EA" w:rsidRPr="006809EA" w:rsidRDefault="006809EA" w:rsidP="006809EA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</w:pPr>
      <w:r w:rsidRPr="006809EA"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  <w:t>УСТЬ-БАЛЕЙСКОЕ МУНИЦИПАЛЬНОЕ ОБРАЗОВАНИЕ</w:t>
      </w:r>
    </w:p>
    <w:p w:rsidR="006809EA" w:rsidRPr="006809EA" w:rsidRDefault="006809EA" w:rsidP="006809EA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</w:pPr>
      <w:r w:rsidRPr="006809EA"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  <w:t>АДМИНИСТРАЦИЯ</w:t>
      </w:r>
    </w:p>
    <w:p w:rsidR="006809EA" w:rsidRPr="006809EA" w:rsidRDefault="006809EA" w:rsidP="006809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</w:pPr>
      <w:r w:rsidRPr="006809EA">
        <w:rPr>
          <w:rFonts w:ascii="Arial" w:eastAsia="Times New Roman" w:hAnsi="Arial" w:cs="Arial"/>
          <w:b/>
          <w:i w:val="0"/>
          <w:sz w:val="32"/>
          <w:szCs w:val="32"/>
          <w:lang w:eastAsia="ru-RU"/>
        </w:rPr>
        <w:t>ПОСТАНОВЛЕНИЕ</w:t>
      </w:r>
    </w:p>
    <w:p w:rsidR="00A02C0F" w:rsidRPr="006809EA" w:rsidRDefault="00A02C0F" w:rsidP="006809EA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lang w:eastAsia="ru-RU"/>
        </w:rPr>
      </w:pPr>
    </w:p>
    <w:p w:rsidR="006809EA" w:rsidRPr="006809EA" w:rsidRDefault="006809EA" w:rsidP="006809EA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szCs w:val="24"/>
          <w:lang w:eastAsia="ru-RU"/>
        </w:rPr>
      </w:pPr>
      <w:r w:rsidRPr="006809EA">
        <w:rPr>
          <w:rFonts w:ascii="Arial" w:eastAsia="Times New Roman" w:hAnsi="Arial" w:cs="Arial"/>
          <w:b/>
          <w:bCs/>
          <w:i w:val="0"/>
          <w:iCs w:val="0"/>
          <w:sz w:val="32"/>
          <w:szCs w:val="24"/>
          <w:lang w:eastAsia="ru-RU"/>
        </w:rPr>
        <w:t xml:space="preserve">ОБ УТВЕРЖДЕНИИ ПОРЯДКОВ ОПРЕДЕЛЕНИЯ </w:t>
      </w:r>
      <w:r w:rsidRPr="006809EA">
        <w:rPr>
          <w:rFonts w:ascii="Arial" w:eastAsia="Times New Roman" w:hAnsi="Arial" w:cs="Arial"/>
          <w:b/>
          <w:i w:val="0"/>
          <w:iCs w:val="0"/>
          <w:sz w:val="32"/>
          <w:szCs w:val="24"/>
          <w:lang w:eastAsia="ru-RU"/>
        </w:rPr>
        <w:t>ОБЪЕМА МЕЖБЮДЖЕТНЫХ ТРАНСФЕРТОВ, ПЕРЕДАВАЕМЫХ БЮДЖЕТУ ИРМО ИЗ БЮДЖЕТА УСТЬ-БАЛЕЙСКОГО МУНИЦИПАЛЬНОГО ОБРАЗОВАНИЯ НА ОСУЩЕСТВЛЕНИЕ В 2019 ГОДУ ОРГАНОМ МЕСТНОГО САМОУПРАВЛЕНИЯ ИРМО ПОЛНОМОЧИЯ ПО РЕШЕНИЮ ВОПРОСА МЕСТНОГО ЗНАЧЕНИЯ</w:t>
      </w:r>
    </w:p>
    <w:p w:rsidR="00A02C0F" w:rsidRPr="006809EA" w:rsidRDefault="00A02C0F" w:rsidP="006809EA">
      <w:pPr>
        <w:spacing w:after="0" w:line="240" w:lineRule="auto"/>
        <w:jc w:val="center"/>
        <w:rPr>
          <w:rFonts w:ascii="Arial" w:eastAsia="Times New Roman" w:hAnsi="Arial" w:cs="Arial"/>
          <w:b/>
          <w:i w:val="0"/>
          <w:iCs w:val="0"/>
          <w:sz w:val="32"/>
          <w:lang w:eastAsia="ru-RU"/>
        </w:rPr>
      </w:pPr>
    </w:p>
    <w:p w:rsidR="00A02C0F" w:rsidRPr="006809EA" w:rsidRDefault="00A02C0F" w:rsidP="006809E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</w:pP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Руководствуясь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п.4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ст.15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Федерального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закона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от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06.10.2003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года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№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131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«Об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общих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принципах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организации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местного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самоуправления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в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Российской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Федерации»,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Уставом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Усть-Балейского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муниципального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образования,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</w:p>
    <w:p w:rsidR="006809EA" w:rsidRPr="006809EA" w:rsidRDefault="006809EA" w:rsidP="006809EA">
      <w:pPr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sz w:val="30"/>
          <w:szCs w:val="30"/>
          <w:lang w:eastAsia="ru-RU"/>
        </w:rPr>
      </w:pPr>
    </w:p>
    <w:p w:rsidR="00A02C0F" w:rsidRPr="006809EA" w:rsidRDefault="00A02C0F" w:rsidP="006809EA">
      <w:pPr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sz w:val="30"/>
          <w:szCs w:val="30"/>
          <w:lang w:eastAsia="ru-RU"/>
        </w:rPr>
      </w:pPr>
      <w:r w:rsidRPr="006809EA">
        <w:rPr>
          <w:rFonts w:ascii="Arial" w:eastAsia="Times New Roman" w:hAnsi="Arial" w:cs="Arial"/>
          <w:b/>
          <w:bCs/>
          <w:i w:val="0"/>
          <w:iCs w:val="0"/>
          <w:sz w:val="30"/>
          <w:szCs w:val="30"/>
          <w:lang w:eastAsia="ru-RU"/>
        </w:rPr>
        <w:t>ПОСТАНОВЛЯЮ:</w:t>
      </w:r>
    </w:p>
    <w:p w:rsidR="006809EA" w:rsidRPr="006809EA" w:rsidRDefault="006809EA" w:rsidP="006809EA">
      <w:pPr>
        <w:spacing w:after="0" w:line="240" w:lineRule="auto"/>
        <w:jc w:val="center"/>
        <w:rPr>
          <w:rFonts w:ascii="Arial" w:eastAsia="Times New Roman" w:hAnsi="Arial" w:cs="Arial"/>
          <w:b/>
          <w:bCs/>
          <w:i w:val="0"/>
          <w:iCs w:val="0"/>
          <w:sz w:val="30"/>
          <w:szCs w:val="30"/>
          <w:lang w:eastAsia="ru-RU"/>
        </w:rPr>
      </w:pPr>
    </w:p>
    <w:p w:rsidR="00A02C0F" w:rsidRPr="006809EA" w:rsidRDefault="006809EA" w:rsidP="006809E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1.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Утвердить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орядок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определения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объема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межбюджетных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трансфертов,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передаваемых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бюджету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ИРМО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из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бюджета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Усть-Балейского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муниципального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образования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на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осуществление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в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2019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году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органом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местного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самоуправления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ИРМО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полномочия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по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решению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вопроса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местного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значения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«Формирование,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утверждение,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исполнение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бюджета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поселения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и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proofErr w:type="gramStart"/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контроль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за</w:t>
      </w:r>
      <w:proofErr w:type="gramEnd"/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исполнением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данного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бюджета»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в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части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разработки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прогноза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социально-экономического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развития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поселения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на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очередной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финансовый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год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и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плановый</w:t>
      </w:r>
      <w:r w:rsidRPr="006809EA">
        <w:rPr>
          <w:rFonts w:ascii="Arial" w:eastAsia="Calibri" w:hAnsi="Arial" w:cs="Arial"/>
          <w:i w:val="0"/>
          <w:iCs w:val="0"/>
          <w:sz w:val="24"/>
          <w:szCs w:val="24"/>
        </w:rPr>
        <w:t xml:space="preserve"> </w:t>
      </w:r>
      <w:r w:rsidR="00A02C0F" w:rsidRPr="006809EA">
        <w:rPr>
          <w:rFonts w:ascii="Arial" w:eastAsia="Calibri" w:hAnsi="Arial" w:cs="Arial"/>
          <w:i w:val="0"/>
          <w:iCs w:val="0"/>
          <w:sz w:val="24"/>
          <w:szCs w:val="24"/>
        </w:rPr>
        <w:t>период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(приложение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№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1).</w:t>
      </w:r>
    </w:p>
    <w:p w:rsidR="00A02C0F" w:rsidRPr="006809EA" w:rsidRDefault="006809EA" w:rsidP="006809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2.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Установить,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что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межбюджетные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трансферты,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предаваемые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бюджету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Иркутского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районного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образования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из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Бюджета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Усть-Балейского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муниципального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образования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на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осуществление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полномочий,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могут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использоваться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в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целях:</w:t>
      </w:r>
    </w:p>
    <w:p w:rsidR="007C6146" w:rsidRPr="006809EA" w:rsidRDefault="00A02C0F" w:rsidP="006809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</w:pP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2.1.оплаты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труда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муниципальных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служащих,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на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которых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в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соответствии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с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распоряжением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администрации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района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возложено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исполнение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полномочий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поселения;</w:t>
      </w:r>
    </w:p>
    <w:p w:rsidR="007C6146" w:rsidRPr="006809EA" w:rsidRDefault="007C6146" w:rsidP="006809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</w:pP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2.2.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заключения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договоров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гражданско-правового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характера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с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физическими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лицами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для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исполнения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полномочий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поселений;</w:t>
      </w:r>
    </w:p>
    <w:p w:rsidR="007C6146" w:rsidRPr="006809EA" w:rsidRDefault="007C6146" w:rsidP="006809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</w:pP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2.3.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материально-технического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обеспечения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деятельности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органа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местного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самоуправления,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которому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переданы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полномочия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="00A02C0F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поселения;</w:t>
      </w:r>
    </w:p>
    <w:p w:rsidR="00A02C0F" w:rsidRPr="006809EA" w:rsidRDefault="00A02C0F" w:rsidP="006809EA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</w:pP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2.4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повышения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квалификации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муниципальных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служащих,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на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которых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в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соответствии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с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распоряжением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администрации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района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возложено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исполнение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полномочий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>поселения.</w:t>
      </w:r>
      <w:r w:rsidR="006809EA" w:rsidRPr="006809EA">
        <w:rPr>
          <w:rFonts w:ascii="Arial" w:eastAsia="Times New Roman" w:hAnsi="Arial" w:cs="Arial"/>
          <w:bCs/>
          <w:i w:val="0"/>
          <w:iCs w:val="0"/>
          <w:sz w:val="24"/>
          <w:szCs w:val="24"/>
          <w:lang w:eastAsia="ru-RU"/>
        </w:rPr>
        <w:t xml:space="preserve"> </w:t>
      </w:r>
    </w:p>
    <w:p w:rsidR="00A02C0F" w:rsidRPr="006809EA" w:rsidRDefault="00A02C0F" w:rsidP="006809EA">
      <w:pPr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3.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proofErr w:type="gramStart"/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Контроль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за</w:t>
      </w:r>
      <w:proofErr w:type="gramEnd"/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исполнением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настоящего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постановления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оставляю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за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собой.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</w:p>
    <w:p w:rsidR="00A02C0F" w:rsidRPr="006809EA" w:rsidRDefault="00A02C0F" w:rsidP="006809EA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7C6146" w:rsidRPr="006809EA" w:rsidRDefault="007C6146" w:rsidP="006809EA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</w:p>
    <w:p w:rsidR="00A02C0F" w:rsidRPr="006809EA" w:rsidRDefault="00A02C0F" w:rsidP="006809EA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И.о</w:t>
      </w:r>
      <w:proofErr w:type="gramStart"/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.г</w:t>
      </w:r>
      <w:proofErr w:type="gramEnd"/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лавы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Усть-Балейского</w:t>
      </w:r>
    </w:p>
    <w:p w:rsidR="006809EA" w:rsidRDefault="00A02C0F" w:rsidP="006809EA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lastRenderedPageBreak/>
        <w:t>муниципального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образования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</w:p>
    <w:p w:rsidR="00A02C0F" w:rsidRPr="006809EA" w:rsidRDefault="00A02C0F" w:rsidP="006809EA">
      <w:pPr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Н.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А.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Барсукова</w:t>
      </w:r>
    </w:p>
    <w:p w:rsidR="00A02C0F" w:rsidRPr="00DF0BBB" w:rsidRDefault="00A02C0F" w:rsidP="006809EA">
      <w:pPr>
        <w:spacing w:after="0"/>
        <w:jc w:val="right"/>
        <w:rPr>
          <w:rFonts w:ascii="Courier New" w:hAnsi="Courier New" w:cs="Courier New"/>
          <w:i w:val="0"/>
          <w:sz w:val="22"/>
        </w:rPr>
      </w:pPr>
    </w:p>
    <w:p w:rsidR="00A02C0F" w:rsidRPr="006809EA" w:rsidRDefault="00A02C0F" w:rsidP="006809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eastAsia="Times New Roman" w:hAnsi="Courier New" w:cs="Courier New"/>
          <w:i w:val="0"/>
          <w:iCs w:val="0"/>
          <w:sz w:val="22"/>
          <w:szCs w:val="24"/>
          <w:lang w:eastAsia="ar-SA"/>
        </w:rPr>
      </w:pPr>
    </w:p>
    <w:p w:rsidR="00D75C05" w:rsidRPr="006809EA" w:rsidRDefault="00D75C05" w:rsidP="006809EA">
      <w:pPr>
        <w:spacing w:after="0" w:line="240" w:lineRule="auto"/>
        <w:jc w:val="right"/>
        <w:rPr>
          <w:rFonts w:ascii="Courier New" w:eastAsia="Times New Roman" w:hAnsi="Courier New" w:cs="Courier New"/>
          <w:i w:val="0"/>
          <w:iCs w:val="0"/>
          <w:sz w:val="22"/>
          <w:lang w:eastAsia="ru-RU"/>
        </w:rPr>
      </w:pP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Приложение</w:t>
      </w:r>
      <w:r w:rsidR="006809EA"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 xml:space="preserve"> </w:t>
      </w: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№</w:t>
      </w:r>
      <w:r w:rsidR="006809EA"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 xml:space="preserve"> </w:t>
      </w: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1</w:t>
      </w:r>
    </w:p>
    <w:p w:rsidR="00D75C05" w:rsidRPr="006809EA" w:rsidRDefault="006809EA" w:rsidP="006809EA">
      <w:pPr>
        <w:spacing w:after="0" w:line="240" w:lineRule="auto"/>
        <w:jc w:val="right"/>
        <w:rPr>
          <w:rFonts w:ascii="Courier New" w:eastAsia="Times New Roman" w:hAnsi="Courier New" w:cs="Courier New"/>
          <w:i w:val="0"/>
          <w:iCs w:val="0"/>
          <w:sz w:val="22"/>
          <w:lang w:eastAsia="ru-RU"/>
        </w:rPr>
      </w:pP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 xml:space="preserve"> </w:t>
      </w:r>
      <w:r w:rsidR="00D75C05"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к</w:t>
      </w: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 xml:space="preserve"> </w:t>
      </w:r>
      <w:r w:rsidR="00D75C05"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Постановлению</w:t>
      </w: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 xml:space="preserve"> </w:t>
      </w:r>
      <w:r w:rsidR="00D75C05"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Главы</w:t>
      </w:r>
    </w:p>
    <w:p w:rsidR="00D75C05" w:rsidRPr="006809EA" w:rsidRDefault="00D75C05" w:rsidP="006809EA">
      <w:pPr>
        <w:spacing w:after="0" w:line="240" w:lineRule="auto"/>
        <w:jc w:val="right"/>
        <w:rPr>
          <w:rFonts w:ascii="Courier New" w:eastAsia="Times New Roman" w:hAnsi="Courier New" w:cs="Courier New"/>
          <w:i w:val="0"/>
          <w:iCs w:val="0"/>
          <w:sz w:val="22"/>
          <w:lang w:eastAsia="ru-RU"/>
        </w:rPr>
      </w:pP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Усть-Балейского</w:t>
      </w:r>
      <w:r w:rsidR="006809EA"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 xml:space="preserve"> </w:t>
      </w: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муниципального</w:t>
      </w:r>
      <w:r w:rsidR="006809EA"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 xml:space="preserve"> </w:t>
      </w: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образования</w:t>
      </w:r>
    </w:p>
    <w:p w:rsidR="00D75C05" w:rsidRPr="006809EA" w:rsidRDefault="00D75C05" w:rsidP="006809EA">
      <w:pPr>
        <w:spacing w:after="0" w:line="240" w:lineRule="auto"/>
        <w:jc w:val="right"/>
        <w:rPr>
          <w:rFonts w:ascii="Courier New" w:eastAsia="Times New Roman" w:hAnsi="Courier New" w:cs="Courier New"/>
          <w:i w:val="0"/>
          <w:iCs w:val="0"/>
          <w:sz w:val="22"/>
          <w:lang w:eastAsia="ru-RU"/>
        </w:rPr>
      </w:pP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от</w:t>
      </w:r>
      <w:r w:rsidR="006809EA"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 xml:space="preserve"> </w:t>
      </w: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15.08.2018</w:t>
      </w:r>
      <w:r w:rsidR="006809EA"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 xml:space="preserve"> </w:t>
      </w: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№</w:t>
      </w:r>
      <w:r w:rsidR="006809EA"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 xml:space="preserve"> </w:t>
      </w:r>
      <w:r w:rsidRPr="006809EA">
        <w:rPr>
          <w:rFonts w:ascii="Courier New" w:eastAsia="Times New Roman" w:hAnsi="Courier New" w:cs="Courier New"/>
          <w:i w:val="0"/>
          <w:iCs w:val="0"/>
          <w:sz w:val="22"/>
          <w:lang w:eastAsia="ru-RU"/>
        </w:rPr>
        <w:t>82</w:t>
      </w:r>
    </w:p>
    <w:p w:rsidR="00D75C05" w:rsidRPr="00060E22" w:rsidRDefault="00D75C05" w:rsidP="006809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 w:val="0"/>
          <w:iCs w:val="0"/>
          <w:sz w:val="30"/>
          <w:szCs w:val="30"/>
          <w:lang w:eastAsia="ar-SA"/>
        </w:rPr>
      </w:pPr>
    </w:p>
    <w:p w:rsidR="00A02C0F" w:rsidRPr="00060E22" w:rsidRDefault="006809EA" w:rsidP="006809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 w:val="0"/>
          <w:iCs w:val="0"/>
          <w:sz w:val="30"/>
          <w:szCs w:val="30"/>
          <w:lang w:eastAsia="ar-SA"/>
        </w:rPr>
      </w:pPr>
      <w:r w:rsidRPr="00060E22">
        <w:rPr>
          <w:rFonts w:ascii="Arial" w:eastAsia="Times New Roman" w:hAnsi="Arial" w:cs="Arial"/>
          <w:b/>
          <w:i w:val="0"/>
          <w:iCs w:val="0"/>
          <w:sz w:val="30"/>
          <w:szCs w:val="30"/>
          <w:lang w:eastAsia="ar-SA"/>
        </w:rPr>
        <w:t>ПОРЯДОК</w:t>
      </w:r>
    </w:p>
    <w:p w:rsidR="00A02C0F" w:rsidRPr="00060E22" w:rsidRDefault="006809EA" w:rsidP="006809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 w:val="0"/>
          <w:iCs w:val="0"/>
          <w:sz w:val="30"/>
          <w:szCs w:val="30"/>
          <w:lang w:eastAsia="ar-SA"/>
        </w:rPr>
      </w:pPr>
      <w:proofErr w:type="gramStart"/>
      <w:r w:rsidRPr="00060E22">
        <w:rPr>
          <w:rFonts w:ascii="Arial" w:eastAsia="Times New Roman" w:hAnsi="Arial" w:cs="Arial"/>
          <w:b/>
          <w:i w:val="0"/>
          <w:iCs w:val="0"/>
          <w:sz w:val="30"/>
          <w:szCs w:val="30"/>
          <w:lang w:eastAsia="ar-SA"/>
        </w:rPr>
        <w:t>ОПРЕДЕЛЕНИЯ ОБЪЕМА МЕЖБЮДЖЕТНЫХ ТРАНСФЕРТОВ, ПЕРЕДАВАЕМЫХ БЮДЖЕТУ ИРМО ИЗ БЮДЖЕТА УСТЬ-БАЛЕЙСКОГО МУНИЦИПАЛЬНОГО ОБРАЗОВАНИЯ НА ОСУЩЕСТВЛЕНИЕ В 2019 ГОДУ ОРГАНОМ МЕСТНОГО САМОУПРАВЛЕНИЯ ИРМО ПОЛНОМОЧИЯ ПО РЕШЕНИЮ ВОПРОСА МЕСТНОГО ЗНАЧЕНИЯ «ФОРМИРОВАНИЕ, УТВЕРЖДЕНИЕ, ИСПОЛНЕНИЕ БЮДЖЕТА ПОСЕЛЕНИЯ И КОНТРОЛЬ ЗА ИСПОЛНЕНИЕМ ДАННОГО БЮДЖЕТА» В ЧАСТИ РАЗРАБОТКИ ПРОГНОЗА СОЦИАЛЬНО-ЭКОНОМИЧЕСКОГО РАЗВИТИЯ ПОСЕЛЕНИЯ НА ОЧЕРЕДНОЙ ФИНАНСОВЫЙ ГОД И ПЛАНОВЫЙ ПЕРИОД.</w:t>
      </w:r>
      <w:proofErr w:type="gramEnd"/>
    </w:p>
    <w:p w:rsidR="00A02C0F" w:rsidRPr="00060E22" w:rsidRDefault="00A02C0F" w:rsidP="006809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 w:val="0"/>
          <w:iCs w:val="0"/>
          <w:sz w:val="30"/>
          <w:szCs w:val="30"/>
          <w:lang w:eastAsia="ar-SA"/>
        </w:rPr>
      </w:pP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1.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proofErr w:type="gramStart"/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Объем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межбюджетных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трансфертов,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передаваемых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бюджету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ИРМО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из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бюджета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="00D75C05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Усть-Балейского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муниципального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образования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осуществление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в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2019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году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органом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местного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самоуправления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ИРМО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полномочия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решению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вопроса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местного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значения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«Формирование,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утверждение,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исполнение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бюджета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контроль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за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исполнением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данного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бюджета»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в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части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разработки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прогноза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социально-экономического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развития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очередной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финансовый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год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плановый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период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(далее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–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полномочие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поселения)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определяется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формуле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(1):</w:t>
      </w:r>
      <w:proofErr w:type="gramEnd"/>
    </w:p>
    <w:p w:rsidR="00D75C05" w:rsidRPr="006809EA" w:rsidRDefault="00D75C05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val="en-US" w:eastAsia="ar-SA"/>
        </w:rPr>
        <w:t>C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=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ОТ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val="en-US" w:eastAsia="ar-SA"/>
        </w:rPr>
        <w:t>x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ZT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+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val="en-US" w:eastAsia="ar-SA"/>
        </w:rPr>
        <w:t>MZ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(1)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где: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–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объем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межбюджетных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трансфертов,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передаваемых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бюджету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ИРМО;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proofErr w:type="gramStart"/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ОТ</w:t>
      </w:r>
      <w:proofErr w:type="gramEnd"/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–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proofErr w:type="gramStart"/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стоимость</w:t>
      </w:r>
      <w:proofErr w:type="gramEnd"/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труда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муниципального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служащего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исполнение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полномочия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поселения;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val="en-US" w:eastAsia="ar-SA"/>
        </w:rPr>
        <w:t>ZT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–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затраты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труда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муниципального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служащего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исполнение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полномочия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поселения;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M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val="en-US" w:eastAsia="ar-SA"/>
        </w:rPr>
        <w:t>Z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–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материальные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затраты,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необходимые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для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осуществления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полномочия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(определяется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как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15%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от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произведения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стоимости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труда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затрат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труда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муниципального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служащего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исполнение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полномочия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поселения).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2.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Стоимость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труда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муниципального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служащего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исполнение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полномочия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</w:t>
      </w:r>
      <w:proofErr w:type="gramStart"/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ОТ</w:t>
      </w:r>
      <w:proofErr w:type="gramEnd"/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)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определяется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формуле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(2):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ОТ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=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proofErr w:type="spellStart"/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val="en-US" w:eastAsia="ar-SA"/>
        </w:rPr>
        <w:t>OxFxKxD</w:t>
      </w:r>
      <w:proofErr w:type="spellEnd"/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/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val="en-US" w:eastAsia="ar-SA"/>
        </w:rPr>
        <w:t>Y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(2)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где: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O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–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должностной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оклад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конкретной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должности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муниципальной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службы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для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исполнения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полномочия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(должностной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оклад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должности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главный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специалист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–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4045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руб.);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lastRenderedPageBreak/>
        <w:t>F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–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количество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должностных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окладов,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учитываемых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при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формировании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расходов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районного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бюджета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очередной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финансовый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год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оплату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труда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муниципального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служащего,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исполняющего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полномочие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(74,5);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K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–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районный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коэффициент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процентная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надбавка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за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непрерывный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стаж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работы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в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организациях,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расположенных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в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районах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Крайнего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Севера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приравненных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к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ним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местностях,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в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южных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районах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Иркутской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области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(1,6);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D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–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начисления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оплату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труда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муниципального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служащего,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исполняющего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полномочие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в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соответствии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законодательством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Российской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Федерации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(1,302);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val="en-US" w:eastAsia="ar-SA"/>
        </w:rPr>
        <w:t>Y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–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proofErr w:type="gramStart"/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количество</w:t>
      </w:r>
      <w:proofErr w:type="gramEnd"/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рабочих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дней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в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году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(247).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ОТ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=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4045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*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74,5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*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1,6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*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1,302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/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247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=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2541,61.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</w:p>
    <w:p w:rsidR="00A02C0F" w:rsidRPr="006809EA" w:rsidRDefault="006809EA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3. </w:t>
      </w:r>
      <w:r w:rsidR="00A02C0F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Затраты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="00A02C0F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труда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="00A02C0F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муниципального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="00A02C0F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служащего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="00A02C0F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="00A02C0F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исполнение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="00A02C0F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полномочия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="00A02C0F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="00A02C0F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</w:t>
      </w:r>
      <w:proofErr w:type="gramStart"/>
      <w:r w:rsidR="00A02C0F" w:rsidRPr="006809EA">
        <w:rPr>
          <w:rFonts w:ascii="Arial" w:eastAsia="Times New Roman" w:hAnsi="Arial" w:cs="Arial"/>
          <w:i w:val="0"/>
          <w:iCs w:val="0"/>
          <w:sz w:val="24"/>
          <w:szCs w:val="24"/>
          <w:lang w:val="en-US" w:eastAsia="ar-SA"/>
        </w:rPr>
        <w:t>Z</w:t>
      </w:r>
      <w:proofErr w:type="gramEnd"/>
      <w:r w:rsidR="00A02C0F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Т)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="00A02C0F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составляют:</w:t>
      </w:r>
    </w:p>
    <w:p w:rsidR="00D75C05" w:rsidRPr="006809EA" w:rsidRDefault="00D75C05" w:rsidP="006809E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6"/>
        <w:gridCol w:w="2535"/>
      </w:tblGrid>
      <w:tr w:rsidR="00A02C0F" w:rsidRPr="006809EA" w:rsidTr="006809EA">
        <w:trPr>
          <w:trHeight w:val="433"/>
        </w:trPr>
        <w:tc>
          <w:tcPr>
            <w:tcW w:w="7196" w:type="dxa"/>
            <w:vAlign w:val="center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Вид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работ</w:t>
            </w:r>
          </w:p>
        </w:tc>
        <w:tc>
          <w:tcPr>
            <w:tcW w:w="2551" w:type="dxa"/>
            <w:vAlign w:val="center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Затраты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труда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муниципального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служащего,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рабочих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дней</w:t>
            </w:r>
          </w:p>
        </w:tc>
      </w:tr>
      <w:tr w:rsidR="00A02C0F" w:rsidRPr="006809EA" w:rsidTr="006809EA">
        <w:trPr>
          <w:trHeight w:val="409"/>
        </w:trPr>
        <w:tc>
          <w:tcPr>
            <w:tcW w:w="7196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Сбор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статистических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данных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работе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предприятий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организаций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в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отчетном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периоде</w:t>
            </w:r>
          </w:p>
        </w:tc>
        <w:tc>
          <w:tcPr>
            <w:tcW w:w="2551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0,3</w:t>
            </w:r>
          </w:p>
        </w:tc>
      </w:tr>
      <w:tr w:rsidR="00A02C0F" w:rsidRPr="006809EA" w:rsidTr="006809EA">
        <w:trPr>
          <w:trHeight w:val="409"/>
        </w:trPr>
        <w:tc>
          <w:tcPr>
            <w:tcW w:w="7196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Анализ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сценарных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условий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функционирования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экономики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Российской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Федерации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на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отчетный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год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плановый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период</w:t>
            </w:r>
          </w:p>
        </w:tc>
        <w:tc>
          <w:tcPr>
            <w:tcW w:w="2551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0,3</w:t>
            </w:r>
          </w:p>
        </w:tc>
      </w:tr>
      <w:tr w:rsidR="00A02C0F" w:rsidRPr="006809EA" w:rsidTr="006809EA">
        <w:trPr>
          <w:trHeight w:val="409"/>
        </w:trPr>
        <w:tc>
          <w:tcPr>
            <w:tcW w:w="7196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Анализ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основных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параметров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прогноза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Российской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Федерации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на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отчетный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год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плановый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период</w:t>
            </w:r>
          </w:p>
        </w:tc>
        <w:tc>
          <w:tcPr>
            <w:tcW w:w="2551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0,3</w:t>
            </w:r>
          </w:p>
        </w:tc>
      </w:tr>
      <w:tr w:rsidR="00A02C0F" w:rsidRPr="006809EA" w:rsidTr="006809EA">
        <w:trPr>
          <w:trHeight w:val="409"/>
        </w:trPr>
        <w:tc>
          <w:tcPr>
            <w:tcW w:w="7196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Анализ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основных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параметров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прогноза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Иркутской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области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на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отчетный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год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плановый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период</w:t>
            </w:r>
          </w:p>
        </w:tc>
        <w:tc>
          <w:tcPr>
            <w:tcW w:w="2551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0,3</w:t>
            </w:r>
          </w:p>
        </w:tc>
      </w:tr>
      <w:tr w:rsidR="00A02C0F" w:rsidRPr="006809EA" w:rsidTr="006809EA">
        <w:trPr>
          <w:trHeight w:val="409"/>
        </w:trPr>
        <w:tc>
          <w:tcPr>
            <w:tcW w:w="7196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Выявление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тенденций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развития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Российской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Федерации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Иркутской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области,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оказывающих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влияние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на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социально-экономическое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развитие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Иркутского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района</w:t>
            </w:r>
          </w:p>
        </w:tc>
        <w:tc>
          <w:tcPr>
            <w:tcW w:w="2551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0,3</w:t>
            </w:r>
          </w:p>
        </w:tc>
      </w:tr>
      <w:tr w:rsidR="00A02C0F" w:rsidRPr="006809EA" w:rsidTr="006809EA">
        <w:trPr>
          <w:trHeight w:val="409"/>
        </w:trPr>
        <w:tc>
          <w:tcPr>
            <w:tcW w:w="7196" w:type="dxa"/>
            <w:shd w:val="clear" w:color="auto" w:fill="auto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Выявление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основных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трендов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социально-экономического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демографического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развития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поселения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на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плановый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период</w:t>
            </w:r>
          </w:p>
        </w:tc>
        <w:tc>
          <w:tcPr>
            <w:tcW w:w="2551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0,4</w:t>
            </w:r>
          </w:p>
        </w:tc>
      </w:tr>
      <w:tr w:rsidR="00A02C0F" w:rsidRPr="006809EA" w:rsidTr="006809EA">
        <w:trPr>
          <w:trHeight w:val="409"/>
        </w:trPr>
        <w:tc>
          <w:tcPr>
            <w:tcW w:w="7196" w:type="dxa"/>
            <w:shd w:val="clear" w:color="auto" w:fill="auto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Выявление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основных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тенденций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развития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хозяйствующих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субъектов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размещенных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на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территории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поселения</w:t>
            </w:r>
          </w:p>
        </w:tc>
        <w:tc>
          <w:tcPr>
            <w:tcW w:w="2551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1,2</w:t>
            </w:r>
          </w:p>
        </w:tc>
      </w:tr>
      <w:tr w:rsidR="00A02C0F" w:rsidRPr="006809EA" w:rsidTr="006809EA">
        <w:trPr>
          <w:trHeight w:val="409"/>
        </w:trPr>
        <w:tc>
          <w:tcPr>
            <w:tcW w:w="7196" w:type="dxa"/>
            <w:shd w:val="clear" w:color="auto" w:fill="auto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Формирование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прогноза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развития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поселения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в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плановом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периоде</w:t>
            </w:r>
          </w:p>
        </w:tc>
        <w:tc>
          <w:tcPr>
            <w:tcW w:w="2551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2,0</w:t>
            </w:r>
          </w:p>
        </w:tc>
      </w:tr>
      <w:tr w:rsidR="00A02C0F" w:rsidRPr="006809EA" w:rsidTr="006809EA">
        <w:trPr>
          <w:trHeight w:val="409"/>
        </w:trPr>
        <w:tc>
          <w:tcPr>
            <w:tcW w:w="7196" w:type="dxa"/>
            <w:shd w:val="clear" w:color="auto" w:fill="auto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Составление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краткой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пояснительной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записки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к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прогнозу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социально-экономического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развития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поселения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на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очередной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финансовый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год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и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плановый</w:t>
            </w:r>
            <w:r w:rsidR="006809EA"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 xml:space="preserve"> </w:t>
            </w: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период</w:t>
            </w:r>
          </w:p>
        </w:tc>
        <w:tc>
          <w:tcPr>
            <w:tcW w:w="2551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1,0</w:t>
            </w:r>
          </w:p>
        </w:tc>
      </w:tr>
      <w:tr w:rsidR="00A02C0F" w:rsidRPr="006809EA" w:rsidTr="006809EA">
        <w:trPr>
          <w:trHeight w:val="409"/>
        </w:trPr>
        <w:tc>
          <w:tcPr>
            <w:tcW w:w="7196" w:type="dxa"/>
            <w:shd w:val="clear" w:color="auto" w:fill="auto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Итого</w:t>
            </w:r>
          </w:p>
        </w:tc>
        <w:tc>
          <w:tcPr>
            <w:tcW w:w="2551" w:type="dxa"/>
          </w:tcPr>
          <w:p w:rsidR="00A02C0F" w:rsidRPr="006809EA" w:rsidRDefault="00A02C0F" w:rsidP="006809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</w:pPr>
            <w:r w:rsidRPr="006809EA">
              <w:rPr>
                <w:rFonts w:ascii="Courier New" w:eastAsia="Times New Roman" w:hAnsi="Courier New" w:cs="Courier New"/>
                <w:i w:val="0"/>
                <w:iCs w:val="0"/>
                <w:sz w:val="22"/>
                <w:szCs w:val="24"/>
                <w:lang w:eastAsia="ar-SA"/>
              </w:rPr>
              <w:t>6,1</w:t>
            </w:r>
          </w:p>
        </w:tc>
      </w:tr>
    </w:tbl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4.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proofErr w:type="gramStart"/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Объем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межбюджетных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трансфертов,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передаваемых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бюджету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ИРМО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из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бюджета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="00D75C05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Усть-Балейского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муниципального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образования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осуществление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в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2019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году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органом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местного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самоуправления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ИРМО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полномочия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решению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вопроса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местного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значения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«Формирование,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утверждение,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исполнение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бюджета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контроль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за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исполнением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данного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бюджета»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в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части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разработки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прогноза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социально-экономического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развития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поселения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на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очередной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финансовый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год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и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плановый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период,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составляет:</w:t>
      </w:r>
      <w:proofErr w:type="gramEnd"/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</w:pP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С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=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2541,61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*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6,1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+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(2541,61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*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6,1*0,15)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=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17829,39</w:t>
      </w:r>
      <w:r w:rsidR="006809EA"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 xml:space="preserve"> </w:t>
      </w:r>
      <w:r w:rsidRPr="006809EA">
        <w:rPr>
          <w:rFonts w:ascii="Arial" w:eastAsia="Times New Roman" w:hAnsi="Arial" w:cs="Arial"/>
          <w:i w:val="0"/>
          <w:iCs w:val="0"/>
          <w:sz w:val="24"/>
          <w:szCs w:val="24"/>
          <w:lang w:eastAsia="ar-SA"/>
        </w:rPr>
        <w:t>рубля</w:t>
      </w:r>
    </w:p>
    <w:p w:rsidR="00A02C0F" w:rsidRPr="006809EA" w:rsidRDefault="00A02C0F" w:rsidP="006809EA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i w:val="0"/>
          <w:iCs w:val="0"/>
          <w:sz w:val="28"/>
          <w:szCs w:val="28"/>
          <w:lang w:eastAsia="ar-SA"/>
        </w:rPr>
      </w:pPr>
    </w:p>
    <w:p w:rsidR="00A02C0F" w:rsidRPr="006809EA" w:rsidRDefault="00A02C0F" w:rsidP="006809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i w:val="0"/>
          <w:iCs w:val="0"/>
          <w:sz w:val="28"/>
          <w:szCs w:val="28"/>
          <w:lang w:eastAsia="ar-SA"/>
        </w:rPr>
      </w:pPr>
    </w:p>
    <w:sectPr w:rsidR="00A02C0F" w:rsidRPr="006809EA" w:rsidSect="0076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7F4"/>
    <w:multiLevelType w:val="multilevel"/>
    <w:tmpl w:val="491631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223FB6"/>
    <w:multiLevelType w:val="multilevel"/>
    <w:tmpl w:val="A0D6DC9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2">
    <w:nsid w:val="71FB77C1"/>
    <w:multiLevelType w:val="multilevel"/>
    <w:tmpl w:val="FF98F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3D6"/>
    <w:rsid w:val="00041172"/>
    <w:rsid w:val="00060E22"/>
    <w:rsid w:val="000E489E"/>
    <w:rsid w:val="00111DE7"/>
    <w:rsid w:val="001473D6"/>
    <w:rsid w:val="00571190"/>
    <w:rsid w:val="006809EA"/>
    <w:rsid w:val="00761727"/>
    <w:rsid w:val="007C6146"/>
    <w:rsid w:val="00827C5E"/>
    <w:rsid w:val="00A02C0F"/>
    <w:rsid w:val="00A35FF5"/>
    <w:rsid w:val="00BD53C1"/>
    <w:rsid w:val="00D75C05"/>
    <w:rsid w:val="00DF0BBB"/>
    <w:rsid w:val="00EA3A5F"/>
    <w:rsid w:val="00EB008E"/>
    <w:rsid w:val="00F92397"/>
    <w:rsid w:val="00FD1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7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117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4117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4117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17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17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17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17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1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1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17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11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411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411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4117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117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117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411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4117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117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41172"/>
    <w:rPr>
      <w:b/>
      <w:bCs/>
      <w:spacing w:val="0"/>
    </w:rPr>
  </w:style>
  <w:style w:type="character" w:styleId="a9">
    <w:name w:val="Emphasis"/>
    <w:uiPriority w:val="20"/>
    <w:qFormat/>
    <w:rsid w:val="0004117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411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1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17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4117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411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411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411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411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4117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4117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4117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117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7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4117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4117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4117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17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117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117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117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117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117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17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4117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411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4117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411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4117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4117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117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4117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4117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4117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41172"/>
    <w:rPr>
      <w:b/>
      <w:bCs/>
      <w:spacing w:val="0"/>
    </w:rPr>
  </w:style>
  <w:style w:type="character" w:styleId="a9">
    <w:name w:val="Emphasis"/>
    <w:uiPriority w:val="20"/>
    <w:qFormat/>
    <w:rsid w:val="0004117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411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117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4117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4117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4117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4117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4117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4117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4117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4117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4117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41172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2018-08-20T02:40:00Z</cp:lastPrinted>
  <dcterms:created xsi:type="dcterms:W3CDTF">2018-08-20T02:10:00Z</dcterms:created>
  <dcterms:modified xsi:type="dcterms:W3CDTF">2018-09-06T02:28:00Z</dcterms:modified>
</cp:coreProperties>
</file>