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E126E">
        <w:rPr>
          <w:rFonts w:ascii="Times New Roman" w:hAnsi="Times New Roman" w:cs="Times New Roman"/>
          <w:b/>
          <w:sz w:val="32"/>
          <w:szCs w:val="32"/>
        </w:rPr>
        <w:t>РОССИЙСКАЯ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ОБЛАСТЬ</w:t>
      </w:r>
    </w:p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РАЙОН</w:t>
      </w:r>
    </w:p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УСТЬ-БАЛЕЙСКОЕ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МУНИЦИПАЛЬНОЕ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F5" w:rsidRPr="00BE126E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Глава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26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8C49F5" w:rsidRPr="00BE126E" w:rsidRDefault="008C49F5" w:rsidP="008C49F5">
      <w:pPr>
        <w:pStyle w:val="a3"/>
        <w:jc w:val="center"/>
        <w:rPr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C49F5" w:rsidRDefault="008C49F5" w:rsidP="008C49F5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06 марта 2015 г. № 18</w:t>
      </w:r>
    </w:p>
    <w:p w:rsidR="008C49F5" w:rsidRPr="00BE126E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26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Реестра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26E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9F5" w:rsidRPr="00BE126E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26E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Усть-Балейского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9F5" w:rsidRPr="00BE126E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126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26E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открытости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общедоступности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населению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27.07.2010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210-ФЗ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услуг»,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№131-ФЗ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17.12.2009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1993-р,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48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образования,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ПОСТАНОВЛЯЕТ: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новой редакции (приложение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утратившими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силу: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20.04.2012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ания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»;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15.11.2012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ого образования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»;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Бутырской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оригиналы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20.04.2012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34,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15.11.2012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актов.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услугах,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образования.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Вестнике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интернет-сайте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1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proofErr w:type="spellEnd"/>
      <w:r w:rsidRP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1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baleyskoe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собой.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Усть-Балейского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</w:p>
    <w:p w:rsidR="008C49F5" w:rsidRPr="00BE126E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  <w:r w:rsidRPr="00BE126E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Тирских</w:t>
      </w:r>
    </w:p>
    <w:p w:rsidR="008C49F5" w:rsidRPr="00BE126E" w:rsidRDefault="008C49F5" w:rsidP="008C4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 w:rsidRPr="00BE126E">
          <w:pgSz w:w="12240" w:h="15840"/>
          <w:pgMar w:top="1134" w:right="850" w:bottom="1134" w:left="1701" w:header="720" w:footer="720" w:gutter="0"/>
          <w:cols w:space="720"/>
        </w:sect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ИРКУТСКИЙ РАЙОН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УСТЬ-БАЛЕЙСКОЕ МУНИЦИПАЛЬНОЕ ОБРАЗОВАНИЕ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8C49F5" w:rsidRDefault="008C49F5" w:rsidP="008C49F5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C49F5" w:rsidRDefault="008C49F5" w:rsidP="008C49F5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06 марта 2015 г. № 18</w:t>
      </w:r>
    </w:p>
    <w:p w:rsidR="008C49F5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9F5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услуг Усть-Балейского муниципального образования </w:t>
      </w:r>
    </w:p>
    <w:p w:rsidR="008C49F5" w:rsidRDefault="008C49F5" w:rsidP="008C49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новой редакции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целях повышения открытости и общедоступности информации по предоставлению муниципальных услуг населению Усть-Балейского муниципального образования, реализации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руководствуясь статьями 6, 7, 48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Устава Усть-Балейского муниципального образования, администрация Усть-Балейского муниципального образования,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ПОСТАНОВЛЯЕТ: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Реестр муниципальных услуг Усть-Балейского муниципального образования в новой редакции (приложение).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Признать утратившими силу: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постановление администрации Усть-Балейского муниципального образования от 20.04.2012 г. № 34 «Об утверждении Реестра муниципальных услуг Усть-Балейского муниципального образования»;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постановление администрации Усть-Балейского муниципального образования от 15.11.2012 г. № 85 «Об утверждении Реестра муниципальных услуг Усть-Балейского муниципального образования »;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3. Заместителю главы администрации Е.В. Бутырской внести в оригиналы постановлений администрации Усть-Балейского муниципального образования от 20.04.2012 г. № 34, 15.11.2012 г. № 85 информацию об отмене правовых актов. 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муниципальных услугах, предоставляемых Администрацией Усть-Балейского муниципального образования, на официальном сайте администрации Усть-Балейского муниципального образования.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5. Опубликовать настоящее постановление в информационном Вестнике Усть-Балейского муниципального образования» и на интернет-сайте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baleyskoe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Глава администрации Усть-Балейского </w:t>
      </w:r>
    </w:p>
    <w:p w:rsidR="008C49F5" w:rsidRDefault="008C49F5" w:rsidP="008C49F5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муниципального образования В.В. Тирских</w:t>
      </w:r>
    </w:p>
    <w:p w:rsidR="008C49F5" w:rsidRDefault="008C49F5" w:rsidP="008C49F5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>
          <w:pgSz w:w="12240" w:h="15840"/>
          <w:pgMar w:top="1134" w:right="850" w:bottom="1134" w:left="1701" w:header="720" w:footer="720" w:gutter="0"/>
          <w:cols w:space="720"/>
        </w:sectPr>
      </w:pPr>
    </w:p>
    <w:p w:rsidR="008C49F5" w:rsidRDefault="008C49F5" w:rsidP="008C49F5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C49F5" w:rsidRDefault="008C49F5" w:rsidP="008C49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Усть-Балейского </w:t>
      </w:r>
    </w:p>
    <w:p w:rsidR="008C49F5" w:rsidRDefault="008C49F5" w:rsidP="008C49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C49F5" w:rsidRDefault="008C49F5" w:rsidP="008C49F5">
      <w:pPr>
        <w:pStyle w:val="a3"/>
        <w:tabs>
          <w:tab w:val="center" w:pos="4966"/>
          <w:tab w:val="left" w:pos="8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от «06 » марта 2015 года № 18</w:t>
      </w:r>
      <w:r>
        <w:rPr>
          <w:rFonts w:ascii="Times New Roman" w:hAnsi="Times New Roman" w:cs="Times New Roman"/>
        </w:rPr>
        <w:tab/>
      </w: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Усть-Балейского муниципального образования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Муниципальные услуги, предоставляемые администрацией Усть-Балейского муниципального образования</w:t>
      </w: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</w:p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669"/>
        <w:gridCol w:w="5105"/>
        <w:gridCol w:w="4254"/>
        <w:gridCol w:w="4227"/>
      </w:tblGrid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предоставления муниципальной услуги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 администрации Усть-Балейского муниципального образования, предоставляющего муниципальную услугу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выписок и копий документов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3,4 статьи 4 Федерального закона от 22.10.2004 №125-фз « Об архивном деле в Российской Федерации»;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 части 1 статьи 15 Федерального закона от 06.10.2003 № 131-ФЗ «Об общих принципах организации местного самоуправления в Российской Федерации;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№ 19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</w:t>
            </w:r>
          </w:p>
        </w:tc>
      </w:tr>
      <w:tr w:rsidR="008C49F5" w:rsidTr="00E04176">
        <w:trPr>
          <w:trHeight w:val="2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населению справок, выписок из домовых и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C2C"/>
              </w:rPr>
              <w:t>Выдача градостроительных планов земельных участков, расположенных на территории Усть-Балейского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статья 44 Градостроительного кодекса РФ;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2C2C2C"/>
              </w:rPr>
            </w:pPr>
            <w:r>
              <w:rPr>
                <w:rFonts w:ascii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Постановление Правительства РФ от 18.08.2011г. № 686 « 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2C2C2C"/>
              </w:rPr>
            </w:pPr>
            <w:r>
              <w:rPr>
                <w:rFonts w:ascii="Times New Roman" w:hAnsi="Times New Roman" w:cs="Times New Roman"/>
                <w:color w:val="2C2C2C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Усть-Балейского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Градостроительный кодекс РФ;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- </w:t>
            </w:r>
            <w:hyperlink r:id="rId6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- </w:t>
            </w:r>
            <w:hyperlink r:id="rId7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Министерства регионального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-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Организационный отдел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2C2C2C"/>
              </w:rPr>
            </w:pPr>
            <w:r>
              <w:rPr>
                <w:rFonts w:ascii="Times New Roman" w:hAnsi="Times New Roman" w:cs="Times New Roman"/>
                <w:color w:val="2C2C2C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Усть-Балейского муниципального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Жилищный кодекс Российской Федерации;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- </w:t>
            </w:r>
            <w:hyperlink r:id="rId8" w:history="1">
              <w:proofErr w:type="gramStart"/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2C2C2C"/>
              </w:rPr>
            </w:pPr>
            <w:proofErr w:type="gramStart"/>
            <w:r>
              <w:rPr>
                <w:rFonts w:ascii="Times New Roman" w:hAnsi="Times New Roman" w:cs="Times New Roman"/>
                <w:color w:val="2C2C2C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Усть-Балейского муниципального 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Жилищный кодекс Российской Федерации;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- </w:t>
            </w:r>
            <w:hyperlink r:id="rId9" w:history="1">
              <w:proofErr w:type="gramStart"/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Правительства Российской Федерации от 10 августа 2005 года № 502 «Об утверждении формы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уведомления о переводе (отказе в переводе) жилого (нежилого) помещения в нежилое (жилое) помещение»;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Организационный отдел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2C2C2C"/>
              </w:rPr>
            </w:pPr>
            <w:r>
              <w:rPr>
                <w:rFonts w:ascii="Times New Roman" w:hAnsi="Times New Roman" w:cs="Times New Roman"/>
                <w:color w:val="2C2C2C"/>
              </w:rPr>
              <w:t>Выдача юридическим и физическим лицам заключений об изменении разрешенного использования объектов недвижимости и выписок из Правил землепользования и застройки Усть-Балейского МО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 Жилищный кодекс Российской Федерации;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 xml:space="preserve">- </w:t>
            </w:r>
            <w:hyperlink r:id="rId10" w:history="1">
              <w:proofErr w:type="gramStart"/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8C49F5" w:rsidTr="00E04176">
        <w:trPr>
          <w:trHeight w:val="14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нотариальных действий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Пункт 3 части 1 статьи 14.1 Федерального закона от 6 октября 2003 г.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приказом Минюста РФ от 27 декабря 2007 г. N 256</w:t>
            </w:r>
            <w:proofErr w:type="gramEnd"/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Присвоение адресов присвоение наименований улицам, площадям и иным территориям </w:t>
            </w:r>
            <w:r>
              <w:rPr>
                <w:rFonts w:ascii="Times New Roman" w:hAnsi="Times New Roman" w:cs="Times New Roman"/>
              </w:rPr>
              <w:lastRenderedPageBreak/>
              <w:t>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21 части 1 статьи 14 Федерального закона от 06.10.2003 г. № 131-ФЗ «Об </w:t>
            </w:r>
            <w:r>
              <w:rPr>
                <w:rFonts w:ascii="Times New Roman" w:hAnsi="Times New Roman" w:cs="Times New Roman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Организационный отдел</w:t>
            </w:r>
          </w:p>
        </w:tc>
      </w:tr>
      <w:tr w:rsidR="008C49F5" w:rsidTr="00E04176">
        <w:trPr>
          <w:trHeight w:val="213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постановления о снижении брачного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Конституция Российской Федерации;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Гражданский кодекс Российской Федерации часть вторая от 26.01.1996 № 14-ФЗ;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Жилищный Кодекс РФ №188 ФЗ от 29.12.2004;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</w:t>
            </w:r>
          </w:p>
        </w:tc>
      </w:tr>
      <w:tr w:rsidR="008C49F5" w:rsidTr="00E0417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Назначение и выплата пенсии за выслугу лет муниципальных служащих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закон от 17 декабря 2001 г. </w:t>
            </w:r>
            <w:r>
              <w:rPr>
                <w:rFonts w:ascii="Times New Roman" w:hAnsi="Times New Roman" w:cs="Times New Roman"/>
              </w:rPr>
              <w:lastRenderedPageBreak/>
              <w:t>№173 – ФЗ «О трудовых пенсиях в Российской Федерации»;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02 марта 2007 г. №25 – ФЗ «О муниципальной службе в Российской Федерации».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Финансово-экономический отдел</w:t>
            </w:r>
          </w:p>
        </w:tc>
      </w:tr>
    </w:tbl>
    <w:p w:rsidR="008C49F5" w:rsidRDefault="008C49F5" w:rsidP="008C49F5">
      <w:pPr>
        <w:pStyle w:val="a3"/>
        <w:rPr>
          <w:rFonts w:ascii="Times New Roman" w:hAnsi="Times New Roman" w:cs="Times New Roman"/>
          <w:b/>
          <w:bCs/>
        </w:rPr>
      </w:pPr>
    </w:p>
    <w:p w:rsidR="008C49F5" w:rsidRDefault="008C49F5" w:rsidP="008C49F5">
      <w:pPr>
        <w:pStyle w:val="a3"/>
        <w:rPr>
          <w:rFonts w:ascii="Times New Roman" w:eastAsia="Times New Roman" w:hAnsi="Times New Roman" w:cs="Times New Roman"/>
          <w:b/>
          <w:bCs/>
          <w:color w:val="2C2C2C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2C"/>
          <w:lang w:eastAsia="ru-RU"/>
        </w:rPr>
        <w:t>II. Услуги, которые являются необходимыми и обязательными для предоставления администрацией Усть-Балейского муниципального образования муниципальных услуг</w:t>
      </w:r>
    </w:p>
    <w:p w:rsidR="008C49F5" w:rsidRDefault="008C49F5" w:rsidP="008C49F5">
      <w:pPr>
        <w:pStyle w:val="a3"/>
        <w:rPr>
          <w:rFonts w:ascii="Times New Roman" w:eastAsia="Times New Roman" w:hAnsi="Times New Roman" w:cs="Times New Roman"/>
          <w:color w:val="2C2C2C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492"/>
      </w:tblGrid>
      <w:tr w:rsidR="008C49F5" w:rsidTr="00E04176">
        <w:trPr>
          <w:trHeight w:val="8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Реестровый номер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Наименование муниципальной услуги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1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201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202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2.Согласование изменения вида разрешенного использования земельного участка органами, осуществляющими государственный контроль и надзор за использованием и охраной водных объектов (в случае если земельный участок расположен в водоохраной зоне или вблизи нее) Согласование изменения вида разрешенного использования земельного участка органами, осуществляющими государственный контроль и надзор за использованием и охраной водных объектов (в случае если земельный участок расположен в водоохраной зоне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вблизи нее)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203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3.Подготовка проекта рекламной конструкции; согласование с собственником или иным законным владельцем недвижимого имущества присоединения к этому имуществу рекламной конструкции, согласование использования общего имущества собственников помещений в многоквартирном доме в целях установки рекламных конструкций.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204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205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206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207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7.Выдача копии документов, удостоверяющих (устанавливающих) права на недвижимое имущество, если права на такое имущество не зарегистрировано в Едином государственном реестре прав на недвижимое имущество и сделок с ним.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lastRenderedPageBreak/>
              <w:t>208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92"/>
            <w:r>
              <w:rPr>
                <w:rFonts w:ascii="Times New Roman" w:hAnsi="Times New Roman" w:cs="Times New Roman"/>
              </w:rPr>
              <w:t>8.Проведение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  <w:bookmarkEnd w:id="1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209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93"/>
            <w:r>
              <w:rPr>
                <w:rFonts w:ascii="Times New Roman" w:hAnsi="Times New Roman" w:cs="Times New Roman"/>
              </w:rPr>
              <w:t>9.Государственный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недвижимости.</w:t>
            </w:r>
            <w:bookmarkEnd w:id="2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210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bookmarkStart w:id="3" w:name="sub_94"/>
            <w:r>
              <w:rPr>
                <w:rFonts w:ascii="Times New Roman" w:hAnsi="Times New Roman" w:cs="Times New Roman"/>
              </w:rPr>
              <w:t xml:space="preserve"> Государственный технический учет и техническая инвентаризация объектов капитального строительства,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строительства.</w:t>
            </w:r>
            <w:bookmarkEnd w:id="3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211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bookmarkStart w:id="4" w:name="sub_95"/>
            <w:r>
              <w:rPr>
                <w:rFonts w:ascii="Times New Roman" w:hAnsi="Times New Roman" w:cs="Times New Roman"/>
              </w:rPr>
              <w:t xml:space="preserve"> 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санитарно-эпидемиологического благополучия человека и выдача санитарно-эпидемиологических заключений.</w:t>
            </w:r>
            <w:bookmarkEnd w:id="4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212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bookmarkStart w:id="5" w:name="sub_96"/>
            <w:r>
              <w:rPr>
                <w:rFonts w:ascii="Times New Roman" w:hAnsi="Times New Roman" w:cs="Times New Roman"/>
              </w:rPr>
              <w:t xml:space="preserve"> Архитектурно-строительное проектирование и подготовка проектной документации.</w:t>
            </w:r>
            <w:bookmarkEnd w:id="5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213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Выполнение топографо-геодезических работ и выдача материалов топографической съемки, материалов инженерно-геологических изысканий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214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bookmarkStart w:id="6" w:name="sub_98"/>
            <w:r>
              <w:rPr>
                <w:rFonts w:ascii="Times New Roman" w:hAnsi="Times New Roman" w:cs="Times New Roman"/>
              </w:rPr>
              <w:t xml:space="preserve"> 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</w:t>
            </w:r>
            <w:bookmarkEnd w:id="6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215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Государственная экологическая экспертиза проектной документации в случаях, предусмотренных федеральными законами, и выдача заключений по результатам такой.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216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217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bookmarkStart w:id="7" w:name="sub_910"/>
            <w:r>
              <w:rPr>
                <w:rFonts w:ascii="Times New Roman" w:hAnsi="Times New Roman" w:cs="Times New Roman"/>
              </w:rPr>
              <w:t xml:space="preserve"> 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      </w:r>
            <w:bookmarkEnd w:id="7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218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Выдача информации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219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bookmarkStart w:id="8" w:name="sub_913"/>
            <w:r>
              <w:rPr>
                <w:rFonts w:ascii="Times New Roman" w:hAnsi="Times New Roman" w:cs="Times New Roman"/>
              </w:rPr>
              <w:t xml:space="preserve"> Подготовка и выдача документов, подтверждающих право граждан-заявителей и (или) членов их семей на получение мер социальной поддержки, льгот, установленных законодательством Российской Федерации, Иркутской области, муниципальными правовыми актами Иркутского районного муниципального образования</w:t>
            </w:r>
            <w:bookmarkEnd w:id="8"/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220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20.Подготовка и выдача документов, подтверждающих доходы граждан-заявителей, а также членов их семей.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221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Подготовка и выдача документов о трудовой деятельности, трудовом стаже граждан-заявителей, а также членов их семей.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222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Выдача справки о составе семьи.</w:t>
            </w:r>
          </w:p>
        </w:tc>
      </w:tr>
      <w:tr w:rsidR="008C49F5" w:rsidTr="00E04176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lastRenderedPageBreak/>
              <w:t>223</w:t>
            </w:r>
          </w:p>
        </w:tc>
        <w:tc>
          <w:tcPr>
            <w:tcW w:w="1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Услуги, оказываемые при осуществлении нотариальной деятельности.</w:t>
            </w:r>
          </w:p>
        </w:tc>
      </w:tr>
    </w:tbl>
    <w:p w:rsidR="008C49F5" w:rsidRDefault="008C49F5" w:rsidP="008C49F5">
      <w:pPr>
        <w:pStyle w:val="a3"/>
        <w:rPr>
          <w:rFonts w:ascii="Times New Roman" w:hAnsi="Times New Roman" w:cs="Times New Roman"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111. ПЕРЕЧЕНЬ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услуг (работ), оказываемых (выполняемых) муниципальными учреждениями</w:t>
      </w: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Усть-Балейского муниципального образования</w:t>
      </w:r>
    </w:p>
    <w:p w:rsidR="008C49F5" w:rsidRDefault="008C49F5" w:rsidP="008C4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5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39"/>
        <w:gridCol w:w="1980"/>
        <w:gridCol w:w="3959"/>
        <w:gridCol w:w="3219"/>
        <w:gridCol w:w="20"/>
        <w:gridCol w:w="3399"/>
        <w:gridCol w:w="4359"/>
      </w:tblGrid>
      <w:tr w:rsidR="008C49F5" w:rsidTr="00E04176">
        <w:trPr>
          <w:cantSplit/>
          <w:trHeight w:val="8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</w:rPr>
              <w:br/>
              <w:t>муниципальной услуги (работы)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единицы измерения показателей объёма муниципальной услуг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Показатели, характеризующие качество муниципальной услуги (работы),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качество результата;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процесс и условия оказания услуги (выполнения работы)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Наименования учреждений (групп</w:t>
            </w:r>
            <w:proofErr w:type="gramEnd"/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учреждений), оказывающих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муниципальную услугу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выполняющих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работу)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–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кружков, студий, творческих коллективов художественного, декоративно-прикладного творчества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клубных формирований самодеятельного творчества (ед.)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клубных формирований для детей (ед.)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охвата населения самодеятельным творчеством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показатель численности участников кружков, клубных формирований;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процесс и условия оказания услуги: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–уровень укомплектованности кадрами руководителей кружков, клубных формирований в соответствии со штатным расписанием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«Централизованная клубная система» 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любительских объединений, групп, клубов по интересам: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-художественных (вокальных, хореографических, театральных и др.);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-семейного отдыха;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-молодёжных;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-ветеранов, граждан пожилого возраста;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-историко-патриотических;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-спортивно-оздоровительных;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-экологических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любительских объединений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показатель количества любительских объединений;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показатель численности участников любительских объединений.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процесс и условия оказания услуги: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руководителей любительских объединений с высшим образованием (физических лиц) от общего числа руководителей любительских объединений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«Централизованная клубная система»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культурно-массовых мероприятий: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-праздники;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-игровые программы;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-концерты;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-спортивно-оздоровительные мероприятия;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-викторины;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-народные гуляния;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-театрализованные представления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-показатель численности участников мероприятий;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показатель посещаемости культурно-массовых мероприятий;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-показатель количества проведённых мероприятий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«Централизованная клубная система»</w:t>
            </w:r>
          </w:p>
        </w:tc>
        <w:tc>
          <w:tcPr>
            <w:tcW w:w="43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информационно-просветительских мероприятий (лекции, круглые столы, презентации)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«Централизованная клубная система»</w:t>
            </w:r>
          </w:p>
        </w:tc>
        <w:tc>
          <w:tcPr>
            <w:tcW w:w="43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Организационно-методическое и консультативно-информационное обеспечение деятельности учреждений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клубная система».</w:t>
            </w:r>
          </w:p>
        </w:tc>
        <w:tc>
          <w:tcPr>
            <w:tcW w:w="43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выставок произведений народного творчества различных жанров и направлений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мероприятий, выставок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«Централизованная клубная система»</w:t>
            </w:r>
          </w:p>
        </w:tc>
        <w:tc>
          <w:tcPr>
            <w:tcW w:w="43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Библиотечное обслуживание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документов, выданных из фонда библиотеки (экз.)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динамика количества зарегистрированных пользователей по сравнению с предыдущим годом,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детей до 14 лет;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доля удовлетворённых запросов пользователей от общего числа запросов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процесс и условия оказания услуги: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% специалистов со специальным образованием;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доля специалистов прошедших курсовую переподготовку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«Централизованная клубная система»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дискотек, создание танцплощадок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проведённых мероприятий (ед.)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-показатель численности участников мероприятий;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показатель посещаемости культурно-массовых мероприятий;</w:t>
            </w: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«Централизованная клубная система»</w:t>
            </w:r>
          </w:p>
        </w:tc>
        <w:tc>
          <w:tcPr>
            <w:tcW w:w="43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:rsidTr="00E04176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Комплектование, учёт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 в целом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обработанных документов (экз.)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единиц хранения (экз.)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результата: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-динамика объёма фонда библиотеки (всего) по сравнению с предыдущим годом;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процесс и условия оказания услуги: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-% специалистов со специальным образованием;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-доля специалистов прошедших курсовую переподготовку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«Централизованная клубная система»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C49F5" w:rsidRDefault="008C49F5" w:rsidP="008C49F5">
      <w:pPr>
        <w:pStyle w:val="a3"/>
        <w:rPr>
          <w:rFonts w:ascii="Times New Roman" w:eastAsia="Arial" w:hAnsi="Times New Roman" w:cs="Times New Roman"/>
          <w:b/>
          <w:bCs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Усть-Балейского</w:t>
      </w: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В.В. Тирских</w:t>
      </w: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49F5" w:rsidRDefault="008C49F5" w:rsidP="008C4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58" w:rsidRDefault="00C73358"/>
    <w:sectPr w:rsidR="00C73358" w:rsidSect="00313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9"/>
  </w:num>
  <w:num w:numId="5">
    <w:abstractNumId w:val="4"/>
  </w:num>
  <w:num w:numId="6">
    <w:abstractNumId w:val="22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15"/>
  </w:num>
  <w:num w:numId="26">
    <w:abstractNumId w:val="1"/>
  </w:num>
  <w:num w:numId="27">
    <w:abstractNumId w:val="28"/>
  </w:num>
  <w:num w:numId="28">
    <w:abstractNumId w:val="8"/>
  </w:num>
  <w:num w:numId="29">
    <w:abstractNumId w:val="9"/>
  </w:num>
  <w:num w:numId="30">
    <w:abstractNumId w:val="32"/>
  </w:num>
  <w:num w:numId="31">
    <w:abstractNumId w:val="0"/>
  </w:num>
  <w:num w:numId="32">
    <w:abstractNumId w:val="2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A"/>
    <w:rsid w:val="000A0CE0"/>
    <w:rsid w:val="000C0C3E"/>
    <w:rsid w:val="00155B1A"/>
    <w:rsid w:val="002A0079"/>
    <w:rsid w:val="003139DC"/>
    <w:rsid w:val="003F780A"/>
    <w:rsid w:val="00577719"/>
    <w:rsid w:val="00875F14"/>
    <w:rsid w:val="008C49F5"/>
    <w:rsid w:val="00A47BEB"/>
    <w:rsid w:val="00B04CC7"/>
    <w:rsid w:val="00C73358"/>
    <w:rsid w:val="00CD7F2B"/>
    <w:rsid w:val="00EA6150"/>
    <w:rsid w:val="00F0188C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B619EEE28BFE93AE73A3CB26648082D296849E8C7BCBA2F693762bED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79B5FF378383497C25E59C412481E2EC9E7BE757A4426AB28C018642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779B5FF378383497C25E59C412481E2EC9E7BE757A4426AB28C018642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779B5FF378383497C25E59C412481E2EC9E7BE757A4426AB28C018642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2017-05-10T09:16:00Z</dcterms:created>
  <dcterms:modified xsi:type="dcterms:W3CDTF">2017-05-10T09:39:00Z</dcterms:modified>
</cp:coreProperties>
</file>