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Pr="00B145DB" w:rsidRDefault="00B145DB" w:rsidP="00B145DB">
      <w:pPr>
        <w:ind w:right="-146"/>
        <w:jc w:val="right"/>
        <w:rPr>
          <w:rFonts w:ascii="Times New Roman" w:hAnsi="Times New Roman"/>
          <w:noProof/>
        </w:rPr>
      </w:pPr>
      <w:r w:rsidRPr="00B145DB">
        <w:rPr>
          <w:rFonts w:ascii="Times New Roman" w:hAnsi="Times New Roman"/>
          <w:noProof/>
        </w:rPr>
        <w:t>ПРОЕКТ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 w:val="28"/>
          <w:szCs w:val="28"/>
        </w:rPr>
      </w:pPr>
      <w:r w:rsidRPr="00B145D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аминское СП _г4" style="width:45pt;height:52.5pt;visibility:visible">
            <v:imagedata r:id="rId7" o:title="Маламинское СП _г4"/>
          </v:shape>
        </w:pict>
      </w:r>
    </w:p>
    <w:p w:rsidR="00B145DB" w:rsidRPr="00B145DB" w:rsidRDefault="00B145DB" w:rsidP="00B145DB">
      <w:pPr>
        <w:jc w:val="center"/>
        <w:rPr>
          <w:rFonts w:ascii="Times New Roman" w:hAnsi="Times New Roman"/>
          <w:sz w:val="28"/>
          <w:szCs w:val="28"/>
        </w:rPr>
      </w:pPr>
      <w:r w:rsidRPr="00B145DB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145DB" w:rsidRPr="00B145DB" w:rsidRDefault="00B145DB" w:rsidP="00B145DB">
      <w:pPr>
        <w:jc w:val="center"/>
        <w:rPr>
          <w:rFonts w:ascii="Times New Roman" w:hAnsi="Times New Roman"/>
          <w:b/>
          <w:sz w:val="36"/>
          <w:szCs w:val="36"/>
        </w:rPr>
      </w:pPr>
      <w:r w:rsidRPr="00B145DB">
        <w:rPr>
          <w:rFonts w:ascii="Times New Roman" w:hAnsi="Times New Roman"/>
          <w:b/>
          <w:sz w:val="36"/>
          <w:szCs w:val="36"/>
        </w:rPr>
        <w:t>ПОСТАНОВЛЕНИЕ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 w:val="28"/>
          <w:szCs w:val="28"/>
        </w:rPr>
      </w:pPr>
    </w:p>
    <w:p w:rsidR="00B145DB" w:rsidRPr="00B145DB" w:rsidRDefault="00B145DB" w:rsidP="00B145DB">
      <w:pPr>
        <w:ind w:right="-146"/>
        <w:rPr>
          <w:rFonts w:ascii="Times New Roman" w:hAnsi="Times New Roman"/>
          <w:b/>
          <w:sz w:val="26"/>
          <w:szCs w:val="26"/>
        </w:rPr>
      </w:pPr>
      <w:r w:rsidRPr="00B145DB">
        <w:rPr>
          <w:rFonts w:ascii="Times New Roman" w:hAnsi="Times New Roman"/>
          <w:sz w:val="26"/>
          <w:szCs w:val="26"/>
        </w:rPr>
        <w:t>от _________ года</w:t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  <w:t xml:space="preserve">                             № _____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Cs w:val="26"/>
        </w:rPr>
      </w:pPr>
      <w:r w:rsidRPr="00B145DB">
        <w:rPr>
          <w:rFonts w:ascii="Times New Roman" w:hAnsi="Times New Roman"/>
          <w:szCs w:val="26"/>
        </w:rPr>
        <w:t>с. Маламино</w:t>
      </w:r>
    </w:p>
    <w:p w:rsidR="00B145DB" w:rsidRPr="009C4F9A" w:rsidRDefault="00B145DB" w:rsidP="00B145DB">
      <w:pPr>
        <w:spacing w:line="240" w:lineRule="exact"/>
        <w:rPr>
          <w:sz w:val="28"/>
          <w:szCs w:val="28"/>
        </w:rPr>
      </w:pPr>
    </w:p>
    <w:p w:rsidR="00430FB7" w:rsidRPr="00464F78" w:rsidRDefault="00430FB7" w:rsidP="00C772AD">
      <w:pPr>
        <w:spacing w:after="0" w:line="240" w:lineRule="auto"/>
        <w:jc w:val="center"/>
        <w:rPr>
          <w:sz w:val="28"/>
          <w:szCs w:val="28"/>
        </w:rPr>
      </w:pPr>
    </w:p>
    <w:p w:rsidR="00430FB7" w:rsidRPr="0091705C" w:rsidRDefault="00430FB7" w:rsidP="00C7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705C">
        <w:rPr>
          <w:rFonts w:ascii="Times New Roman" w:hAnsi="Times New Roman"/>
          <w:b/>
          <w:sz w:val="28"/>
          <w:szCs w:val="28"/>
        </w:rPr>
        <w:t>Об утверждении П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B145DB">
        <w:rPr>
          <w:rFonts w:ascii="Times New Roman" w:hAnsi="Times New Roman"/>
          <w:b/>
          <w:bCs/>
          <w:sz w:val="28"/>
          <w:szCs w:val="28"/>
        </w:rPr>
        <w:t>Маламин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B145DB">
        <w:rPr>
          <w:rFonts w:ascii="Times New Roman" w:hAnsi="Times New Roman"/>
          <w:b/>
          <w:bCs/>
          <w:sz w:val="28"/>
          <w:szCs w:val="28"/>
        </w:rPr>
        <w:t>Успен</w:t>
      </w:r>
      <w:r w:rsidRPr="0091705C">
        <w:rPr>
          <w:rFonts w:ascii="Times New Roman" w:hAnsi="Times New Roman"/>
          <w:b/>
          <w:bCs/>
          <w:sz w:val="28"/>
          <w:szCs w:val="28"/>
        </w:rPr>
        <w:t>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91705C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885DBB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4C6470" w:rsidRDefault="00430FB7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lastRenderedPageBreak/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r w:rsidRPr="00C33333">
        <w:rPr>
          <w:rFonts w:ascii="Times New Roman" w:hAnsi="Times New Roman"/>
          <w:sz w:val="28"/>
          <w:szCs w:val="28"/>
        </w:rPr>
        <w:t>постановляю: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430FB7" w:rsidRPr="004C6470" w:rsidRDefault="00430FB7" w:rsidP="00E9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 сельского  поселения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4C6470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6470">
        <w:rPr>
          <w:rFonts w:ascii="Times New Roman" w:hAnsi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D0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2</w:t>
      </w:r>
      <w:r w:rsidRPr="00D003E2">
        <w:rPr>
          <w:rFonts w:ascii="Times New Roman" w:hAnsi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D36B80" w:rsidRDefault="00430FB7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80">
        <w:rPr>
          <w:rFonts w:ascii="Times New Roman" w:hAnsi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80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430FB7" w:rsidRPr="004C6470" w:rsidRDefault="00430FB7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973">
        <w:rPr>
          <w:rFonts w:ascii="Times New Roman" w:hAnsi="Times New Roman"/>
          <w:sz w:val="28"/>
          <w:szCs w:val="28"/>
        </w:rPr>
        <w:t xml:space="preserve">3. </w:t>
      </w:r>
      <w:r w:rsidR="00EA7951">
        <w:rPr>
          <w:rFonts w:ascii="Times New Roman" w:hAnsi="Times New Roman"/>
          <w:sz w:val="28"/>
          <w:szCs w:val="28"/>
        </w:rPr>
        <w:t>Р</w:t>
      </w:r>
      <w:r w:rsidRPr="00114973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Успенского района </w:t>
      </w:r>
      <w:r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 вступает в силу  со дня его подписания.</w:t>
      </w: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7951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951">
        <w:rPr>
          <w:rFonts w:ascii="Times New Roman" w:hAnsi="Times New Roman" w:cs="Times New Roman"/>
          <w:sz w:val="28"/>
          <w:szCs w:val="28"/>
        </w:rPr>
        <w:t xml:space="preserve">       А.Н. Буланов</w:t>
      </w: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872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D872C5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</w:t>
      </w:r>
      <w:r w:rsidR="00430FB7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2018 года </w:t>
      </w:r>
      <w:r w:rsidR="00D8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30FB7" w:rsidRPr="00E91402" w:rsidRDefault="00430FB7" w:rsidP="00E50870">
      <w:pPr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402">
        <w:rPr>
          <w:rFonts w:ascii="Times New Roman" w:hAnsi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D872C5">
        <w:rPr>
          <w:rFonts w:ascii="Times New Roman" w:hAnsi="Times New Roman"/>
          <w:b/>
          <w:bCs/>
          <w:sz w:val="28"/>
          <w:szCs w:val="28"/>
        </w:rPr>
        <w:t>Маламинского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72C5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D872C5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E91402" w:rsidRDefault="00430FB7" w:rsidP="00E50870">
      <w:pPr>
        <w:spacing w:before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Статья </w:t>
      </w:r>
      <w:r w:rsidRPr="00E9140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30FB7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 w:rsidR="00D872C5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30FB7" w:rsidRPr="00F97FA9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</w:t>
      </w:r>
      <w:r w:rsidR="00D872C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872C5">
        <w:rPr>
          <w:rFonts w:ascii="Times New Roman" w:hAnsi="Times New Roman"/>
          <w:sz w:val="28"/>
          <w:szCs w:val="28"/>
        </w:rPr>
        <w:t xml:space="preserve"> сельского</w:t>
      </w:r>
      <w:r w:rsidRPr="00F97FA9">
        <w:rPr>
          <w:rFonts w:ascii="Times New Roman" w:hAnsi="Times New Roman"/>
          <w:sz w:val="28"/>
          <w:szCs w:val="28"/>
        </w:rPr>
        <w:t xml:space="preserve"> поселени</w:t>
      </w:r>
      <w:r w:rsidR="00D872C5"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36792">
        <w:rPr>
          <w:rFonts w:ascii="Times New Roman" w:hAnsi="Times New Roman"/>
          <w:sz w:val="28"/>
          <w:szCs w:val="28"/>
        </w:rPr>
        <w:t xml:space="preserve">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2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        Статья  2. Цели формирования и ведения Перечня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1. Перечень формируется и ведется в целях: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97F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 в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ском</w:t>
      </w:r>
      <w:r w:rsidRPr="00F97FA9">
        <w:rPr>
          <w:rFonts w:ascii="Times New Roman" w:hAnsi="Times New Roman"/>
          <w:sz w:val="28"/>
          <w:szCs w:val="28"/>
        </w:rPr>
        <w:t xml:space="preserve"> сельском поселении,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hAnsi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Статья  3. Порядок формирования Перечня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0FB7" w:rsidRPr="00B16E9B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1.Формирование Перечня осуществляется общим отделом </w:t>
      </w:r>
      <w:r>
        <w:rPr>
          <w:rFonts w:ascii="Times New Roman" w:hAnsi="Times New Roman"/>
          <w:sz w:val="28"/>
          <w:szCs w:val="28"/>
        </w:rPr>
        <w:t>а</w:t>
      </w:r>
      <w:r w:rsidRPr="00B16E9B">
        <w:rPr>
          <w:rFonts w:ascii="Times New Roman" w:hAnsi="Times New Roman"/>
          <w:sz w:val="28"/>
          <w:szCs w:val="28"/>
        </w:rPr>
        <w:t xml:space="preserve">дминистрации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B16E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B16E9B">
        <w:rPr>
          <w:rFonts w:ascii="Times New Roman" w:hAnsi="Times New Roman"/>
          <w:sz w:val="28"/>
          <w:szCs w:val="28"/>
        </w:rPr>
        <w:t xml:space="preserve">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2. Заявления о включении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B16E9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</w:t>
      </w:r>
      <w:r w:rsidR="003352E7">
        <w:rPr>
          <w:rFonts w:ascii="Times New Roman" w:hAnsi="Times New Roman"/>
          <w:sz w:val="28"/>
          <w:szCs w:val="28"/>
        </w:rPr>
        <w:t>кого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 w:rsidR="003352E7"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</w:t>
      </w:r>
      <w:r w:rsidR="003352E7"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5. Не подлежит включению в Перечень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необходимое для обеспечения деятельности органов местного самоуправления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 должностных лиц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 района</w:t>
      </w:r>
      <w:r w:rsidRPr="00F97FA9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предприятий и учреждений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Муниципальное имущество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6.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исключается из Перечня в случаях: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 должностных лиц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учреждений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района;</w:t>
      </w:r>
    </w:p>
    <w:p w:rsidR="00430FB7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3) прекращения на имущество права муниципальной собственности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Pr="00F97FA9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FA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Перечень 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97FA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F97FA9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FB7" w:rsidRPr="00C477C9" w:rsidRDefault="00430FB7" w:rsidP="009D15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Статья 4. Порядок ведения и обязательного опубликования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2. Данными об имуществе, включенном в Перечень, являются: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идентификационные характеристики имущества (площадь, </w:t>
      </w:r>
      <w:r w:rsidRPr="008017BC">
        <w:rPr>
          <w:rFonts w:ascii="Times New Roman" w:hAnsi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3) адрес местоположения объекта недвижимости;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4) цель предоставления имущества.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 и размещению на официальном сайте  Администрации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8017B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017B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430FB7" w:rsidRPr="00C477C9" w:rsidRDefault="00430FB7" w:rsidP="008017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477C9">
        <w:rPr>
          <w:rFonts w:ascii="Times New Roman" w:hAnsi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При ведении Перечня Орган: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осуществляет учет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необходимую информацию в пределах сведений, учитываемых в Перечне;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 xml:space="preserve">5) ежегодно обновляет сведения о муниципальном имуществе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включенном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2E7" w:rsidRDefault="003352E7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2E7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</w:t>
      </w:r>
      <w:r w:rsidR="003352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E7">
        <w:rPr>
          <w:rFonts w:ascii="Times New Roman" w:hAnsi="Times New Roman" w:cs="Times New Roman"/>
          <w:sz w:val="28"/>
          <w:szCs w:val="28"/>
        </w:rPr>
        <w:t>А.Н. Буланов</w:t>
      </w:r>
    </w:p>
    <w:p w:rsidR="00430FB7" w:rsidRDefault="00430FB7" w:rsidP="00194175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3352E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430FB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2018 года </w:t>
      </w:r>
      <w:r w:rsid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0FB7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C477C9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ПЕРЕЧЕНЬ</w:t>
      </w:r>
      <w:r w:rsidRPr="00C477C9">
        <w:rPr>
          <w:rFonts w:ascii="Times New Roman" w:hAnsi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836792" w:rsidRDefault="00430FB7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40"/>
        <w:gridCol w:w="2429"/>
        <w:gridCol w:w="1120"/>
        <w:gridCol w:w="2140"/>
      </w:tblGrid>
      <w:tr w:rsidR="00430FB7" w:rsidRPr="002B24FF" w:rsidTr="00836792">
        <w:tc>
          <w:tcPr>
            <w:tcW w:w="426" w:type="dxa"/>
          </w:tcPr>
          <w:p w:rsidR="00430FB7" w:rsidRPr="002B24FF" w:rsidRDefault="00430FB7" w:rsidP="00C2010C">
            <w:pPr>
              <w:pStyle w:val="a5"/>
              <w:spacing w:before="240"/>
              <w:jc w:val="center"/>
            </w:pPr>
            <w:r w:rsidRPr="002B24FF">
              <w:t>N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Балансодержатель недвижимого имущества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430FB7" w:rsidRPr="002B24FF" w:rsidRDefault="00430FB7" w:rsidP="00836792">
            <w:pPr>
              <w:pStyle w:val="a5"/>
              <w:jc w:val="center"/>
            </w:pPr>
            <w:r w:rsidRPr="002B24FF">
              <w:t>Арендаторы, наименование и категории предприятий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5</w:t>
            </w: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6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  <w:r w:rsidRPr="002B24FF">
              <w:t>-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</w:tbl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</w:p>
    <w:p w:rsidR="00430FB7" w:rsidRPr="00F97FA9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Успенского района                                </w:t>
      </w:r>
      <w:r w:rsidR="003352E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352E7">
        <w:rPr>
          <w:rFonts w:ascii="Times New Roman" w:hAnsi="Times New Roman"/>
          <w:sz w:val="28"/>
          <w:szCs w:val="28"/>
        </w:rPr>
        <w:t>А.Н. Буланов</w:t>
      </w:r>
    </w:p>
    <w:p w:rsidR="00430FB7" w:rsidRPr="00CF05FD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3352E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430FB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года № ___</w:t>
      </w: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C477C9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B7" w:rsidRPr="00C477C9" w:rsidRDefault="00430FB7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0FB7" w:rsidRPr="00C477C9" w:rsidRDefault="00430FB7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123004" w:rsidRDefault="00430FB7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6. Использование арендаторами имущества, включенного в Перечень, не по целевому назначению, продажа переданного субъектам малого и среднего </w:t>
      </w:r>
      <w:r w:rsidRPr="00150D59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30FB7" w:rsidRPr="00D564EB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 w:rsidR="003352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352E7">
        <w:rPr>
          <w:rFonts w:ascii="Times New Roman" w:hAnsi="Times New Roman"/>
          <w:sz w:val="28"/>
          <w:szCs w:val="28"/>
        </w:rPr>
        <w:t>А.Н. Буланов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0FB7" w:rsidRPr="00F97FA9" w:rsidSect="00D35CBB">
      <w:headerReference w:type="defaul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1F" w:rsidRDefault="00F0371F" w:rsidP="00CC6440">
      <w:pPr>
        <w:spacing w:after="0" w:line="240" w:lineRule="auto"/>
      </w:pPr>
      <w:r>
        <w:separator/>
      </w:r>
    </w:p>
  </w:endnote>
  <w:endnote w:type="continuationSeparator" w:id="1">
    <w:p w:rsidR="00F0371F" w:rsidRDefault="00F0371F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1F" w:rsidRDefault="00F0371F" w:rsidP="00CC6440">
      <w:pPr>
        <w:spacing w:after="0" w:line="240" w:lineRule="auto"/>
      </w:pPr>
      <w:r>
        <w:separator/>
      </w:r>
    </w:p>
  </w:footnote>
  <w:footnote w:type="continuationSeparator" w:id="1">
    <w:p w:rsidR="00F0371F" w:rsidRDefault="00F0371F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B7" w:rsidRDefault="00934479">
    <w:pPr>
      <w:pStyle w:val="a7"/>
      <w:jc w:val="center"/>
    </w:pPr>
    <w:fldSimple w:instr=" PAGE   \* MERGEFORMAT ">
      <w:r w:rsidR="003352E7">
        <w:rPr>
          <w:noProof/>
        </w:rPr>
        <w:t>10</w:t>
      </w:r>
    </w:fldSimple>
  </w:p>
  <w:p w:rsidR="00430FB7" w:rsidRDefault="00430F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91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82826"/>
    <w:rsid w:val="00194175"/>
    <w:rsid w:val="001A2B5A"/>
    <w:rsid w:val="001B0CE8"/>
    <w:rsid w:val="001E2E14"/>
    <w:rsid w:val="00205A9D"/>
    <w:rsid w:val="002125D4"/>
    <w:rsid w:val="00214DCF"/>
    <w:rsid w:val="002665C6"/>
    <w:rsid w:val="0029166D"/>
    <w:rsid w:val="002974F3"/>
    <w:rsid w:val="002B24FF"/>
    <w:rsid w:val="002E2A24"/>
    <w:rsid w:val="002E3327"/>
    <w:rsid w:val="003248FB"/>
    <w:rsid w:val="003352E7"/>
    <w:rsid w:val="003417EF"/>
    <w:rsid w:val="00392538"/>
    <w:rsid w:val="003B0A15"/>
    <w:rsid w:val="0040203C"/>
    <w:rsid w:val="00430FB7"/>
    <w:rsid w:val="00445DB7"/>
    <w:rsid w:val="0046038D"/>
    <w:rsid w:val="00464F78"/>
    <w:rsid w:val="004B1F18"/>
    <w:rsid w:val="004B229C"/>
    <w:rsid w:val="004B5ECF"/>
    <w:rsid w:val="004B6B5F"/>
    <w:rsid w:val="004C6470"/>
    <w:rsid w:val="004E0C23"/>
    <w:rsid w:val="005360C9"/>
    <w:rsid w:val="00557EC7"/>
    <w:rsid w:val="00581289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7F0A08"/>
    <w:rsid w:val="008017BC"/>
    <w:rsid w:val="00817300"/>
    <w:rsid w:val="00836792"/>
    <w:rsid w:val="00862757"/>
    <w:rsid w:val="00885DBB"/>
    <w:rsid w:val="008B4964"/>
    <w:rsid w:val="008B63F5"/>
    <w:rsid w:val="008B65A6"/>
    <w:rsid w:val="0091705C"/>
    <w:rsid w:val="00934479"/>
    <w:rsid w:val="009B4DA4"/>
    <w:rsid w:val="009C300E"/>
    <w:rsid w:val="009D15F9"/>
    <w:rsid w:val="009E2D49"/>
    <w:rsid w:val="00A05599"/>
    <w:rsid w:val="00A326DE"/>
    <w:rsid w:val="00A643CE"/>
    <w:rsid w:val="00A75412"/>
    <w:rsid w:val="00AB5CDC"/>
    <w:rsid w:val="00AF6643"/>
    <w:rsid w:val="00B03CC1"/>
    <w:rsid w:val="00B03D3C"/>
    <w:rsid w:val="00B145DB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A6876"/>
    <w:rsid w:val="00CC6440"/>
    <w:rsid w:val="00CF05FD"/>
    <w:rsid w:val="00D003E2"/>
    <w:rsid w:val="00D0708D"/>
    <w:rsid w:val="00D165F4"/>
    <w:rsid w:val="00D35CBB"/>
    <w:rsid w:val="00D36B80"/>
    <w:rsid w:val="00D564EB"/>
    <w:rsid w:val="00D872C5"/>
    <w:rsid w:val="00E50870"/>
    <w:rsid w:val="00E66D68"/>
    <w:rsid w:val="00E82C99"/>
    <w:rsid w:val="00E91402"/>
    <w:rsid w:val="00EA7951"/>
    <w:rsid w:val="00F0371F"/>
    <w:rsid w:val="00F3151D"/>
    <w:rsid w:val="00F55824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Dolmatovsky</cp:lastModifiedBy>
  <cp:revision>28</cp:revision>
  <cp:lastPrinted>2018-10-05T09:35:00Z</cp:lastPrinted>
  <dcterms:created xsi:type="dcterms:W3CDTF">2017-09-18T13:00:00Z</dcterms:created>
  <dcterms:modified xsi:type="dcterms:W3CDTF">2018-10-12T08:02:00Z</dcterms:modified>
</cp:coreProperties>
</file>