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  <w:shd w:fill="FFFFFF"/>
        <w:spacing w:after="28" w:before="28"/>
      </w:pPr>
      <w:r>
        <w:rPr>
          <w:color w:val="545454"/>
          <w:sz w:val="32"/>
          <w:b/>
          <w:szCs w:val="32"/>
        </w:rPr>
        <w:t>О пределах пограничной зоны на территории Камчатского края (Сахалинской области), а также правила въезда в пограничную зону и порядок получения пропусков.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 xml:space="preserve">     </w:t>
      </w:r>
      <w:r>
        <w:rPr>
          <w:color w:val="545454"/>
        </w:rPr>
        <w:t>В целях реализации статьи 16 Закона Российской Федерации "О Государственной границе Российской Федерации" и создания необходимых условий охраны государственной границы Российской Федерации ,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 xml:space="preserve">     </w:t>
      </w:r>
      <w:r>
        <w:rPr>
          <w:color w:val="545454"/>
        </w:rPr>
        <w:t>ПУ ФСБ России по Камчатскому краю доводит до сведения граждан: что 15 октября 2012 года приказом Директора ФСБ России № 515 утверждены правила пограничного режима в пределах пограничной зоны в новой редакции.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 xml:space="preserve">    </w:t>
      </w:r>
      <w:r>
        <w:rPr>
          <w:color w:val="545454"/>
        </w:rPr>
        <w:t>Приказом ФСБ России от 20 сентября 2007 года № 473 определены пределы пограничной зоны на территории Камчатского края. В соответствии с этим приказом пограничная зона установлена только в пределах островов, входящих в состав муниципальных образований, исключая остров Беринга Алеутского муниципального района.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 xml:space="preserve">    </w:t>
      </w:r>
      <w:r>
        <w:rPr>
          <w:color w:val="545454"/>
        </w:rPr>
        <w:t>Приказом ФСБ России от 14 апреля 2007 года № 182 пограничная зона на территории Сахалинской области установлена в пределах островов, входящих в состав муниципальных образований "Северо-Курильский район", "Курильский район", "Южно-Курильский район", "Поронайский район", "Невельский район".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Целью нормативно-правовых документов является обеспечение безопасности личности, общества и государства в целом, а также пресечение незаконной миграции, браконьерства и сохранения природных богатств.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Граждане или организации направляют (в ближайшие подразделения береговой охраны пограничных органов) в целях получения: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а) индивидуальных пропусков - личные заявления граждан или ходатайства организаций;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б) коллективных пропусков – ходатайства с приложением трех экземпляров именных списков групп граждан, организованно въезжающих (проходящих) в пограничную зону (не менее двух человек), в которых указываются фамилия, имя, отчество, дата и место рождения, место жительства (пребывания) граждан, серия, номер, дата и место выдачи документа, удостоверяющего личность гражданина. Именные списки групп граждан, организованно въезжающих (проходящих) в пограничную зону, подписываются руководителями и скрепляются печатью организаций.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Для правильного оформления документов и своевременного получения пропусков и разрешений, необходимо строго придерживается рекомендованных форм бланков указанных в приложениях вышеперечисленных приказов.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Уведомления, Заявления и ходатайства заполняются на русском языке разборчиво от руки или с использованием технических средств (пишущей машинки, компьютера), без сокращений слов, аббревиатур, исправлений и помарок.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Подробную информацию можно получить в официальном сайте ПУ ФСБ России по Камчатскому краю  в сети Интернет: www.svrpu.ru или в официальном сайте ФСБ России в сети Интернет: www.fsb.ru.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Наш адрес: 683032, г. Петропавловск-Камчатский, проспект. Карла Маркса 1\1, войсковая часть 9862. Адрес электронной почты: с</w:t>
      </w:r>
      <w:r>
        <w:rPr>
          <w:color w:val="545454"/>
          <w:lang w:val="en-US"/>
        </w:rPr>
        <w:t>gk</w:t>
      </w:r>
      <w:r>
        <w:rPr>
          <w:color w:val="545454"/>
        </w:rPr>
        <w:t>_</w:t>
      </w:r>
      <w:r>
        <w:rPr>
          <w:color w:val="545454"/>
          <w:lang w:val="en-US"/>
        </w:rPr>
        <w:t>dut</w:t>
      </w:r>
      <w:r>
        <w:rPr>
          <w:color w:val="545454"/>
        </w:rPr>
        <w:t>@</w:t>
      </w:r>
      <w:r>
        <w:rPr>
          <w:color w:val="545454"/>
          <w:lang w:val="en-US"/>
        </w:rPr>
        <w:t>svpubo</w:t>
      </w:r>
      <w:r>
        <w:rPr>
          <w:color w:val="545454"/>
        </w:rPr>
        <w:t>.</w:t>
      </w:r>
      <w:r>
        <w:rPr>
          <w:color w:val="545454"/>
          <w:lang w:val="en-US"/>
        </w:rPr>
        <w:t>ru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Телефоны для справок: (8-415-2) 43-94-16, 23-69-09, факс: 23-25-57.</w:t>
      </w:r>
    </w:p>
    <w:p>
      <w:pPr>
        <w:pStyle w:val="style23"/>
        <w:shd w:fill="FFFFFF"/>
        <w:spacing w:after="28" w:before="28"/>
      </w:pPr>
      <w:r>
        <w:rPr>
          <w:color w:val="545454"/>
        </w:rPr>
        <w:t>Напоминаем:За нарушение правил пограничного режима в пограничной зоне, виновные лица привлекаются к отве</w:t>
      </w:r>
      <w:bookmarkStart w:id="0" w:name="_GoBack"/>
      <w:bookmarkEnd w:id="0"/>
      <w:r>
        <w:rPr>
          <w:color w:val="545454"/>
        </w:rPr>
        <w:t>тственности установленной законодательством Российской Федерации.</w:t>
      </w:r>
      <w:r>
        <w:rPr>
          <w:color w:val="545454"/>
        </w:rPr>
        <w:t> 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u w:val="single"/>
          <w:b/>
          <w:szCs w:val="24"/>
          <w:bCs/>
          <w:rFonts w:ascii="Times New Roman" w:cs="Times New Roman" w:eastAsia="Times New Roman" w:hAnsi="Times New Roman"/>
          <w:lang w:eastAsia="ru-RU"/>
        </w:rPr>
        <w:t>Въезд (проход) в пограничную зону</w:t>
      </w:r>
      <w:r>
        <w:rPr>
          <w:color w:val="444444"/>
          <w:sz w:val="24"/>
          <w:b/>
          <w:szCs w:val="24"/>
          <w:rFonts w:ascii="Times New Roman" w:cs="Times New Roman" w:eastAsia="Times New Roman" w:hAnsi="Times New Roman"/>
          <w:lang w:eastAsia="ru-RU"/>
        </w:rPr>
        <w:t>,</w:t>
      </w: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 на основании статьи 1.2. «Правил пограничного режима» по документам, удостоверяющим личность, осуществляют: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    лица, замещающие должности, устанавливаемые Конституцией Российской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конституциями, уставами, законами субъектов Российской Федерации для непосредственного исполнения полномочий государственных органов субъектов Российской Федерации, на территории которых установлена пограничная зона;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    должностные лица местного самоуправления муниципальных образований, на территории которых установлена пограничная зона;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в)  граждане Российской Федерации, имеющие регистрацию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охватывает территорию городского округа;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     иностранные граждане, подданные иностранных государств и лица без гражданства, постоянно или временно проживающие, временно пребывающие в Российской Федерации, имеющие регистрацию по месту жительства и (или) в установленном порядке поставленные на учет по месту пребывания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охватывает территорию городского округа;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    военнослужащие, проходящие военную службу по контракту, сотрудники правоохранительных и контролирующих органов: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имеющие регистрацию по месту пребывания или по месту жительства за пределами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охватывает территорию городского округа, места постоянной военной службы (службы), работы или командирования которых расположены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следующие к новому месту военной службы (службы), работы или месту проведения отпуска, расположенному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     военнослужащие, проходящие военную службу по призыву: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следующие индивидуально или в составе команд к месту прохождения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военной службы (командирования), расположенному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следующие к месту проведения отпуска, расположенному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      работники предприятий и их объединений, организаций, учреждений и общественных объединений: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имеющие регистрацию по месту пребывания или по месту жительства за пределами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охватывает территорию городского округа, места работы или командирования которых расположены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следующие к новому месту работы, расположенному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   члены семей военнослужащих, проходящих военную службу по контракту, сотрудников правоохранительных и контролирующих органов, следующих к новому месту военной службы (службы), работы, месту проведения отпуска, расположенному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   члены семей, родственники и близкие лица военнослужащих, проходящих военную службу по призыву в местах, расположенных в пограничной зоне, следующие для их посещения;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   члены семей работников организаций, следующих к новому месту работы, расположенному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граждане Российской Федерации, следующие в медицинские, оздоровительные учреждения, организации отдыха, организации отдыха детей и их оздоровления, расположенные в пограничной зоне, на лечение (обследование), отдых или для посещения детей, находящихся в указанных учреждениях и организациях;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    граждане, следующие транзитом через пограничную зону, в том числе при выезде из Российской Федерации или въезде в Российскую Федерацию;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граждане Российской Федерации, имеющие во владении, пользовании и (или) распоряжении садоводческие, огороднические, дачные или животноводческие земельные участки, жилые помещения, не являющиеся их местом пребывания или жительства, расположенные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персонал всех видов общественного транспорта пригородного и местного сообщения, водители иных транспортных средств, управляющие транспортными средствами в силу исполнения своих трудовых или служебных обязанностей, маршруты регулярного движения которых находятся в пределах пограничной зоны, а также водители транспортных средств, осуществляющих международные автомобильные перевозки;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  работники организаций, обеспечивающих ремонт и эксплуатацию путей сообщения, соответствующих транспортных средств, нефтепроводов, газопроводов, линий связи и электропередачи, а также выполнение работ, связанных с ликвидацией последствий чрезвычайных ситуаций природного и техногенного характера при служебной необходимости, в пределах установленных для них трудовых обязанностей и участков работы;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  граждане Российской Федерации, следующие в пограничную зону в случаях тяжелого состояния здоровья, смерти (гибели) их близких родственников, родственников или близких лиц, проживающих в пограничной зоне, постигшего их пожара или другого стихийного бедствия, и в других случаях, когда присутствие граждан необходимо;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  студенты и учащиеся образовательных учреждений высшего и среднего профессионального образования, следующие к местам прохождения практики или стажировки, расположенным в пограничной зоне;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      туристы из числа граждан Российской Федерации, следующие к месту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целях, за исключением туристов, организующих путешествия самостоятельно.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Остальные категории граждан осуществляют въезд (проход) в пограничную зону по индивидуальным или коллективным пропускам (ст. 1.3. настоящих правил).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В соответствии с требованиями Приказа Федеральной службы безопасности Российской Федерации от 19 ноября 2008 года № 572 «Об утверждении Административного регламента Федеральной службы безопасности Российской Федерации по исполнению государственной функции по 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режим».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u w:val="single"/>
          <w:szCs w:val="24"/>
          <w:bCs/>
          <w:rFonts w:ascii="Times New Roman" w:cs="Times New Roman" w:eastAsia="Times New Roman" w:hAnsi="Times New Roman"/>
          <w:lang w:eastAsia="ru-RU"/>
        </w:rPr>
        <w:t>Выдача осуществляется:</w:t>
      </w:r>
    </w:p>
    <w:p>
      <w:pPr>
        <w:pStyle w:val="style0"/>
        <w:jc w:val="both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гражданам Российской Федерации, иностранным гражданам, подданным иностранных государств, лицам без гражданства либо группам граждан;</w:t>
      </w:r>
      <w:r>
        <w:rPr>
          <w:color w:val="444444"/>
          <w:sz w:val="24"/>
          <w:szCs w:val="24"/>
          <w:bCs/>
          <w:rFonts w:ascii="Times New Roman" w:cs="Times New Roman" w:eastAsia="Times New Roman" w:hAnsi="Times New Roman"/>
          <w:lang w:eastAsia="ru-RU"/>
        </w:rPr>
        <w:t>пропусков</w:t>
      </w:r>
    </w:p>
    <w:p>
      <w:pPr>
        <w:pStyle w:val="style0"/>
        <w:jc w:val="both"/>
        <w:spacing w:after="0" w:before="0" w:line="100" w:lineRule="atLeast"/>
      </w:pPr>
      <w:r>
        <w:rPr>
          <w:color w:val="444444"/>
          <w:sz w:val="24"/>
          <w:szCs w:val="24"/>
          <w:bCs/>
          <w:rFonts w:ascii="Times New Roman" w:cs="Times New Roman" w:eastAsia="Times New Roman" w:hAnsi="Times New Roman"/>
          <w:lang w:eastAsia="ru-RU"/>
        </w:rPr>
        <w:t>разрешений на осуществление хозяйственной или промысловой деятельности </w:t>
      </w: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 гражданам, предприятиям и их объединениям, организациям, учреждениям и общественным объединениям.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444444"/>
          <w:sz w:val="24"/>
          <w:u w:val="single"/>
          <w:szCs w:val="24"/>
          <w:bCs/>
          <w:rFonts w:ascii="Times New Roman" w:cs="Times New Roman" w:eastAsia="Times New Roman" w:hAnsi="Times New Roman"/>
          <w:lang w:eastAsia="ru-RU"/>
        </w:rPr>
        <w:t>Основанием для оформления и выдачи пропусков являются:</w:t>
      </w:r>
    </w:p>
    <w:p>
      <w:pPr>
        <w:pStyle w:val="style0"/>
        <w:jc w:val="both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   заявления граждан о выдаче им пропусков;</w:t>
      </w:r>
    </w:p>
    <w:p>
      <w:pPr>
        <w:pStyle w:val="style0"/>
        <w:jc w:val="both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   заявления граждан, имеющих регистрацию по месту пребывания или по месту жительства в пределах муниципального района, на территории которого установлена пограничная зона, или городского округа, прилегающего к государственной границе на суше, к берегам пограничных рек, озер и иных водных объектов, о выдаче пропусков гражданам, не имеющим регистрации по месту пребывания или по месту жительства в пределах муниципального района, на территории которого установлена пограничная зона, или городского округа, прилегающего к государственной границе на суше, к берегам пограничных рек, озер и иных водных объектов, и приглашенным ими в пределы пограничной зоны;</w:t>
      </w:r>
    </w:p>
    <w:p>
      <w:pPr>
        <w:pStyle w:val="style0"/>
        <w:jc w:val="both"/>
        <w:spacing w:after="0" w:before="0" w:line="48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-  ходатайства организаций о выдаче пропусков.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u w:val="single"/>
          <w:szCs w:val="24"/>
          <w:bCs/>
          <w:rFonts w:ascii="Times New Roman" w:cs="Times New Roman" w:eastAsia="Times New Roman" w:hAnsi="Times New Roman"/>
          <w:lang w:eastAsia="ru-RU"/>
        </w:rPr>
        <w:t>Основанием для оформления и выдачи разрешений на осуществление хозяйственной деятельности являются:</w:t>
      </w:r>
    </w:p>
    <w:p>
      <w:pPr>
        <w:pStyle w:val="style0"/>
        <w:jc w:val="both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  </w:t>
      </w: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заявления граждан на получение разрешений на осуществление хозяйственной деятельности;</w:t>
      </w:r>
    </w:p>
    <w:p>
      <w:pPr>
        <w:pStyle w:val="style0"/>
        <w:jc w:val="both"/>
        <w:ind w:hanging="0" w:left="360" w:right="0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заявления организаций на получение разрешений на осуществление хозяйственной деятельности.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444444"/>
          <w:sz w:val="24"/>
          <w:u w:val="single"/>
          <w:szCs w:val="24"/>
          <w:bCs/>
          <w:rFonts w:ascii="Times New Roman" w:cs="Times New Roman" w:eastAsia="Times New Roman" w:hAnsi="Times New Roman"/>
          <w:lang w:eastAsia="ru-RU"/>
        </w:rPr>
        <w:t>Основанием для оформления и выдачи разрешений на осуществление промысловой деятельности являются:</w:t>
      </w:r>
    </w:p>
    <w:p>
      <w:pPr>
        <w:pStyle w:val="style0"/>
        <w:jc w:val="both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  </w:t>
      </w: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заявления граждан на получение разрешений на осуществление промысловой деятельности;</w:t>
      </w:r>
    </w:p>
    <w:p>
      <w:pPr>
        <w:pStyle w:val="style0"/>
        <w:jc w:val="both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заявления организаций на получение разрешений на осуществление промысловой деятельности.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Пропуска выдаются на срок до одного года. При необходимости дальнейшего пребывания граждан в пограничной зоне им выдаются новые пропуска.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u w:val="single"/>
          <w:szCs w:val="24"/>
          <w:bCs/>
          <w:rFonts w:ascii="Times New Roman" w:cs="Times New Roman" w:eastAsia="Times New Roman" w:hAnsi="Times New Roman"/>
          <w:lang w:eastAsia="ru-RU"/>
        </w:rPr>
        <w:t>Разрешения выдаются:</w:t>
      </w:r>
    </w:p>
    <w:p>
      <w:pPr>
        <w:pStyle w:val="style0"/>
        <w:jc w:val="both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гражданам, имеющим право на въезд (проход) в пограничную зону по документам, удостоверяющим личность, или организациям, расположенным в пограничной зоне, - на срок, необходимый для осуществления хозяйственной или промысловой деятельности, но не более чем на шесть месяцев;</w:t>
      </w:r>
    </w:p>
    <w:p>
      <w:pPr>
        <w:pStyle w:val="style0"/>
        <w:jc w:val="both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другим категориям граждан и организаций - на срок действия пропуска.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Срок рассмотрения заявлений (ходатайств) о выдаче пропусков гражданам Российской Федерации - тридцать дней со дня регистрации указанных заявлений (ходатайств).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Срок рассмотрения заявлений (ходатайств) о выдаче пропусков иностранным гражданам, подданным иностранных государств, лицам без гражданства - шестьдесят дней со дня регистрации указанных заявлений (ходатайств).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Срок рассмотрения заявлений на получение разрешений для граждан, имеющих право на въезд (проход) в пограничную зону по документам, удостоверяющим личность, или организаций, расположенных в пограничной зоне - пять дней со дня регистрации указанных заявлений.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Заявления на получение разрешений, в случае если гражданам также требуется получение пропусков, рассматриваются одновременно с рассмотрением заявлений (ходатайств) о выдаче пропусков.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гражданства - шестьдесят дней со дня регистрации указанных заявлений (ходатайств).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Срок рассмотрения заявлений на получение разрешений для граждан, имеющих право на въезд (проход) в пограничную зону по документам, удостоверяющим личность, или организаций, расположенных в пограничной зоне - пять дней со дня регистрации указанных заявлений.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Заявления на получение разрешений, в случае если гражданам также требуется получение пропусков, рассматриваются одновременно с рассмотрением заявлений (ходатайств) о выдаче пропусков.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Предоставление информации, а также исполнение государственной функции осуществляются бесплатно.</w:t>
      </w:r>
    </w:p>
    <w:p>
      <w:pPr>
        <w:pStyle w:val="style0"/>
        <w:jc w:val="both"/>
        <w:shd w:fill="FFFFFF"/>
        <w:spacing w:after="0" w:before="0" w:line="312" w:lineRule="atLeast"/>
      </w:pPr>
      <w:r>
        <w:rPr>
          <w:color w:val="444444"/>
          <w:sz w:val="24"/>
          <w:szCs w:val="24"/>
          <w:rFonts w:ascii="Times New Roman" w:cs="Times New Roman" w:eastAsia="Times New Roman" w:hAnsi="Times New Roman"/>
          <w:lang w:eastAsia="ru-RU"/>
        </w:rPr>
        <w:t>Нарушители правил въезда (прохода), в пограничную зону, временного пребывания, передвижения лиц (или) транспортных средств в пограничной зоне будут привлекаться к административному штрафу в соответствии с частью 1 статьи 18.2 Кодекса Российской Федерации об административных правонарушениях.</w:t>
      </w:r>
    </w:p>
    <w:p>
      <w:pPr>
        <w:pStyle w:val="style0"/>
        <w:jc w:val="both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stLabel 1"/>
    <w:next w:val="style17"/>
    <w:rPr>
      <w:sz w:val="20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/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Указатель"/>
    <w:basedOn w:val="style0"/>
    <w:next w:val="style22"/>
    <w:pPr>
      <w:suppressLineNumbers/>
    </w:pPr>
    <w:rPr/>
  </w:style>
  <w:style w:styleId="style23" w:type="paragraph">
    <w:name w:val="Normal (Web)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2015-03-26T16:59:00.00Z</dcterms:created>
  <dc:creator>денис</dc:creator>
  <cp:lastModifiedBy>денис</cp:lastModifiedBy>
  <dcterms:modified xsi:type="dcterms:W3CDTF">2015-03-26T16:59:00.00Z</dcterms:modified>
  <cp:revision>2</cp:revision>
</cp:coreProperties>
</file>