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B2" w:rsidRPr="004C7405" w:rsidRDefault="00EF0DB2" w:rsidP="00EF0DB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C7405">
        <w:rPr>
          <w:rFonts w:ascii="Times New Roman" w:hAnsi="Times New Roman"/>
          <w:b/>
          <w:sz w:val="32"/>
          <w:szCs w:val="32"/>
        </w:rPr>
        <w:t>АДМИНИСТРАЦИЯ ГОРОДСКОГО ПОСЕЛЕНИЯ «ЧЕРНЫШЕВСКОЕ»</w:t>
      </w:r>
    </w:p>
    <w:p w:rsidR="00EF0DB2" w:rsidRPr="004C7405" w:rsidRDefault="00EF0DB2" w:rsidP="00EF0DB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74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74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F0DB2" w:rsidRDefault="00EF0DB2" w:rsidP="00EF0DB2">
      <w:pPr>
        <w:jc w:val="center"/>
        <w:rPr>
          <w:rFonts w:ascii="Times New Roman" w:hAnsi="Times New Roman"/>
          <w:sz w:val="28"/>
          <w:szCs w:val="28"/>
        </w:rPr>
      </w:pPr>
    </w:p>
    <w:p w:rsidR="00EF0DB2" w:rsidRDefault="00EF0DB2" w:rsidP="00EF0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июня 2020 года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Чернышевск                                   № 169</w:t>
      </w:r>
    </w:p>
    <w:p w:rsidR="00EF0DB2" w:rsidRDefault="00EF0DB2" w:rsidP="00EF0DB2">
      <w:pPr>
        <w:jc w:val="center"/>
        <w:rPr>
          <w:rFonts w:ascii="Times New Roman" w:hAnsi="Times New Roman"/>
          <w:sz w:val="28"/>
          <w:szCs w:val="28"/>
        </w:rPr>
      </w:pPr>
    </w:p>
    <w:p w:rsidR="00EF0DB2" w:rsidRDefault="00EF0DB2" w:rsidP="00EF0D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E62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формирова</w:t>
      </w:r>
      <w:r w:rsidRPr="000E62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ния</w:t>
      </w:r>
      <w:r w:rsidR="00F213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0E62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ведения</w:t>
      </w:r>
      <w:r w:rsidR="00F2132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утверждения </w:t>
      </w:r>
      <w:r w:rsidRPr="000E628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плана финансово-хозяйственной деятельности бюджетных учреждений, находящихся в ведении городского поселения 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EF0DB2" w:rsidRPr="00EF0DB2" w:rsidRDefault="00EF0DB2" w:rsidP="00EF0DB2">
      <w:pPr>
        <w:pStyle w:val="aa"/>
        <w:shd w:val="clear" w:color="auto" w:fill="F9F9F7"/>
        <w:ind w:firstLine="706"/>
        <w:jc w:val="both"/>
        <w:rPr>
          <w:color w:val="000000"/>
          <w:sz w:val="28"/>
          <w:szCs w:val="28"/>
        </w:rPr>
      </w:pPr>
      <w:proofErr w:type="gramStart"/>
      <w:r w:rsidRPr="00EF0DB2">
        <w:rPr>
          <w:color w:val="000000"/>
          <w:sz w:val="28"/>
          <w:szCs w:val="28"/>
        </w:rPr>
        <w:t>В соответствии со статьей 158 Бюджетного Кодекса Российской Федерации,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</w:t>
      </w:r>
      <w:proofErr w:type="spellStart"/>
      <w:r w:rsidRPr="00EF0DB2">
        <w:rPr>
          <w:color w:val="000000"/>
          <w:sz w:val="28"/>
          <w:szCs w:val="28"/>
        </w:rPr>
        <w:t>муни-ципальных</w:t>
      </w:r>
      <w:proofErr w:type="spellEnd"/>
      <w:r w:rsidRPr="00EF0DB2">
        <w:rPr>
          <w:color w:val="000000"/>
          <w:sz w:val="28"/>
          <w:szCs w:val="28"/>
        </w:rPr>
        <w:t>) учреждений», приказом Министерства фи</w:t>
      </w:r>
      <w:r w:rsidR="00A40F85">
        <w:rPr>
          <w:color w:val="000000"/>
          <w:sz w:val="28"/>
          <w:szCs w:val="28"/>
        </w:rPr>
        <w:t>нансов Российской Федерации от 31</w:t>
      </w:r>
      <w:r w:rsidRPr="00EF0DB2">
        <w:rPr>
          <w:color w:val="000000"/>
          <w:sz w:val="28"/>
          <w:szCs w:val="28"/>
        </w:rPr>
        <w:t xml:space="preserve"> </w:t>
      </w:r>
      <w:r w:rsidR="00A40F85">
        <w:rPr>
          <w:color w:val="000000"/>
          <w:sz w:val="28"/>
          <w:szCs w:val="28"/>
        </w:rPr>
        <w:t xml:space="preserve">августа </w:t>
      </w:r>
      <w:r w:rsidRPr="00EF0DB2">
        <w:rPr>
          <w:color w:val="000000"/>
          <w:sz w:val="28"/>
          <w:szCs w:val="28"/>
        </w:rPr>
        <w:t xml:space="preserve"> 201</w:t>
      </w:r>
      <w:r w:rsidR="00A40F85">
        <w:rPr>
          <w:color w:val="000000"/>
          <w:sz w:val="28"/>
          <w:szCs w:val="28"/>
        </w:rPr>
        <w:t>8</w:t>
      </w:r>
      <w:r w:rsidRPr="00EF0DB2">
        <w:rPr>
          <w:color w:val="000000"/>
          <w:sz w:val="28"/>
          <w:szCs w:val="28"/>
        </w:rPr>
        <w:t xml:space="preserve"> г. № </w:t>
      </w:r>
      <w:r w:rsidR="00A40F85">
        <w:rPr>
          <w:color w:val="000000"/>
          <w:sz w:val="28"/>
          <w:szCs w:val="28"/>
        </w:rPr>
        <w:t xml:space="preserve"> 1</w:t>
      </w:r>
      <w:r w:rsidRPr="00EF0DB2">
        <w:rPr>
          <w:color w:val="000000"/>
          <w:sz w:val="28"/>
          <w:szCs w:val="28"/>
        </w:rPr>
        <w:t>8</w:t>
      </w:r>
      <w:r w:rsidR="00A40F85">
        <w:rPr>
          <w:color w:val="000000"/>
          <w:sz w:val="28"/>
          <w:szCs w:val="28"/>
        </w:rPr>
        <w:t>6</w:t>
      </w:r>
      <w:r w:rsidRPr="00EF0DB2">
        <w:rPr>
          <w:color w:val="000000"/>
          <w:sz w:val="28"/>
          <w:szCs w:val="28"/>
        </w:rPr>
        <w:t>н «О требованиях к</w:t>
      </w:r>
      <w:r w:rsidR="00A40F85">
        <w:rPr>
          <w:color w:val="000000"/>
          <w:sz w:val="28"/>
          <w:szCs w:val="28"/>
        </w:rPr>
        <w:t xml:space="preserve"> составлению и утверждению</w:t>
      </w:r>
      <w:r w:rsidRPr="00EF0DB2">
        <w:rPr>
          <w:color w:val="000000"/>
          <w:sz w:val="28"/>
          <w:szCs w:val="28"/>
        </w:rPr>
        <w:t xml:space="preserve"> план</w:t>
      </w:r>
      <w:r w:rsidR="00A40F85">
        <w:rPr>
          <w:color w:val="000000"/>
          <w:sz w:val="28"/>
          <w:szCs w:val="28"/>
        </w:rPr>
        <w:t>а</w:t>
      </w:r>
      <w:r w:rsidRPr="00EF0DB2">
        <w:rPr>
          <w:color w:val="000000"/>
          <w:sz w:val="28"/>
          <w:szCs w:val="28"/>
        </w:rPr>
        <w:t xml:space="preserve"> финансово-хозяйственной деятельности государственного (муниципального) учреждения» </w:t>
      </w:r>
      <w:proofErr w:type="gramEnd"/>
    </w:p>
    <w:p w:rsidR="00EF0DB2" w:rsidRDefault="00EF0DB2" w:rsidP="00F21327">
      <w:pPr>
        <w:pStyle w:val="aa"/>
        <w:shd w:val="clear" w:color="auto" w:fill="F9F9F7"/>
        <w:jc w:val="center"/>
        <w:rPr>
          <w:b/>
          <w:bCs/>
          <w:color w:val="000000"/>
          <w:sz w:val="28"/>
          <w:szCs w:val="28"/>
        </w:rPr>
      </w:pPr>
      <w:r w:rsidRPr="00F21327">
        <w:rPr>
          <w:b/>
          <w:bCs/>
          <w:color w:val="000000"/>
          <w:sz w:val="28"/>
          <w:szCs w:val="28"/>
        </w:rPr>
        <w:t>ПРИКАЗЫВАЮ:</w:t>
      </w:r>
    </w:p>
    <w:p w:rsidR="00F500D0" w:rsidRPr="00F500D0" w:rsidRDefault="00F21327" w:rsidP="00F21327">
      <w:pPr>
        <w:pStyle w:val="aa"/>
        <w:shd w:val="clear" w:color="auto" w:fill="F9F9F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21327">
        <w:rPr>
          <w:bCs/>
          <w:color w:val="000000"/>
          <w:sz w:val="28"/>
          <w:szCs w:val="28"/>
        </w:rPr>
        <w:t xml:space="preserve">          1. Утвердить </w:t>
      </w:r>
      <w:r>
        <w:rPr>
          <w:bCs/>
          <w:color w:val="000000"/>
          <w:sz w:val="28"/>
          <w:szCs w:val="28"/>
        </w:rPr>
        <w:t xml:space="preserve"> Порядок формирования, ведения и утверждения плана финансово-хозяйственной деятельности бюджетных учреждений, находящихся в ведении городского поселения «</w:t>
      </w:r>
      <w:proofErr w:type="spellStart"/>
      <w:r>
        <w:rPr>
          <w:bCs/>
          <w:color w:val="000000"/>
          <w:sz w:val="28"/>
          <w:szCs w:val="28"/>
        </w:rPr>
        <w:t>Чернышевское</w:t>
      </w:r>
      <w:proofErr w:type="spellEnd"/>
      <w:r>
        <w:rPr>
          <w:bCs/>
          <w:color w:val="000000"/>
          <w:sz w:val="28"/>
          <w:szCs w:val="28"/>
        </w:rPr>
        <w:t xml:space="preserve">». </w:t>
      </w:r>
    </w:p>
    <w:p w:rsidR="00F21327" w:rsidRPr="00225A46" w:rsidRDefault="00F21327" w:rsidP="00F500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</w:t>
      </w:r>
      <w:proofErr w:type="gramStart"/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местителя Главы по финансово-экономическим вопросам (Леонтьева А.Р.)</w:t>
      </w:r>
      <w:r w:rsidRPr="00225A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327" w:rsidRPr="00F21327" w:rsidRDefault="00F21327" w:rsidP="00F500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40F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40F8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опубликовать, обнародовать на стенде «Муниципальный вестник» в администрации городского поселения «</w:t>
      </w:r>
      <w:proofErr w:type="spellStart"/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>», в телекоммуникационной сети «Интернет» на официальном сайте администрации городского поселения «</w:t>
      </w:r>
      <w:proofErr w:type="spellStart"/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>Чернышевское</w:t>
      </w:r>
      <w:proofErr w:type="spellEnd"/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6" w:history="1">
        <w:r w:rsidRPr="00F21327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www.чернышевск-администрация.рф</w:t>
        </w:r>
      </w:hyperlink>
      <w:r w:rsidRPr="00F213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327" w:rsidRPr="00F500D0" w:rsidRDefault="00F500D0" w:rsidP="00F500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 </w:t>
      </w:r>
      <w:r w:rsidR="00F21327" w:rsidRPr="00F500D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40F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1327" w:rsidRPr="00F500D0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подписания. </w:t>
      </w:r>
    </w:p>
    <w:p w:rsidR="00F21327" w:rsidRPr="00225A46" w:rsidRDefault="00F21327" w:rsidP="00F500D0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21327" w:rsidRPr="000E628F" w:rsidRDefault="00F21327" w:rsidP="00F213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21327" w:rsidRDefault="00F21327" w:rsidP="00F21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F21327" w:rsidRDefault="00F21327" w:rsidP="00F21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Е.И. Шилова</w:t>
      </w:r>
    </w:p>
    <w:p w:rsidR="00F21327" w:rsidRDefault="00F21327" w:rsidP="00F21327"/>
    <w:p w:rsidR="00F21327" w:rsidRDefault="00F21327" w:rsidP="00F21327"/>
    <w:p w:rsidR="00F500D0" w:rsidRDefault="00F500D0" w:rsidP="00F50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71B23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A71B23">
        <w:rPr>
          <w:rFonts w:ascii="Times New Roman" w:hAnsi="Times New Roman"/>
          <w:sz w:val="24"/>
          <w:szCs w:val="24"/>
        </w:rPr>
        <w:t xml:space="preserve"> 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500D0" w:rsidRDefault="00F500D0" w:rsidP="00F50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500D0" w:rsidRDefault="00F500D0" w:rsidP="00F50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</w:t>
      </w:r>
      <w:r w:rsidR="00444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 2020 года № 169</w:t>
      </w:r>
    </w:p>
    <w:p w:rsidR="00F500D0" w:rsidRDefault="00F500D0" w:rsidP="00F50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0D0" w:rsidRDefault="00F500D0" w:rsidP="00F50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0D0" w:rsidRDefault="00F500D0" w:rsidP="00F50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0D0" w:rsidRDefault="00F500D0" w:rsidP="00F50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0D0" w:rsidRDefault="00F500D0" w:rsidP="00F500D0">
      <w:pPr>
        <w:pStyle w:val="aa"/>
        <w:shd w:val="clear" w:color="auto" w:fill="F9F9F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E628F">
        <w:rPr>
          <w:bCs/>
          <w:kern w:val="36"/>
          <w:sz w:val="28"/>
          <w:szCs w:val="28"/>
        </w:rPr>
        <w:t>Поряд</w:t>
      </w:r>
      <w:r>
        <w:rPr>
          <w:bCs/>
          <w:kern w:val="36"/>
          <w:sz w:val="28"/>
          <w:szCs w:val="28"/>
        </w:rPr>
        <w:t>о</w:t>
      </w:r>
      <w:r w:rsidRPr="000E628F">
        <w:rPr>
          <w:bCs/>
          <w:kern w:val="36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формирования, ведения и утверждения плана финансово-хозяйственной деятельности бюджетных учреждений, находящихся в ведении городского поселения «</w:t>
      </w:r>
      <w:proofErr w:type="spellStart"/>
      <w:r>
        <w:rPr>
          <w:bCs/>
          <w:color w:val="000000"/>
          <w:sz w:val="28"/>
          <w:szCs w:val="28"/>
        </w:rPr>
        <w:t>Чернышевское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F500D0" w:rsidRDefault="00F500D0" w:rsidP="00F500D0">
      <w:pPr>
        <w:pStyle w:val="aa"/>
        <w:shd w:val="clear" w:color="auto" w:fill="F9F9F7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500D0" w:rsidRPr="00F500D0" w:rsidRDefault="00F500D0" w:rsidP="00F500D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</w:pPr>
      <w:r w:rsidRPr="00F500D0"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  <w:t>I. Общие положения</w:t>
      </w:r>
    </w:p>
    <w:p w:rsidR="00F65670" w:rsidRDefault="00F500D0" w:rsidP="00F500D0">
      <w:pPr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    </w:t>
      </w:r>
      <w:proofErr w:type="gramStart"/>
      <w:r w:rsidRPr="00F500D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1</w:t>
      </w:r>
      <w:r w:rsidR="00F65670" w:rsidRPr="00F6567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Настоящий Порядок разработан в соответствии с Требованиями к составлению и утверждению плана финансово-хозяйственной деятельности государственного учреждения, утвержденными </w:t>
      </w:r>
      <w:hyperlink r:id="rId7" w:history="1">
        <w:r w:rsidR="00F65670" w:rsidRPr="00F65670">
          <w:rPr>
            <w:rFonts w:ascii="Times New Roman" w:hAnsi="Times New Roman"/>
            <w:color w:val="00466E"/>
            <w:spacing w:val="2"/>
            <w:sz w:val="28"/>
            <w:szCs w:val="28"/>
            <w:u w:val="single"/>
            <w:shd w:val="clear" w:color="auto" w:fill="FFFFFF"/>
          </w:rPr>
          <w:t>приказом Министерства финансов Российской Федерации от 31 августа 2018 года N 186н</w:t>
        </w:r>
      </w:hyperlink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 (далее - Приказ 186н), и определяет правила составления </w:t>
      </w:r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муниципальны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ми бюджетными учреждениями </w:t>
      </w:r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городского поселения «</w:t>
      </w:r>
      <w:proofErr w:type="spellStart"/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Чернышевское</w:t>
      </w:r>
      <w:proofErr w:type="spellEnd"/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(далее соответственно - бюджетное учреждение</w:t>
      </w:r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соответствии с </w:t>
      </w:r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муниципаль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ным заданием на оказание </w:t>
      </w:r>
      <w:r w:rsid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услуг (выполнение работ), утвержденным учреждению</w:t>
      </w:r>
      <w:r w:rsidR="0044401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F65670" w:rsidRPr="00F6567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p w:rsidR="004060A3" w:rsidRDefault="004060A3" w:rsidP="00F500D0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F500D0" w:rsidRPr="00F500D0" w:rsidRDefault="00F500D0" w:rsidP="00F500D0">
      <w:pPr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4060A3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 1.</w:t>
      </w:r>
      <w:r w:rsidRPr="00F500D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2. План составляется на финансовый год в случае, если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решение </w:t>
      </w:r>
      <w:r w:rsidRPr="00F500D0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о  бюджете утверждается на один финансовый год, либо на финансовый год и плановый период, если закон о бюджете утверждается на очередной фин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ансовый год и плановый период.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br/>
      </w:r>
    </w:p>
    <w:p w:rsidR="00F500D0" w:rsidRPr="00F500D0" w:rsidRDefault="00F500D0" w:rsidP="00F500D0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</w:pPr>
      <w:r w:rsidRPr="00F500D0"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  <w:t>II. Порядок составления Плана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2.1. </w:t>
      </w:r>
      <w:proofErr w:type="gramStart"/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План составляется учреждением на этапе формирования проекта  бюджета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 по кассовому методу в рублях с точностью до двух знаков после запятой по форме согласно приложению к настоящему Порядку в течение пяти рабочих дней со дня доведения до учреждения информации о выделении планируемых объемов средств  бюджета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</w:t>
      </w:r>
      <w:proofErr w:type="gramEnd"/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плановый период.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2.2. В Плане указываются: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цели деятельности учреждения в соответствии с федеральными законами, законами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Забайкальского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края, иными нормативными правовыми актами 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положением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учреждения;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виды деятельности учреждения, относящиеся к его основным видам деятельности в соответствии с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положением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учреждения;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перечень услуг (работ), относящихся в соответствии с положением  к основны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 видам деятельности учреждения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предоставление которых для физических и юридических лиц осуществляется, в том числе, за плату;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общая балансовая стоимость недвижимого имущества, находящегося в собственности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общая балансовая стоимость движимого имущества, находящегося в собственности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»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на дату составления Плана, в том числе балансовая стоимость особо ценного движимого имущества;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показатели финансового состоян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ия учреждения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-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показатели по пос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туплениям и выплатам учреждения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показатели выплат по расходам на закупку т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оваров, работ, услуг учреждения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-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сведения о средствах, поступающих во вр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еменное распоряжение учреждения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справочная информация;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иная информация по решению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органа местного самоуправления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0F109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2.3. Показатели Плана формируются в соответствии с Требованиями к плану финансово-хозяйственной деятельности го</w:t>
      </w:r>
      <w:r w:rsidR="007C59E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сударственного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(муниципального) учреждения, утвержденными Приказом N 186н.</w:t>
      </w:r>
    </w:p>
    <w:p w:rsidR="0033779A" w:rsidRDefault="000F109F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</w:p>
    <w:p w:rsidR="004060A3" w:rsidRPr="004060A3" w:rsidRDefault="007C59E4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2.4. </w:t>
      </w:r>
      <w:proofErr w:type="gramStart"/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 предоставлении учреждению субсидии в соответствии с абзацем вторым пункта 1 статьи 78.1 </w:t>
      </w:r>
      <w:hyperlink r:id="rId8" w:history="1">
        <w:r w:rsidR="004060A3"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 субсидии на осуществление капитальных вложений в объекты </w:t>
      </w:r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капитального строительства государственной собственности или приобретение объектов недвижимого имущества в государственную собственность в соответствии со статьей 78.2 </w:t>
      </w:r>
      <w:hyperlink r:id="rId9" w:history="1">
        <w:r w:rsidR="004060A3"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(далее - целевая субсидия) учреждение составляет и представляет органу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</w:t>
      </w:r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сведения об операциях с целевыми</w:t>
      </w:r>
      <w:proofErr w:type="gramEnd"/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субсидиями, предоставленными 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</w:t>
      </w:r>
      <w:r w:rsidR="004060A3"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ному учреждению (ф. 0501016) (далее - Сведения).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2.5. После утверждения в установленном порядке закона о  бюджете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План и Сведения при необходимости уточняются учреждением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направляются на утверждение с учетом положений раздела III настоящего Порядка.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Уточнение показателей Плана, связанных с выполнением 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ного задания, осуществляется с учетом показателей утвержденного 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ного задания и размера субсидии на выполнение 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ного задания.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Уточнение Плана осуществляется учреждением в течение пяти рабочих дней со дня предоставления органом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информации об объеме бюджетных ассигнований, распределенных учреждению.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рган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течение 14 рабочих дней со дня официального опубликования закона о 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юджете на соответствующий финансовый год доводит учреждению информацию об объемах бюджетных ассигнований, распределенных учреждению.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2.6. План подписывается должностными лицами, ответственными за содержащиеся в Плане данные, - руководителем учреждения  (уполномоченным им лицом), руководителем финансово-экономической службы учреждения  или иным уполномоченным руководителем лицом, главным бухгалтером учреждения, исполнителем документа.</w:t>
      </w:r>
    </w:p>
    <w:p w:rsidR="004060A3" w:rsidRPr="0044401B" w:rsidRDefault="004060A3" w:rsidP="004440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44401B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III. Порядок утверждения Плана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3.1. План бюджетного учреждения (План с учетом изменений) в течение трех рабочих дней со дня его подписания предоставляется руководителем учреждения или уполномоченным им лицом в  орган</w:t>
      </w:r>
      <w:r w:rsidR="0044401B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управления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План  бюджетного учреждения (План с учетом изменений) утверждается органом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течение пяти рабочих дней со дня его представления руководителем учреждения или уполномоченным им лицом.</w:t>
      </w:r>
    </w:p>
    <w:p w:rsidR="00044C57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Сведения, указанные в пункте 2.4 настоящего Порядка, сформированные учреждением, утверждаются органом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местного самоуправления.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Внесение изменений в Сведения осуществляется в порядке, предусмотренном разделами III - IV настоящего Порядка.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Утвержденный План (План с учетом изменений) учреждения  размещается на официальном сайте в информационно-телекоммуникационной сети Интернет в разделе информации о государственных и муниципальных учреждениях - www.bus.gov.ru в сроки, установленные действующим законодательством.</w:t>
      </w:r>
    </w:p>
    <w:p w:rsidR="004060A3" w:rsidRPr="00044C57" w:rsidRDefault="004060A3" w:rsidP="00044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</w:pPr>
      <w:r w:rsidRPr="00044C57">
        <w:rPr>
          <w:rFonts w:ascii="Times New Roman" w:eastAsia="Times New Roman" w:hAnsi="Times New Roman"/>
          <w:b/>
          <w:color w:val="4C4C4C"/>
          <w:spacing w:val="2"/>
          <w:sz w:val="28"/>
          <w:szCs w:val="28"/>
          <w:lang w:eastAsia="ru-RU"/>
        </w:rPr>
        <w:t>IV. Внесение изменений в План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4.1. Основаниями внесения изменений в План являются: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принятие закона о внесении изменений в закон о бюджете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«</w:t>
      </w:r>
      <w:proofErr w:type="spellStart"/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Чернышевское</w:t>
      </w:r>
      <w:proofErr w:type="spellEnd"/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текущий финансовый год;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иные основания, не связанные с изменением закона о бюджете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текущий финансовый год.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 случаях изменения подведомственности, реорганизации учреждения изменения вносятся в сроки, установленные учредителем.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4.2. </w:t>
      </w:r>
      <w:proofErr w:type="gramStart"/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 товаров, работ, услуг для обеспечения государственных или муниципальных нужд, формируемых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обеспечения государственных и муниципальных нужд, а также в плане закупок, формируемом в соответствии с </w:t>
      </w:r>
      <w:hyperlink r:id="rId10" w:history="1"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Федеральным законом от 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05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.0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4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.201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3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N 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44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-ФЗ "О 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контрактной системе в сфере 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закуп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о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к товаров, работ, услуг </w:t>
        </w:r>
        <w:r w:rsidR="00044C57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для обеспечения государственных и муниципальных нужд</w:t>
        </w:r>
        <w:r w:rsidRPr="004060A3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Решение о внесении изменений в План прини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мается руководителем учреждения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4.3. Внесение изменений в План, не связанных с принятием внесения изменений в закон о бюджете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текущий финансовый год, осуществляется при наличии соответствующих обоснований и расчетов на величину измененных показателей.</w:t>
      </w:r>
    </w:p>
    <w:p w:rsidR="004060A3" w:rsidRPr="004060A3" w:rsidRDefault="004060A3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4.4. После внесения изменений План утверждается в порядке, предусмотренном разделом III настоящего Порядка.</w:t>
      </w: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</w:t>
      </w: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044C57" w:rsidRDefault="00044C57" w:rsidP="004060A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</w:p>
    <w:p w:rsidR="00AA48F5" w:rsidRDefault="00AA48F5" w:rsidP="00044C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sectPr w:rsidR="00AA4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0A3" w:rsidRPr="004060A3" w:rsidRDefault="004060A3" w:rsidP="00044C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  <w:t>Приложение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 Порядку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составления и утверждения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плана финансово-хозяйственной</w:t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деятельности  бю</w:t>
      </w:r>
      <w:r w:rsidR="00044C5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джетных учреждений</w:t>
      </w:r>
    </w:p>
    <w:p w:rsidR="004060A3" w:rsidRPr="004060A3" w:rsidRDefault="004060A3" w:rsidP="00044C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060A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453"/>
        <w:gridCol w:w="1698"/>
        <w:gridCol w:w="2716"/>
        <w:gridCol w:w="2552"/>
      </w:tblGrid>
      <w:tr w:rsidR="004060A3" w:rsidRPr="004060A3" w:rsidTr="00AA48F5">
        <w:trPr>
          <w:trHeight w:val="15"/>
        </w:trPr>
        <w:tc>
          <w:tcPr>
            <w:tcW w:w="5225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52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Утверждаю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_________________________________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(наименование должности уполномоченного лица)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_________________________________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(наименование органа-учредителя (учреждения)</w:t>
            </w:r>
            <w:proofErr w:type="gramEnd"/>
          </w:p>
        </w:tc>
      </w:tr>
      <w:tr w:rsidR="004060A3" w:rsidRPr="004060A3" w:rsidTr="00AA48F5">
        <w:tc>
          <w:tcPr>
            <w:tcW w:w="52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4060A3" w:rsidRPr="004060A3" w:rsidTr="00AA48F5">
        <w:tc>
          <w:tcPr>
            <w:tcW w:w="52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"__" _______________ 20_ г.</w:t>
            </w:r>
          </w:p>
        </w:tc>
      </w:tr>
      <w:tr w:rsidR="004060A3" w:rsidRPr="004060A3" w:rsidTr="00AA48F5">
        <w:tc>
          <w:tcPr>
            <w:tcW w:w="12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ПЛАН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финансово-хозяйственной деятельности на 20_ год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(на 20_ год и плановый период 20_ и 20_ годов &lt;1&gt;)</w:t>
            </w:r>
          </w:p>
        </w:tc>
      </w:tr>
      <w:tr w:rsidR="004060A3" w:rsidRPr="004060A3" w:rsidTr="00AA48F5">
        <w:trPr>
          <w:trHeight w:val="15"/>
        </w:trPr>
        <w:tc>
          <w:tcPr>
            <w:tcW w:w="2772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Коды</w:t>
            </w: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от "__" ________ 20_ г. &lt;2&gt;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Орган, осуществляющий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функции и полномочия учредителя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AA48F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4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383</w:t>
            </w:r>
          </w:p>
        </w:tc>
      </w:tr>
      <w:tr w:rsidR="004060A3" w:rsidRPr="004060A3" w:rsidTr="00AA48F5">
        <w:tc>
          <w:tcPr>
            <w:tcW w:w="12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Раздел 1. ПОСТУПЛЕНИЯ И ВЫПЛАТЫ</w:t>
            </w:r>
          </w:p>
        </w:tc>
      </w:tr>
    </w:tbl>
    <w:p w:rsidR="004060A3" w:rsidRPr="004060A3" w:rsidRDefault="004060A3" w:rsidP="00406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961"/>
        <w:gridCol w:w="2138"/>
        <w:gridCol w:w="2162"/>
        <w:gridCol w:w="1788"/>
        <w:gridCol w:w="1529"/>
        <w:gridCol w:w="1529"/>
        <w:gridCol w:w="1570"/>
      </w:tblGrid>
      <w:tr w:rsidR="004060A3" w:rsidRPr="004060A3" w:rsidTr="004060A3">
        <w:trPr>
          <w:trHeight w:val="15"/>
        </w:trPr>
        <w:tc>
          <w:tcPr>
            <w:tcW w:w="2957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Код строк 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Код по бюджетной классификации Российской Федерации &lt;3&gt;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Аналитический код &lt;4&gt;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Сумма</w:t>
            </w:r>
          </w:p>
        </w:tc>
      </w:tr>
      <w:tr w:rsidR="004060A3" w:rsidRPr="004060A3" w:rsidTr="004060A3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20_ г. текущий финансовый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20_ г. первый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20_ г. второй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 пределами планового периода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Остаток средств на начало текущего финансового года &lt;5&gt;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0001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Остаток средств на конец текущего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финансового года &lt;5&gt;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0002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Доходы, всего: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доходы от собственности,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субсидии на финансовое обеспечение выполнения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 целевые субсидии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прочие доходы,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доходы от операций с активами,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прочие поступления, всего &lt;6&gt;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увеличение остатков денежных средств за счет возврата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дебиторской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задолженности прошлых лет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выплаты персоналу,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 оплата труда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взносы по обязательному социальному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2140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выплаты по оплате труда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иные выплаты работникам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иные выплаты военнослужащим 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сотрудникам,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имеющим специальные звания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оплату труда стажеров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пособия, компенсации и иные социальные выплаты гражданам, кроме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публичных нормативных обязательств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2211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дств ст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ипендиального фонда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уплата налогов,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сборов и иных платежей,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гранты, предоставляемые бюджетным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2410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гранты, предоставляемые автономным учреждениям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взносы в международные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платежи в целях обеспечения реализации соглашений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правительствами иностранных государств и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международными организациями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расходы на закупку товаров, работ, услуг, всего &lt;7&gt;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закупку товаров, работ, услуг в целях капитального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 том числе: приобретение объектов недвижимого имущества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государственными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(муниципальными) учреждениями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строительство (реконструкция) объектов недвижимого имущества государственными (муниципальными)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учреждениями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2652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Выплаты, уменьшающие доход, всего &lt;8&gt;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налог на прибыль &lt;8&gt;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налог на добавленную стоимость &lt;8&gt;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прочие налоги, уменьшающие доход &lt;8&gt;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Прочие выплаты, всего &lt;9&gt;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возврат в бюджет средств субсидии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</w:tr>
      <w:tr w:rsidR="004060A3" w:rsidRPr="004060A3" w:rsidTr="004060A3">
        <w:trPr>
          <w:gridAfter w:val="1"/>
          <w:wAfter w:w="264" w:type="dxa"/>
          <w:trHeight w:val="15"/>
        </w:trPr>
        <w:tc>
          <w:tcPr>
            <w:tcW w:w="9425" w:type="dxa"/>
            <w:gridSpan w:val="7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--------------------------------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&lt;1&gt; - в случае утверждения закона (решения) о бюджете на текущий финансовый год и плановый период.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&lt;2&gt; - Указывается дата подписания Плана, а в случае утверждения Плана уполномоченным лицом учреждения - дата утверждения Плана.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&lt;3&gt; - в графе 3 отражаются: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строкам 1100 - 1900 - коды аналитической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группы подвида доходов бюджетов классификации доходов бюджетов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строкам 1980 - 1990 - коды аналитической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группы вида источников финансирования дефицитов бюджетов классификации источников финансирования дефицитов бюджетов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 строкам 2000 - 2652 - коды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видов расходов бюджетов классификации расходов бюджетов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строкам 3000 - 3030 - коды аналитической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группы подвида доходов бюджетов классификации доходов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строкам 4000 - 4040 - коды аналитической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группы вида источников финансирования дефицитов бюджетов классификации источников финансирования дефицитов бюджетов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&lt;4&gt; - в графе 4 указывается код классификации операций сектора государственного управления в соответствии с </w:t>
            </w:r>
            <w:hyperlink r:id="rId11" w:history="1"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t>Порядком применения классификации операций сектора государственного управления</w:t>
              </w:r>
            </w:hyperlink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, утвержденным </w:t>
            </w:r>
            <w:hyperlink r:id="rId12" w:history="1"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t>приказом Министерства финансов Российской Федерации от 29 ноября 2017 г. N 209н</w:t>
              </w:r>
            </w:hyperlink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 (зарегистрирован в Министерстве юстиции Российской Федерации 12 февраля 2018 г., регистрационный номер 50003), и (или) коды иных аналитических показателей, в случае, если Порядком органа-учредителя предусмотрена указанная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детализация.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&lt;5&gt; -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      </w:r>
            <w:proofErr w:type="gramEnd"/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&lt;6&gt; - показатели прочих поступлений включают в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себя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      </w:r>
            <w:proofErr w:type="spell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), а также за счет возврата средств, размещенных на банковских депозитах. При формировании Плана (проекта Плана) обособленном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ым</w:t>
            </w:r>
            <w:proofErr w:type="spell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&lt;7&gt; -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закупку товаров, работ, услуг" Плана.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&lt;8&gt; - показатель отражается со знаком "минус".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&lt;9&gt; - показатели прочих выплат включают в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себя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      </w:r>
            <w:proofErr w:type="spell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), размещения автономными учреждениями денежных средств на банковских депозитах. При формировании Плана (проекта Плана) обособленном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у(</w:t>
            </w:r>
            <w:proofErr w:type="spellStart"/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ым</w:t>
            </w:r>
            <w:proofErr w:type="spell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Раздел 2. СВЕДЕНИЯ ПО ВЫПЛАТАМ НА ЗАКУПКИ ТОВАРОВ, РАБОТ, УСЛУГ &lt;10&gt;</w:t>
            </w:r>
          </w:p>
        </w:tc>
      </w:tr>
    </w:tbl>
    <w:p w:rsidR="004060A3" w:rsidRPr="004060A3" w:rsidRDefault="004060A3" w:rsidP="00406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655"/>
        <w:gridCol w:w="439"/>
        <w:gridCol w:w="1529"/>
        <w:gridCol w:w="1188"/>
        <w:gridCol w:w="1224"/>
        <w:gridCol w:w="7"/>
        <w:gridCol w:w="2097"/>
        <w:gridCol w:w="7"/>
        <w:gridCol w:w="1755"/>
        <w:gridCol w:w="7"/>
        <w:gridCol w:w="1501"/>
        <w:gridCol w:w="1501"/>
        <w:gridCol w:w="7"/>
        <w:gridCol w:w="1535"/>
      </w:tblGrid>
      <w:tr w:rsidR="004060A3" w:rsidRPr="004060A3" w:rsidTr="004060A3">
        <w:trPr>
          <w:trHeight w:val="15"/>
        </w:trPr>
        <w:tc>
          <w:tcPr>
            <w:tcW w:w="924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Коды строк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Год начала закупки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Код по бюджетной классификации Российской Федерации &lt;10.1&gt;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Сумма</w:t>
            </w:r>
          </w:p>
        </w:tc>
      </w:tr>
      <w:tr w:rsidR="004060A3" w:rsidRPr="004060A3" w:rsidTr="00E2330B">
        <w:trPr>
          <w:trHeight w:val="1552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20_ г. (текущий финансовый год)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20_ г. (первый год планового периода)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на 20_ г. (второй год планового периода)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 пределами планового периода</w:t>
            </w: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Выплаты на закупку товаров, работ, услуг, всего &lt;11&gt;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контрактам (договорам), заключенным до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начала текущего финансового года без применения норм </w:t>
            </w:r>
            <w:hyperlink r:id="rId13" w:history="1"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 (Собрание законодательства Российской Федерации, 2013, N 14, ст. 1652; </w:t>
            </w: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2018, N 32, ст. 5104) (далее - Федеральный закон N 44-ФЗ) и </w:t>
            </w:r>
            <w:hyperlink r:id="rId14" w:history="1"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Федерального закона от 18 июля 2011 г. N 223-ФЗ "О закупках товаров, работ, </w:t>
              </w:r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lastRenderedPageBreak/>
                <w:t>услуг отдельными видами юридических лиц"</w:t>
              </w:r>
            </w:hyperlink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 (Собрание законодательства Российской Федерации, 2011, N 30, ст. 4571; 2018, N 32, ст. 5135) (далее - Федеральный закон N 223-ФЗ) &lt;12&gt;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 &lt;12&gt;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контрактам (договорам),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заключенным до начала текущего финансового года с учетом требований Федерального закона N 44-ФЗ и Федерального закона N 223-ФЗ &lt;13&gt;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 &lt;10.1&gt;: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26310.1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26320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N 44-ФЗ и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Федерального закона N 223-ФЗ &lt;13&gt;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1.4.1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 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1.4.1.1.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1.4.1.2.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223-ФЗ &lt;14&gt;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 счет субсидий,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в соответствии с абзацем вторым пункта 1 статьи 78.1 </w:t>
            </w:r>
            <w:hyperlink r:id="rId15" w:history="1"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Бюджетного кодекса Российской </w:t>
              </w:r>
              <w:r w:rsidRPr="004060A3">
                <w:rPr>
                  <w:rFonts w:ascii="Times New Roman" w:eastAsia="Times New Roman" w:hAnsi="Times New Roman"/>
                  <w:color w:val="00466E"/>
                  <w:sz w:val="28"/>
                  <w:szCs w:val="28"/>
                  <w:u w:val="single"/>
                  <w:lang w:eastAsia="ru-RU"/>
                </w:rPr>
                <w:lastRenderedPageBreak/>
                <w:t>Федерации</w:t>
              </w:r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1.4.2.1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 &lt;10.1&gt;: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26421.1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1.4.2.2.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223-ФЗ &lt;14&gt;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 счет субсидий, предоставляемых на осуществление капитальных вложений &lt;15&gt;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 &lt;10.1&gt;: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26430.1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1.4.4.1.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1.4.4.2.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 соответствии с Федеральным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законом N 223-ФЗ &lt;14&gt;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26442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1.4.5.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1.4.5.1.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из них &lt;10.1&gt;: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26451.1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1.4.5.2.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26452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в том числе по </w:t>
            </w: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году начала закупки: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26510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в том числе по году начала закупки: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26610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  <w:trHeight w:val="15"/>
        </w:trPr>
        <w:tc>
          <w:tcPr>
            <w:tcW w:w="1478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4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Руководитель учреждения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(уполномоченное лицо учреждения)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(фамилия, инициалы)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(телефон)</w:t>
            </w: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"__" ____________ 20_ г.</w:t>
            </w: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_______________________________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(наименование должности уполномоченного лица органа-учредителя)</w:t>
            </w: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(подпись)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____________________</w:t>
            </w:r>
          </w:p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(расшифровка подписи)</w:t>
            </w: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"__" _____________ 20_ г.</w:t>
            </w:r>
          </w:p>
        </w:tc>
        <w:tc>
          <w:tcPr>
            <w:tcW w:w="499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60A3" w:rsidRPr="004060A3" w:rsidTr="004060A3">
        <w:trPr>
          <w:gridAfter w:val="1"/>
          <w:wAfter w:w="264" w:type="dxa"/>
        </w:trPr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60A3" w:rsidRPr="004060A3" w:rsidRDefault="004060A3" w:rsidP="004060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060A3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--------------------------------</w:t>
            </w:r>
          </w:p>
        </w:tc>
      </w:tr>
    </w:tbl>
    <w:p w:rsidR="002244A7" w:rsidRPr="004060A3" w:rsidRDefault="002244A7" w:rsidP="004060A3">
      <w:pPr>
        <w:pStyle w:val="aa"/>
        <w:shd w:val="clear" w:color="auto" w:fill="F9F9F7"/>
        <w:ind w:firstLine="706"/>
        <w:jc w:val="both"/>
        <w:rPr>
          <w:sz w:val="28"/>
          <w:szCs w:val="28"/>
        </w:rPr>
      </w:pPr>
    </w:p>
    <w:sectPr w:rsidR="002244A7" w:rsidRPr="004060A3" w:rsidSect="00AA48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6E0"/>
    <w:multiLevelType w:val="multilevel"/>
    <w:tmpl w:val="7892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1F3D"/>
    <w:multiLevelType w:val="multilevel"/>
    <w:tmpl w:val="38E8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B5B6C"/>
    <w:multiLevelType w:val="multilevel"/>
    <w:tmpl w:val="0536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B2"/>
    <w:rsid w:val="00044C57"/>
    <w:rsid w:val="000F109F"/>
    <w:rsid w:val="00124A44"/>
    <w:rsid w:val="00223E34"/>
    <w:rsid w:val="002244A7"/>
    <w:rsid w:val="00246C3F"/>
    <w:rsid w:val="0033779A"/>
    <w:rsid w:val="004060A3"/>
    <w:rsid w:val="0044401B"/>
    <w:rsid w:val="00736A3B"/>
    <w:rsid w:val="007C59E4"/>
    <w:rsid w:val="00A40F85"/>
    <w:rsid w:val="00AA48F5"/>
    <w:rsid w:val="00C815F7"/>
    <w:rsid w:val="00E01234"/>
    <w:rsid w:val="00E2330B"/>
    <w:rsid w:val="00E7432A"/>
    <w:rsid w:val="00EF0DB2"/>
    <w:rsid w:val="00F21327"/>
    <w:rsid w:val="00F500D0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24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F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132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21327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F500D0"/>
  </w:style>
  <w:style w:type="paragraph" w:customStyle="1" w:styleId="formattext">
    <w:name w:val="formattext"/>
    <w:basedOn w:val="a"/>
    <w:rsid w:val="00F50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500D0"/>
    <w:rPr>
      <w:color w:val="800080"/>
      <w:u w:val="single"/>
    </w:rPr>
  </w:style>
  <w:style w:type="paragraph" w:customStyle="1" w:styleId="headertext">
    <w:name w:val="headertext"/>
    <w:basedOn w:val="a"/>
    <w:rsid w:val="00F50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060A3"/>
  </w:style>
  <w:style w:type="paragraph" w:styleId="ae">
    <w:name w:val="Balloon Text"/>
    <w:basedOn w:val="a"/>
    <w:link w:val="af"/>
    <w:uiPriority w:val="99"/>
    <w:semiHidden/>
    <w:unhideWhenUsed/>
    <w:rsid w:val="00E2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33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B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24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F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132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21327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F500D0"/>
  </w:style>
  <w:style w:type="paragraph" w:customStyle="1" w:styleId="formattext">
    <w:name w:val="formattext"/>
    <w:basedOn w:val="a"/>
    <w:rsid w:val="00F50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500D0"/>
    <w:rPr>
      <w:color w:val="800080"/>
      <w:u w:val="single"/>
    </w:rPr>
  </w:style>
  <w:style w:type="paragraph" w:customStyle="1" w:styleId="headertext">
    <w:name w:val="headertext"/>
    <w:basedOn w:val="a"/>
    <w:rsid w:val="00F50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060A3"/>
  </w:style>
  <w:style w:type="paragraph" w:styleId="ae">
    <w:name w:val="Balloon Text"/>
    <w:basedOn w:val="a"/>
    <w:link w:val="af"/>
    <w:uiPriority w:val="99"/>
    <w:semiHidden/>
    <w:unhideWhenUsed/>
    <w:rsid w:val="00E2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3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530527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8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51660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8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901514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9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1381876" TargetMode="External"/><Relationship Id="rId12" Type="http://schemas.openxmlformats.org/officeDocument/2006/relationships/hyperlink" Target="http://docs.cntd.ru/document/5559445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1" Type="http://schemas.openxmlformats.org/officeDocument/2006/relationships/hyperlink" Target="http://docs.cntd.ru/document/5559445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2289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9</cp:revision>
  <cp:lastPrinted>2020-07-30T05:21:00Z</cp:lastPrinted>
  <dcterms:created xsi:type="dcterms:W3CDTF">2020-06-10T02:01:00Z</dcterms:created>
  <dcterms:modified xsi:type="dcterms:W3CDTF">2020-07-30T05:23:00Z</dcterms:modified>
</cp:coreProperties>
</file>