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DF" w:rsidRPr="00822F06" w:rsidRDefault="00822F06" w:rsidP="00886731">
      <w:pPr>
        <w:pStyle w:val="20"/>
        <w:shd w:val="clear" w:color="auto" w:fill="auto"/>
        <w:tabs>
          <w:tab w:val="left" w:pos="7389"/>
        </w:tabs>
        <w:spacing w:after="0"/>
        <w:jc w:val="center"/>
        <w:rPr>
          <w:b/>
        </w:rPr>
      </w:pPr>
      <w:r w:rsidRPr="00822F06">
        <w:rPr>
          <w:b/>
        </w:rPr>
        <w:t>ДОКЛАД</w:t>
      </w:r>
    </w:p>
    <w:p w:rsidR="004C65DF" w:rsidRPr="00822F06" w:rsidRDefault="00357F00">
      <w:pPr>
        <w:pStyle w:val="20"/>
        <w:shd w:val="clear" w:color="auto" w:fill="auto"/>
        <w:spacing w:after="304"/>
        <w:ind w:left="20"/>
        <w:jc w:val="center"/>
        <w:rPr>
          <w:b/>
        </w:rPr>
      </w:pPr>
      <w:r>
        <w:rPr>
          <w:b/>
        </w:rPr>
        <w:t xml:space="preserve">о состоянии </w:t>
      </w:r>
      <w:r w:rsidR="00C06943">
        <w:rPr>
          <w:b/>
        </w:rPr>
        <w:t xml:space="preserve">и </w:t>
      </w:r>
      <w:r w:rsidR="00822F06" w:rsidRPr="00822F06">
        <w:rPr>
          <w:b/>
        </w:rPr>
        <w:t xml:space="preserve">развитии конкурентной среды на рынках товаров и </w:t>
      </w:r>
      <w:r w:rsidR="00C06943">
        <w:rPr>
          <w:b/>
        </w:rPr>
        <w:t xml:space="preserve">услуг </w:t>
      </w:r>
      <w:r w:rsidR="00480E85">
        <w:rPr>
          <w:b/>
        </w:rPr>
        <w:t>городского округа Эгвекинот за 2019</w:t>
      </w:r>
      <w:r w:rsidR="00822F06" w:rsidRPr="00822F06">
        <w:rPr>
          <w:b/>
        </w:rPr>
        <w:t xml:space="preserve"> год</w:t>
      </w:r>
    </w:p>
    <w:p w:rsidR="004C65DF" w:rsidRDefault="00BE3612" w:rsidP="004F050C">
      <w:pPr>
        <w:pStyle w:val="20"/>
        <w:shd w:val="clear" w:color="auto" w:fill="auto"/>
        <w:spacing w:after="0" w:line="240" w:lineRule="auto"/>
        <w:ind w:firstLine="740"/>
        <w:jc w:val="both"/>
      </w:pPr>
      <w:r>
        <w:t>Во исполнение</w:t>
      </w:r>
      <w:r w:rsidR="00E82FF5">
        <w:t xml:space="preserve"> Стандарта развития конкуренции в субъектах Российской Федерации, утверждённого </w:t>
      </w:r>
      <w:r w:rsidR="00480E85" w:rsidRPr="00480E85">
        <w:t>Распоряжением Правительства Российской Федерации от 17 апреля 2019 г. № 768-р</w:t>
      </w:r>
      <w:r w:rsidR="00C06943">
        <w:t xml:space="preserve">, </w:t>
      </w:r>
      <w:r>
        <w:t xml:space="preserve">на основании </w:t>
      </w:r>
      <w:r w:rsidR="002A02BC">
        <w:t>Распоряжения</w:t>
      </w:r>
      <w:r w:rsidR="002A02BC" w:rsidRPr="00C86286">
        <w:t xml:space="preserve"> Губернатора Чукотского автономного округа от 25 сентября 2015 года № 180-рг «О внедрении на территории Чукотского автономного округа «Стандарта развития конкуренции в субъектах Российской Федерации»</w:t>
      </w:r>
      <w:r>
        <w:t xml:space="preserve">, </w:t>
      </w:r>
      <w:r w:rsidR="00743432">
        <w:t xml:space="preserve">в </w:t>
      </w:r>
      <w:r w:rsidR="004815FC">
        <w:t>городском округе Эгвекинот</w:t>
      </w:r>
      <w:r w:rsidR="00743432">
        <w:t xml:space="preserve"> организована следующая работа</w:t>
      </w:r>
      <w:r w:rsidR="004F050C">
        <w:t>. П</w:t>
      </w:r>
      <w:r w:rsidR="004815FC">
        <w:t>остановлением Администрации</w:t>
      </w:r>
      <w:r w:rsidR="00F72043">
        <w:t xml:space="preserve"> </w:t>
      </w:r>
      <w:r w:rsidR="004815FC">
        <w:t>городского округа Эгвекинот</w:t>
      </w:r>
      <w:r w:rsidR="00F72043" w:rsidRPr="00F72043">
        <w:t xml:space="preserve"> </w:t>
      </w:r>
      <w:r w:rsidR="004815FC">
        <w:t>от 04.04.2019</w:t>
      </w:r>
      <w:r w:rsidR="00E82FF5">
        <w:t xml:space="preserve"> </w:t>
      </w:r>
      <w:r w:rsidR="008D0B1D">
        <w:t xml:space="preserve">г. </w:t>
      </w:r>
      <w:r w:rsidR="00E82FF5">
        <w:t xml:space="preserve">№ </w:t>
      </w:r>
      <w:r w:rsidR="004815FC">
        <w:t>97-па</w:t>
      </w:r>
      <w:r w:rsidR="004F050C">
        <w:t xml:space="preserve"> утвержден План мероприятий («Дорожная карта») по содействию развитию конкуренции в городском округе Эгвекинот, определены </w:t>
      </w:r>
      <w:r w:rsidR="00D45247">
        <w:t>социально значимые</w:t>
      </w:r>
      <w:r w:rsidR="004F050C" w:rsidRPr="004F050C">
        <w:t xml:space="preserve"> рынками для содействия развитию</w:t>
      </w:r>
      <w:r w:rsidR="004F050C">
        <w:t xml:space="preserve"> конкуренции в городском округе:</w:t>
      </w:r>
    </w:p>
    <w:p w:rsidR="004F050C" w:rsidRDefault="004F050C" w:rsidP="004F050C">
      <w:pPr>
        <w:pStyle w:val="20"/>
        <w:spacing w:after="0"/>
        <w:ind w:firstLine="740"/>
        <w:jc w:val="both"/>
      </w:pPr>
      <w:r>
        <w:t xml:space="preserve">рынок услуг дошкольного образования; </w:t>
      </w:r>
    </w:p>
    <w:p w:rsidR="004F050C" w:rsidRDefault="004F050C" w:rsidP="004F050C">
      <w:pPr>
        <w:pStyle w:val="20"/>
        <w:spacing w:after="0"/>
        <w:ind w:firstLine="740"/>
        <w:jc w:val="both"/>
      </w:pPr>
      <w:r>
        <w:t xml:space="preserve">рынок услуг дополнительного образования детей; </w:t>
      </w:r>
    </w:p>
    <w:p w:rsidR="004F050C" w:rsidRDefault="004F050C" w:rsidP="004F050C">
      <w:pPr>
        <w:pStyle w:val="20"/>
        <w:spacing w:after="0"/>
        <w:ind w:firstLine="740"/>
        <w:jc w:val="both"/>
      </w:pPr>
      <w:r>
        <w:t xml:space="preserve">рынок услуг детского отдыха и оздоровления; </w:t>
      </w:r>
    </w:p>
    <w:p w:rsidR="004F050C" w:rsidRDefault="004F050C" w:rsidP="004F050C">
      <w:pPr>
        <w:pStyle w:val="20"/>
        <w:spacing w:after="0"/>
        <w:ind w:firstLine="740"/>
        <w:jc w:val="both"/>
      </w:pPr>
      <w:r>
        <w:t xml:space="preserve">рынок услуг в сфере культуры; </w:t>
      </w:r>
    </w:p>
    <w:p w:rsidR="004F050C" w:rsidRDefault="004F050C" w:rsidP="004F050C">
      <w:pPr>
        <w:pStyle w:val="20"/>
        <w:spacing w:after="0"/>
        <w:ind w:firstLine="740"/>
        <w:jc w:val="both"/>
      </w:pPr>
      <w:r>
        <w:t xml:space="preserve">рынок услуг жилищно-коммунального хозяйства; </w:t>
      </w:r>
    </w:p>
    <w:p w:rsidR="004F050C" w:rsidRDefault="004F050C" w:rsidP="004F050C">
      <w:pPr>
        <w:pStyle w:val="20"/>
        <w:spacing w:after="0"/>
        <w:ind w:firstLine="740"/>
        <w:jc w:val="both"/>
      </w:pPr>
      <w:r>
        <w:t xml:space="preserve">рынок розничной торговли; </w:t>
      </w:r>
    </w:p>
    <w:p w:rsidR="004F050C" w:rsidRDefault="004F050C" w:rsidP="004F050C">
      <w:pPr>
        <w:pStyle w:val="20"/>
        <w:shd w:val="clear" w:color="auto" w:fill="auto"/>
        <w:spacing w:after="0" w:line="240" w:lineRule="auto"/>
        <w:ind w:firstLine="740"/>
        <w:jc w:val="both"/>
      </w:pPr>
      <w:r>
        <w:t>рынок услуг перевозок пассажиров наземным транспортом.</w:t>
      </w:r>
    </w:p>
    <w:p w:rsidR="004F050C" w:rsidRDefault="00917684" w:rsidP="00917684">
      <w:pPr>
        <w:pStyle w:val="20"/>
        <w:spacing w:after="0"/>
        <w:ind w:firstLine="740"/>
        <w:jc w:val="both"/>
      </w:pPr>
      <w:r>
        <w:t>Органы</w:t>
      </w:r>
      <w:r w:rsidR="004F050C">
        <w:t xml:space="preserve"> местного самоуправления городского округа Эгвекинот, ответ</w:t>
      </w:r>
      <w:r>
        <w:t>ственные</w:t>
      </w:r>
      <w:r w:rsidR="004F050C">
        <w:t xml:space="preserve"> за выполнение мероприятий, пре</w:t>
      </w:r>
      <w:r>
        <w:t>дусмотренных «Дорожной картой» должны о</w:t>
      </w:r>
      <w:r w:rsidR="004F050C">
        <w:t>беспечить реализац</w:t>
      </w:r>
      <w:r>
        <w:t>ию мероприятий «Дорожной карты» и ежегодно</w:t>
      </w:r>
      <w:r w:rsidR="004F050C">
        <w:t xml:space="preserve"> предоставлять в отдел экономики Управления финансов, экономики и имущественных отношений городского округа Эгвекинот информацию о ходе реализации мероприятий «Дорожной карты» с целью формирования сводной информации об ее исполнении.</w:t>
      </w:r>
    </w:p>
    <w:p w:rsidR="00394602" w:rsidRDefault="00394602" w:rsidP="00611126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394602" w:rsidRDefault="00394602" w:rsidP="00394602">
      <w:pPr>
        <w:pStyle w:val="20"/>
        <w:shd w:val="clear" w:color="auto" w:fill="auto"/>
        <w:spacing w:after="0" w:line="322" w:lineRule="exact"/>
        <w:jc w:val="center"/>
      </w:pPr>
      <w:r>
        <w:t>Контрольные показатели дорожной карты развития конкуренции</w:t>
      </w:r>
    </w:p>
    <w:p w:rsidR="00394602" w:rsidRDefault="00394602" w:rsidP="00394602">
      <w:pPr>
        <w:pStyle w:val="20"/>
        <w:shd w:val="clear" w:color="auto" w:fill="auto"/>
        <w:spacing w:after="0" w:line="322" w:lineRule="exact"/>
        <w:jc w:val="center"/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1"/>
        <w:gridCol w:w="708"/>
        <w:gridCol w:w="1134"/>
        <w:gridCol w:w="1134"/>
        <w:gridCol w:w="9"/>
        <w:gridCol w:w="23"/>
      </w:tblGrid>
      <w:tr w:rsidR="00917684" w:rsidRPr="00917684" w:rsidTr="00917684">
        <w:trPr>
          <w:gridAfter w:val="1"/>
          <w:wAfter w:w="23" w:type="dxa"/>
        </w:trPr>
        <w:tc>
          <w:tcPr>
            <w:tcW w:w="675" w:type="dxa"/>
            <w:vMerge w:val="restart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5841" w:type="dxa"/>
            <w:vMerge w:val="restart"/>
            <w:vAlign w:val="center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2277" w:type="dxa"/>
            <w:gridSpan w:val="3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Целевое значение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  <w:vMerge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841" w:type="dxa"/>
            <w:vMerge/>
          </w:tcPr>
          <w:p w:rsidR="00917684" w:rsidRPr="00917684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</w:tcPr>
          <w:p w:rsidR="00917684" w:rsidRPr="00917684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</w:t>
            </w:r>
          </w:p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г.</w:t>
            </w:r>
          </w:p>
        </w:tc>
        <w:tc>
          <w:tcPr>
            <w:tcW w:w="1134" w:type="dxa"/>
            <w:vAlign w:val="center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</w:t>
            </w:r>
          </w:p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г.</w:t>
            </w:r>
          </w:p>
        </w:tc>
      </w:tr>
      <w:tr w:rsidR="00917684" w:rsidRPr="00917684" w:rsidTr="00917684">
        <w:trPr>
          <w:gridAfter w:val="2"/>
          <w:wAfter w:w="32" w:type="dxa"/>
          <w:trHeight w:val="251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917684" w:rsidRPr="00917684" w:rsidTr="001F4757">
        <w:trPr>
          <w:trHeight w:val="70"/>
        </w:trPr>
        <w:tc>
          <w:tcPr>
            <w:tcW w:w="9524" w:type="dxa"/>
            <w:gridSpan w:val="7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 значимые рынки</w:t>
            </w:r>
          </w:p>
        </w:tc>
      </w:tr>
      <w:tr w:rsidR="00917684" w:rsidRPr="00917684" w:rsidTr="001F4757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8849" w:type="dxa"/>
            <w:gridSpan w:val="6"/>
          </w:tcPr>
          <w:p w:rsidR="00917684" w:rsidRPr="00917684" w:rsidRDefault="00917684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</w:t>
            </w:r>
            <w:r w:rsidR="001F47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услуг дошкольного образования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lang w:bidi="ar-SA"/>
              </w:rPr>
              <w:t>1.1.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lang w:bidi="ar-SA"/>
              </w:rPr>
              <w:t xml:space="preserve">Охват детей, получающих услуги дошкольного образования, услуги по присмотру и уходу за детьми в организациях всех форм собственности на территории городского округа Эгвекинот 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85,4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85,4</w:t>
            </w:r>
          </w:p>
        </w:tc>
      </w:tr>
      <w:tr w:rsidR="00917684" w:rsidRPr="00917684" w:rsidTr="00917684">
        <w:trPr>
          <w:trHeight w:val="245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8849" w:type="dxa"/>
            <w:gridSpan w:val="6"/>
          </w:tcPr>
          <w:p w:rsidR="00917684" w:rsidRPr="00917684" w:rsidRDefault="00917684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дополнительного образования детей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Количество детей в возрасте 5-18 лет, получающих услуги по дополнительному образованию в </w:t>
            </w: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организациях различной организационно-правовой формы собственности 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чел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669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873</w:t>
            </w:r>
          </w:p>
        </w:tc>
      </w:tr>
      <w:tr w:rsidR="00917684" w:rsidRPr="00917684" w:rsidTr="00917684">
        <w:tc>
          <w:tcPr>
            <w:tcW w:w="675" w:type="dxa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8849" w:type="dxa"/>
            <w:gridSpan w:val="6"/>
          </w:tcPr>
          <w:p w:rsidR="00917684" w:rsidRPr="00917684" w:rsidRDefault="00917684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детского отдыха и оздоровления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стабильного охвата детей школьного возраста, проживающих на территории городского округа,  услугами организованного отдыха и оздоровления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чел.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353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357</w:t>
            </w:r>
          </w:p>
        </w:tc>
      </w:tr>
      <w:tr w:rsidR="00917684" w:rsidRPr="00917684" w:rsidTr="00917684">
        <w:trPr>
          <w:trHeight w:val="231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8849" w:type="dxa"/>
            <w:gridSpan w:val="6"/>
          </w:tcPr>
          <w:p w:rsidR="00917684" w:rsidRPr="00917684" w:rsidRDefault="00917684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в сфере культуры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расходов бюджета, выделяемых на финансирование деятельности муниципальных учреждений в сфере культуры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7,2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7,4</w:t>
            </w:r>
          </w:p>
        </w:tc>
      </w:tr>
      <w:tr w:rsidR="00917684" w:rsidRPr="00917684" w:rsidTr="00917684"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8849" w:type="dxa"/>
            <w:gridSpan w:val="6"/>
          </w:tcPr>
          <w:p w:rsidR="00917684" w:rsidRPr="00917684" w:rsidRDefault="00917684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жилищно-коммунального хозяйства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917684" w:rsidRPr="00917684" w:rsidTr="00917684"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8849" w:type="dxa"/>
            <w:gridSpan w:val="6"/>
          </w:tcPr>
          <w:p w:rsidR="00917684" w:rsidRPr="00917684" w:rsidRDefault="00917684" w:rsidP="00917684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розничной торговли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нестационарных торговых объектов, включенных в схему нестационарных торговых объектов, расположенных на территории городского округа Эгвекинот</w:t>
            </w:r>
          </w:p>
        </w:tc>
        <w:tc>
          <w:tcPr>
            <w:tcW w:w="708" w:type="dxa"/>
          </w:tcPr>
          <w:p w:rsidR="00917684" w:rsidRPr="00D45247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452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шт.</w:t>
            </w:r>
          </w:p>
        </w:tc>
        <w:tc>
          <w:tcPr>
            <w:tcW w:w="1134" w:type="dxa"/>
          </w:tcPr>
          <w:p w:rsidR="00917684" w:rsidRPr="00D45247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452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34" w:type="dxa"/>
          </w:tcPr>
          <w:p w:rsidR="00917684" w:rsidRPr="00D45247" w:rsidRDefault="00D45247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452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  <w:tr w:rsidR="00917684" w:rsidRPr="00917684" w:rsidTr="00917684"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8849" w:type="dxa"/>
            <w:gridSpan w:val="6"/>
          </w:tcPr>
          <w:p w:rsidR="00917684" w:rsidRPr="00917684" w:rsidRDefault="00917684" w:rsidP="00A23D9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Рынок услуг перевозок пассажиров наземным транспортом</w:t>
            </w:r>
          </w:p>
        </w:tc>
      </w:tr>
      <w:tr w:rsidR="00917684" w:rsidRPr="00917684" w:rsidTr="00917684">
        <w:trPr>
          <w:gridAfter w:val="2"/>
          <w:wAfter w:w="32" w:type="dxa"/>
        </w:trPr>
        <w:tc>
          <w:tcPr>
            <w:tcW w:w="675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</w:t>
            </w:r>
          </w:p>
        </w:tc>
        <w:tc>
          <w:tcPr>
            <w:tcW w:w="5841" w:type="dxa"/>
          </w:tcPr>
          <w:p w:rsidR="00917684" w:rsidRPr="00917684" w:rsidRDefault="00917684" w:rsidP="0091768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аукционов в электронной форме</w:t>
            </w:r>
            <w:r w:rsidRPr="0091768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право осуществления перевозок по маршрутам регулярных перевозок</w:t>
            </w:r>
          </w:p>
        </w:tc>
        <w:tc>
          <w:tcPr>
            <w:tcW w:w="708" w:type="dxa"/>
          </w:tcPr>
          <w:p w:rsidR="00917684" w:rsidRPr="00917684" w:rsidRDefault="00917684" w:rsidP="009176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:rsidR="00917684" w:rsidRPr="00917684" w:rsidRDefault="00917684" w:rsidP="009176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76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</w:tbl>
    <w:p w:rsidR="00E23695" w:rsidRDefault="00E23695" w:rsidP="00E330D2">
      <w:pPr>
        <w:pStyle w:val="20"/>
        <w:shd w:val="clear" w:color="auto" w:fill="auto"/>
        <w:spacing w:after="0" w:line="322" w:lineRule="exact"/>
      </w:pPr>
    </w:p>
    <w:p w:rsidR="00367D91" w:rsidRDefault="00367D91" w:rsidP="00611126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результате реализации мероприятий п</w:t>
      </w:r>
      <w:r w:rsidR="00C06943">
        <w:t xml:space="preserve">о развитию конкуренции в </w:t>
      </w:r>
      <w:r w:rsidR="006A56C9">
        <w:t>городском округе</w:t>
      </w:r>
      <w:r>
        <w:t xml:space="preserve"> ц</w:t>
      </w:r>
      <w:r w:rsidR="004967CB">
        <w:t xml:space="preserve">елевые показатели выполнены на </w:t>
      </w:r>
      <w:r w:rsidR="004967CB" w:rsidRPr="00F11B74">
        <w:t>8</w:t>
      </w:r>
      <w:r w:rsidR="001F4757">
        <w:t xml:space="preserve">5,7 </w:t>
      </w:r>
      <w:r>
        <w:t>%.</w:t>
      </w:r>
    </w:p>
    <w:p w:rsidR="00472EC4" w:rsidRDefault="00472EC4" w:rsidP="00472EC4">
      <w:pPr>
        <w:pStyle w:val="20"/>
        <w:spacing w:after="0" w:line="322" w:lineRule="exact"/>
        <w:ind w:firstLine="760"/>
        <w:jc w:val="both"/>
      </w:pPr>
      <w:r>
        <w:t>Отчет о реализации Плана мероприятий («Дорожной карты») по содействию развитию конкуренции в городском округе Эгвекинот за 2019 год размещен на официальном сайте Администрации городского округа Эгвекинот.</w:t>
      </w:r>
    </w:p>
    <w:p w:rsidR="001F4757" w:rsidRDefault="009F5750" w:rsidP="00472EC4">
      <w:pPr>
        <w:pStyle w:val="20"/>
        <w:spacing w:after="0" w:line="322" w:lineRule="exact"/>
        <w:ind w:firstLine="760"/>
        <w:jc w:val="both"/>
      </w:pPr>
      <w:r>
        <w:t>В актуальном состоянии поддерживается раздел «</w:t>
      </w:r>
      <w:r w:rsidR="001F4757">
        <w:t>Малое и среднее предпринимательство</w:t>
      </w:r>
      <w:r>
        <w:t xml:space="preserve">» на официальном сайте </w:t>
      </w:r>
      <w:r w:rsidR="001F4757">
        <w:t xml:space="preserve">Администрации городского округа Эгвекинот </w:t>
      </w:r>
      <w:r w:rsidR="001F4757" w:rsidRPr="001F4757">
        <w:t>http://эгвекинот.рф/economy/business/</w:t>
      </w:r>
      <w:r>
        <w:t>. В рамках методической поддержки субъектов СМП по вопросам развития конкуренции размещены нормативно-правовые акты, принятые на федеральном, регио</w:t>
      </w:r>
      <w:r w:rsidR="00150457">
        <w:t>нальном и муниципальном уровне.</w:t>
      </w:r>
    </w:p>
    <w:p w:rsidR="004C65DF" w:rsidRDefault="00150457" w:rsidP="001F4757">
      <w:pPr>
        <w:pStyle w:val="20"/>
        <w:spacing w:after="0" w:line="322" w:lineRule="exact"/>
        <w:ind w:firstLine="760"/>
        <w:jc w:val="both"/>
      </w:pPr>
      <w:r>
        <w:tab/>
      </w:r>
    </w:p>
    <w:p w:rsidR="00721FD0" w:rsidRPr="00632781" w:rsidRDefault="009128CD" w:rsidP="005D262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781">
        <w:rPr>
          <w:rFonts w:ascii="Times New Roman" w:hAnsi="Times New Roman" w:cs="Times New Roman"/>
          <w:sz w:val="28"/>
          <w:szCs w:val="28"/>
        </w:rPr>
        <w:t>Рынок муниципальных закупок</w:t>
      </w:r>
    </w:p>
    <w:p w:rsidR="005D262E" w:rsidRPr="00632781" w:rsidRDefault="005D262E" w:rsidP="005D262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28CD" w:rsidRPr="00632781" w:rsidRDefault="00721FD0" w:rsidP="005D262E">
      <w:pPr>
        <w:jc w:val="both"/>
        <w:rPr>
          <w:rFonts w:ascii="Times New Roman" w:hAnsi="Times New Roman" w:cs="Times New Roman"/>
          <w:sz w:val="28"/>
          <w:szCs w:val="28"/>
        </w:rPr>
      </w:pPr>
      <w:r w:rsidRPr="00632781">
        <w:rPr>
          <w:rFonts w:ascii="Times New Roman" w:hAnsi="Times New Roman" w:cs="Times New Roman"/>
          <w:sz w:val="28"/>
          <w:szCs w:val="28"/>
        </w:rPr>
        <w:tab/>
        <w:t xml:space="preserve">Наилучшим образом в </w:t>
      </w:r>
      <w:r w:rsidR="00CE2BDF" w:rsidRPr="00632781">
        <w:rPr>
          <w:rFonts w:ascii="Times New Roman" w:hAnsi="Times New Roman" w:cs="Times New Roman"/>
          <w:sz w:val="28"/>
          <w:szCs w:val="28"/>
        </w:rPr>
        <w:t>городском округе Эгвекинот</w:t>
      </w:r>
      <w:r w:rsidRPr="00632781">
        <w:rPr>
          <w:rFonts w:ascii="Times New Roman" w:hAnsi="Times New Roman" w:cs="Times New Roman"/>
          <w:sz w:val="28"/>
          <w:szCs w:val="28"/>
        </w:rPr>
        <w:t xml:space="preserve"> функционирует рынок муниципальных закупок</w:t>
      </w:r>
      <w:r w:rsidR="005D262E" w:rsidRPr="00632781">
        <w:rPr>
          <w:rFonts w:ascii="Times New Roman" w:hAnsi="Times New Roman" w:cs="Times New Roman"/>
          <w:sz w:val="28"/>
          <w:szCs w:val="28"/>
        </w:rPr>
        <w:t>.</w:t>
      </w:r>
    </w:p>
    <w:p w:rsidR="009128CD" w:rsidRPr="00632781" w:rsidRDefault="009128CD" w:rsidP="005D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781">
        <w:rPr>
          <w:rFonts w:ascii="Times New Roman" w:hAnsi="Times New Roman" w:cs="Times New Roman"/>
          <w:sz w:val="28"/>
          <w:szCs w:val="28"/>
        </w:rPr>
        <w:t xml:space="preserve">В </w:t>
      </w:r>
      <w:r w:rsidR="00DC2105" w:rsidRPr="00632781">
        <w:rPr>
          <w:rFonts w:ascii="Times New Roman" w:hAnsi="Times New Roman" w:cs="Times New Roman"/>
          <w:sz w:val="28"/>
          <w:szCs w:val="28"/>
        </w:rPr>
        <w:t>городском округе Эгвекинот в 2019 году органами местного самоуправления осуществлена 31 конкурентная закупа</w:t>
      </w:r>
      <w:r w:rsidRPr="00632781">
        <w:rPr>
          <w:rFonts w:ascii="Times New Roman" w:hAnsi="Times New Roman" w:cs="Times New Roman"/>
          <w:sz w:val="28"/>
          <w:szCs w:val="28"/>
        </w:rPr>
        <w:t xml:space="preserve"> у субъек</w:t>
      </w:r>
      <w:r w:rsidR="00DC2105" w:rsidRPr="00632781"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 </w:t>
      </w:r>
      <w:r w:rsidRPr="00632781">
        <w:rPr>
          <w:rFonts w:ascii="Times New Roman" w:hAnsi="Times New Roman" w:cs="Times New Roman"/>
          <w:sz w:val="28"/>
          <w:szCs w:val="28"/>
        </w:rPr>
        <w:t xml:space="preserve">(далее – СМП). Общая сумма закупок у </w:t>
      </w:r>
      <w:r w:rsidR="00632781" w:rsidRPr="00632781">
        <w:rPr>
          <w:rFonts w:ascii="Times New Roman" w:hAnsi="Times New Roman" w:cs="Times New Roman"/>
          <w:sz w:val="28"/>
          <w:szCs w:val="28"/>
        </w:rPr>
        <w:t>СМП</w:t>
      </w:r>
      <w:r w:rsidRPr="00632781">
        <w:rPr>
          <w:rFonts w:ascii="Times New Roman" w:hAnsi="Times New Roman" w:cs="Times New Roman"/>
          <w:sz w:val="28"/>
          <w:szCs w:val="28"/>
        </w:rPr>
        <w:t xml:space="preserve"> по проведе</w:t>
      </w:r>
      <w:r w:rsidR="00DC2105" w:rsidRPr="00632781">
        <w:rPr>
          <w:rFonts w:ascii="Times New Roman" w:hAnsi="Times New Roman" w:cs="Times New Roman"/>
          <w:sz w:val="28"/>
          <w:szCs w:val="28"/>
        </w:rPr>
        <w:t>нным процедурам в 2019</w:t>
      </w:r>
      <w:r w:rsidRPr="00632781">
        <w:rPr>
          <w:rFonts w:ascii="Times New Roman" w:hAnsi="Times New Roman" w:cs="Times New Roman"/>
          <w:sz w:val="28"/>
          <w:szCs w:val="28"/>
        </w:rPr>
        <w:t xml:space="preserve"> </w:t>
      </w:r>
      <w:r w:rsidR="00DC2105" w:rsidRPr="00632781">
        <w:rPr>
          <w:rFonts w:ascii="Times New Roman" w:hAnsi="Times New Roman" w:cs="Times New Roman"/>
          <w:sz w:val="28"/>
          <w:szCs w:val="28"/>
        </w:rPr>
        <w:t>году составила 26 580,4 тыс. рублей.</w:t>
      </w:r>
    </w:p>
    <w:p w:rsidR="009128CD" w:rsidRDefault="009128CD" w:rsidP="005D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781">
        <w:rPr>
          <w:rFonts w:ascii="Times New Roman" w:hAnsi="Times New Roman" w:cs="Times New Roman"/>
          <w:sz w:val="28"/>
          <w:szCs w:val="28"/>
        </w:rPr>
        <w:lastRenderedPageBreak/>
        <w:t>Согласно ст. 30 Федерального закона № 44</w:t>
      </w:r>
      <w:r w:rsidR="00DC2105" w:rsidRPr="00632781">
        <w:rPr>
          <w:rFonts w:ascii="Times New Roman" w:hAnsi="Times New Roman" w:cs="Times New Roman"/>
          <w:sz w:val="28"/>
          <w:szCs w:val="28"/>
        </w:rPr>
        <w:t xml:space="preserve">-ФЗ от </w:t>
      </w:r>
      <w:r w:rsidRPr="00632781">
        <w:rPr>
          <w:rFonts w:ascii="Times New Roman" w:hAnsi="Times New Roman" w:cs="Times New Roman"/>
          <w:sz w:val="28"/>
          <w:szCs w:val="28"/>
        </w:rPr>
        <w:t>5 апреля 2013 г. «О закупках товаров, работ, услуг для обеспечения государственных и муниципальных нужд» за</w:t>
      </w:r>
      <w:bookmarkStart w:id="0" w:name="_GoBack"/>
      <w:bookmarkEnd w:id="0"/>
      <w:r w:rsidRPr="00632781">
        <w:rPr>
          <w:rFonts w:ascii="Times New Roman" w:hAnsi="Times New Roman" w:cs="Times New Roman"/>
          <w:sz w:val="28"/>
          <w:szCs w:val="28"/>
        </w:rPr>
        <w:t xml:space="preserve">казчики обязаны осуществлять закупки у </w:t>
      </w:r>
      <w:r w:rsidR="00632781" w:rsidRPr="00632781">
        <w:rPr>
          <w:rFonts w:ascii="Times New Roman" w:hAnsi="Times New Roman" w:cs="Times New Roman"/>
          <w:sz w:val="28"/>
          <w:szCs w:val="28"/>
        </w:rPr>
        <w:t>СМП</w:t>
      </w:r>
      <w:r w:rsidRPr="00632781">
        <w:rPr>
          <w:rFonts w:ascii="Times New Roman" w:hAnsi="Times New Roman" w:cs="Times New Roman"/>
          <w:sz w:val="28"/>
          <w:szCs w:val="28"/>
        </w:rPr>
        <w:t xml:space="preserve"> в объеме не менее чем пятнадцать процентов совокупного годового объема закупок. Ор</w:t>
      </w:r>
      <w:r w:rsidR="00632781" w:rsidRPr="00632781">
        <w:rPr>
          <w:rFonts w:ascii="Times New Roman" w:hAnsi="Times New Roman" w:cs="Times New Roman"/>
          <w:sz w:val="28"/>
          <w:szCs w:val="28"/>
        </w:rPr>
        <w:t>ганами местного самоуправления городского округа Эгвекинот в 2019</w:t>
      </w:r>
      <w:r w:rsidRPr="00632781">
        <w:rPr>
          <w:rFonts w:ascii="Times New Roman" w:hAnsi="Times New Roman" w:cs="Times New Roman"/>
          <w:sz w:val="28"/>
          <w:szCs w:val="28"/>
        </w:rPr>
        <w:t xml:space="preserve"> году осуществлено закупок у </w:t>
      </w:r>
      <w:r w:rsidR="00632781" w:rsidRPr="00632781">
        <w:rPr>
          <w:rFonts w:ascii="Times New Roman" w:hAnsi="Times New Roman" w:cs="Times New Roman"/>
          <w:sz w:val="28"/>
          <w:szCs w:val="28"/>
        </w:rPr>
        <w:t>СМП в размере 40,5 %.</w:t>
      </w:r>
    </w:p>
    <w:p w:rsidR="005C7A00" w:rsidRDefault="005C7A00" w:rsidP="005D2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7A00" w:rsidSect="00045CFC">
      <w:footerReference w:type="default" r:id="rId7"/>
      <w:type w:val="continuous"/>
      <w:pgSz w:w="11900" w:h="16840"/>
      <w:pgMar w:top="993" w:right="838" w:bottom="851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B6" w:rsidRDefault="001A4FB6">
      <w:r>
        <w:separator/>
      </w:r>
    </w:p>
  </w:endnote>
  <w:endnote w:type="continuationSeparator" w:id="0">
    <w:p w:rsidR="001A4FB6" w:rsidRDefault="001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5" w:rsidRDefault="00E912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3277870</wp:posOffset>
              </wp:positionH>
              <wp:positionV relativeFrom="page">
                <wp:posOffset>10243185</wp:posOffset>
              </wp:positionV>
              <wp:extent cx="3100070" cy="189865"/>
              <wp:effectExtent l="127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245" w:rsidRDefault="00E91245">
                          <w:pPr>
                            <w:pStyle w:val="a6"/>
                            <w:shd w:val="clear" w:color="auto" w:fill="auto"/>
                            <w:tabs>
                              <w:tab w:val="right" w:pos="48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1pt;margin-top:806.55pt;width:244.1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Iqg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" filled="f" stroked="f">
              <v:textbox style="mso-fit-shape-to-text:t" inset="0,0,0,0">
                <w:txbxContent>
                  <w:p w:rsidR="00E91245" w:rsidRDefault="00E91245">
                    <w:pPr>
                      <w:pStyle w:val="a6"/>
                      <w:shd w:val="clear" w:color="auto" w:fill="auto"/>
                      <w:tabs>
                        <w:tab w:val="right" w:pos="48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B6" w:rsidRDefault="001A4FB6"/>
  </w:footnote>
  <w:footnote w:type="continuationSeparator" w:id="0">
    <w:p w:rsidR="001A4FB6" w:rsidRDefault="001A4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443F"/>
    <w:multiLevelType w:val="multilevel"/>
    <w:tmpl w:val="D51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F"/>
    <w:rsid w:val="00015110"/>
    <w:rsid w:val="00034B32"/>
    <w:rsid w:val="00043E23"/>
    <w:rsid w:val="00045CFC"/>
    <w:rsid w:val="000818BD"/>
    <w:rsid w:val="000C1C8C"/>
    <w:rsid w:val="000E5E26"/>
    <w:rsid w:val="0013067A"/>
    <w:rsid w:val="00135463"/>
    <w:rsid w:val="00150457"/>
    <w:rsid w:val="00164792"/>
    <w:rsid w:val="001A4FB6"/>
    <w:rsid w:val="001F1309"/>
    <w:rsid w:val="001F4757"/>
    <w:rsid w:val="00277F32"/>
    <w:rsid w:val="00293FF3"/>
    <w:rsid w:val="002A02BC"/>
    <w:rsid w:val="002C269D"/>
    <w:rsid w:val="003004D5"/>
    <w:rsid w:val="00322E35"/>
    <w:rsid w:val="00343CA5"/>
    <w:rsid w:val="00357F00"/>
    <w:rsid w:val="00360EF3"/>
    <w:rsid w:val="00367D91"/>
    <w:rsid w:val="00384AC5"/>
    <w:rsid w:val="00394602"/>
    <w:rsid w:val="003A5399"/>
    <w:rsid w:val="003E2CAC"/>
    <w:rsid w:val="003F0C05"/>
    <w:rsid w:val="00401A83"/>
    <w:rsid w:val="00456A19"/>
    <w:rsid w:val="00472EC4"/>
    <w:rsid w:val="0047507E"/>
    <w:rsid w:val="00480E85"/>
    <w:rsid w:val="00481232"/>
    <w:rsid w:val="004815FC"/>
    <w:rsid w:val="0049034D"/>
    <w:rsid w:val="004967CB"/>
    <w:rsid w:val="004C65DF"/>
    <w:rsid w:val="004D32EA"/>
    <w:rsid w:val="004F01EE"/>
    <w:rsid w:val="004F050C"/>
    <w:rsid w:val="00527C53"/>
    <w:rsid w:val="00543D59"/>
    <w:rsid w:val="00552212"/>
    <w:rsid w:val="00556F59"/>
    <w:rsid w:val="005B64DF"/>
    <w:rsid w:val="005C7A00"/>
    <w:rsid w:val="005D262E"/>
    <w:rsid w:val="00611126"/>
    <w:rsid w:val="00632781"/>
    <w:rsid w:val="00660490"/>
    <w:rsid w:val="006642AC"/>
    <w:rsid w:val="00671A11"/>
    <w:rsid w:val="00682C59"/>
    <w:rsid w:val="006A3E95"/>
    <w:rsid w:val="006A56C9"/>
    <w:rsid w:val="006C1C37"/>
    <w:rsid w:val="006F0808"/>
    <w:rsid w:val="006F2EE2"/>
    <w:rsid w:val="00721FD0"/>
    <w:rsid w:val="007274ED"/>
    <w:rsid w:val="00743432"/>
    <w:rsid w:val="00764E6B"/>
    <w:rsid w:val="0079371E"/>
    <w:rsid w:val="007A2D3B"/>
    <w:rsid w:val="00822F06"/>
    <w:rsid w:val="00835601"/>
    <w:rsid w:val="008657F2"/>
    <w:rsid w:val="00886731"/>
    <w:rsid w:val="00887271"/>
    <w:rsid w:val="008B5EFD"/>
    <w:rsid w:val="008D0B1D"/>
    <w:rsid w:val="008D2BAF"/>
    <w:rsid w:val="008F57ED"/>
    <w:rsid w:val="008F6C0C"/>
    <w:rsid w:val="009128CD"/>
    <w:rsid w:val="00917684"/>
    <w:rsid w:val="0099701B"/>
    <w:rsid w:val="00997F5B"/>
    <w:rsid w:val="009F5750"/>
    <w:rsid w:val="00A23D91"/>
    <w:rsid w:val="00A51396"/>
    <w:rsid w:val="00A756A7"/>
    <w:rsid w:val="00AB3F90"/>
    <w:rsid w:val="00AC6827"/>
    <w:rsid w:val="00AD3492"/>
    <w:rsid w:val="00AE72D1"/>
    <w:rsid w:val="00B4724C"/>
    <w:rsid w:val="00B662FC"/>
    <w:rsid w:val="00B76898"/>
    <w:rsid w:val="00BA14F3"/>
    <w:rsid w:val="00BE3612"/>
    <w:rsid w:val="00BF4542"/>
    <w:rsid w:val="00C06943"/>
    <w:rsid w:val="00C2485F"/>
    <w:rsid w:val="00C474DC"/>
    <w:rsid w:val="00C55DE0"/>
    <w:rsid w:val="00CE2BDF"/>
    <w:rsid w:val="00CE4752"/>
    <w:rsid w:val="00CF56CC"/>
    <w:rsid w:val="00D02A4C"/>
    <w:rsid w:val="00D05097"/>
    <w:rsid w:val="00D36E9E"/>
    <w:rsid w:val="00D41493"/>
    <w:rsid w:val="00D45247"/>
    <w:rsid w:val="00D84564"/>
    <w:rsid w:val="00DC2105"/>
    <w:rsid w:val="00DD1815"/>
    <w:rsid w:val="00E04269"/>
    <w:rsid w:val="00E23695"/>
    <w:rsid w:val="00E330D2"/>
    <w:rsid w:val="00E82FF5"/>
    <w:rsid w:val="00E91245"/>
    <w:rsid w:val="00EB3982"/>
    <w:rsid w:val="00F11B74"/>
    <w:rsid w:val="00F35954"/>
    <w:rsid w:val="00F46C72"/>
    <w:rsid w:val="00F72043"/>
    <w:rsid w:val="00F97BA5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7AE6F"/>
  <w15:docId w15:val="{C82ABFF8-94E8-45C1-86A3-9D60473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Евгений C. Петров</cp:lastModifiedBy>
  <cp:revision>6</cp:revision>
  <cp:lastPrinted>2020-04-09T03:11:00Z</cp:lastPrinted>
  <dcterms:created xsi:type="dcterms:W3CDTF">2020-04-08T22:55:00Z</dcterms:created>
  <dcterms:modified xsi:type="dcterms:W3CDTF">2020-04-09T21:09:00Z</dcterms:modified>
</cp:coreProperties>
</file>