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3F" w:rsidRDefault="003F0F3F" w:rsidP="003F0F3F">
      <w:pPr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3F" w:rsidRDefault="003F0F3F" w:rsidP="003F0F3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3F0F3F" w:rsidRDefault="003F0F3F" w:rsidP="003F0F3F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3F0F3F" w:rsidRDefault="003F0F3F" w:rsidP="003F0F3F">
      <w:pPr>
        <w:jc w:val="center"/>
        <w:rPr>
          <w:szCs w:val="24"/>
        </w:rPr>
      </w:pPr>
    </w:p>
    <w:p w:rsidR="003F0F3F" w:rsidRDefault="003F0F3F" w:rsidP="003F0F3F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</w:t>
      </w:r>
    </w:p>
    <w:p w:rsidR="003F0F3F" w:rsidRDefault="003F0F3F" w:rsidP="003F0F3F"/>
    <w:tbl>
      <w:tblPr>
        <w:tblW w:w="0" w:type="auto"/>
        <w:tblLook w:val="04A0"/>
      </w:tblPr>
      <w:tblGrid>
        <w:gridCol w:w="3287"/>
        <w:gridCol w:w="3270"/>
        <w:gridCol w:w="3298"/>
      </w:tblGrid>
      <w:tr w:rsidR="003F0F3F" w:rsidTr="00BE0DAB">
        <w:tc>
          <w:tcPr>
            <w:tcW w:w="3379" w:type="dxa"/>
            <w:hideMark/>
          </w:tcPr>
          <w:p w:rsidR="003F0F3F" w:rsidRDefault="003F0F3F" w:rsidP="00BE0DAB">
            <w:r>
              <w:rPr>
                <w:szCs w:val="24"/>
              </w:rPr>
              <w:t xml:space="preserve">от 4 декабря 2020 г.                                 </w:t>
            </w:r>
          </w:p>
        </w:tc>
        <w:tc>
          <w:tcPr>
            <w:tcW w:w="3379" w:type="dxa"/>
            <w:hideMark/>
          </w:tcPr>
          <w:p w:rsidR="003F0F3F" w:rsidRDefault="003F0F3F" w:rsidP="00BE0DAB">
            <w:pPr>
              <w:jc w:val="center"/>
            </w:pPr>
            <w:r>
              <w:rPr>
                <w:szCs w:val="24"/>
              </w:rPr>
              <w:t xml:space="preserve">№ 263 - </w:t>
            </w:r>
            <w:proofErr w:type="spellStart"/>
            <w:r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  <w:hideMark/>
          </w:tcPr>
          <w:p w:rsidR="003F0F3F" w:rsidRDefault="003F0F3F" w:rsidP="00BE0DAB">
            <w:pPr>
              <w:jc w:val="right"/>
            </w:pPr>
            <w:r>
              <w:rPr>
                <w:szCs w:val="24"/>
              </w:rPr>
              <w:t>п. Эгвекинот</w:t>
            </w:r>
          </w:p>
        </w:tc>
      </w:tr>
    </w:tbl>
    <w:p w:rsidR="003F0F3F" w:rsidRDefault="003F0F3F" w:rsidP="003F0F3F">
      <w:pPr>
        <w:jc w:val="center"/>
        <w:rPr>
          <w:szCs w:val="24"/>
        </w:rPr>
      </w:pPr>
    </w:p>
    <w:p w:rsidR="003F0F3F" w:rsidRDefault="003F0F3F" w:rsidP="003F0F3F">
      <w:pPr>
        <w:jc w:val="center"/>
        <w:rPr>
          <w:b/>
        </w:rPr>
      </w:pPr>
      <w:r>
        <w:rPr>
          <w:b/>
        </w:rPr>
        <w:t>О прогнозе социально-экономического развития городского округа Эгвекинот</w:t>
      </w:r>
    </w:p>
    <w:p w:rsidR="003F0F3F" w:rsidRDefault="003C50D3" w:rsidP="003F0F3F">
      <w:pPr>
        <w:jc w:val="center"/>
        <w:rPr>
          <w:b/>
        </w:rPr>
      </w:pPr>
      <w:r>
        <w:rPr>
          <w:b/>
        </w:rPr>
        <w:t>на 2021</w:t>
      </w:r>
      <w:r w:rsidR="003F0F3F">
        <w:rPr>
          <w:b/>
        </w:rPr>
        <w:t xml:space="preserve"> год и плановый период </w:t>
      </w:r>
      <w:r>
        <w:rPr>
          <w:b/>
        </w:rPr>
        <w:t>2022 и 2023</w:t>
      </w:r>
      <w:r w:rsidR="003F0F3F">
        <w:rPr>
          <w:b/>
        </w:rPr>
        <w:t xml:space="preserve"> годов</w:t>
      </w:r>
    </w:p>
    <w:p w:rsidR="003F0F3F" w:rsidRDefault="003F0F3F" w:rsidP="003F0F3F"/>
    <w:p w:rsidR="003F0F3F" w:rsidRDefault="003F0F3F" w:rsidP="003F0F3F">
      <w:pPr>
        <w:pStyle w:val="1"/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ab/>
        <w:t>В соответствии со статьей 173 Бюджетного кодекса Российской Федерации,       статьей 39 Федерального закона от 28 июня 2014 г. № 172-ФЗ «О стратегическом планировании в Российской Федерации»:</w:t>
      </w:r>
    </w:p>
    <w:p w:rsidR="003F0F3F" w:rsidRDefault="003F0F3F" w:rsidP="003F0F3F"/>
    <w:p w:rsidR="003F0F3F" w:rsidRDefault="003F0F3F" w:rsidP="003F0F3F">
      <w:pPr>
        <w:pStyle w:val="1"/>
        <w:shd w:val="clear" w:color="auto" w:fill="FFFFFF"/>
        <w:spacing w:before="0"/>
        <w:ind w:firstLine="708"/>
        <w:jc w:val="both"/>
        <w:rPr>
          <w:bCs/>
          <w:szCs w:val="24"/>
        </w:rPr>
      </w:pPr>
      <w:r>
        <w:rPr>
          <w:bCs/>
          <w:szCs w:val="24"/>
        </w:rPr>
        <w:t>1. Одобрить прогноз социально-экономического развития городского округа Эгвекинот на 2021 год и плановый период 2022 и 2023 годов согласно приложению к настоящему распоряжению.</w:t>
      </w:r>
    </w:p>
    <w:p w:rsidR="003F0F3F" w:rsidRDefault="003F0F3F" w:rsidP="003F0F3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F0F3F" w:rsidRDefault="003F0F3F" w:rsidP="003F0F3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2. Настоящее распоряжение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F0F3F" w:rsidRDefault="003F0F3F" w:rsidP="003F0F3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F0F3F" w:rsidRDefault="003F0F3F" w:rsidP="003F0F3F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 Настоящее распоряжение вступает в силу со дня обнародования.</w:t>
      </w:r>
    </w:p>
    <w:p w:rsidR="003F0F3F" w:rsidRDefault="003F0F3F" w:rsidP="003F0F3F">
      <w:pPr>
        <w:pStyle w:val="1"/>
        <w:shd w:val="clear" w:color="auto" w:fill="FFFFFF"/>
        <w:spacing w:befor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>
        <w:rPr>
          <w:b/>
          <w:bCs/>
          <w:szCs w:val="24"/>
        </w:rPr>
        <w:tab/>
      </w:r>
    </w:p>
    <w:p w:rsidR="003F0F3F" w:rsidRDefault="003F0F3F" w:rsidP="003F0F3F">
      <w:pPr>
        <w:pStyle w:val="1"/>
        <w:shd w:val="clear" w:color="auto" w:fill="FFFFFF"/>
        <w:spacing w:before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4. </w:t>
      </w:r>
      <w:proofErr w:type="gramStart"/>
      <w:r>
        <w:rPr>
          <w:bCs/>
          <w:szCs w:val="24"/>
        </w:rPr>
        <w:t>Контроль за</w:t>
      </w:r>
      <w:proofErr w:type="gramEnd"/>
      <w:r>
        <w:rPr>
          <w:bCs/>
          <w:szCs w:val="24"/>
        </w:rPr>
        <w:t xml:space="preserve"> исполнением настоящего распоряжения возложить на Управление финансов, экономики и имущественных отношений городского округа Эгвекинот           (Шпак А.В.).</w:t>
      </w:r>
    </w:p>
    <w:p w:rsidR="003F0F3F" w:rsidRDefault="003F0F3F" w:rsidP="003F0F3F"/>
    <w:p w:rsidR="003F0F3F" w:rsidRDefault="003F0F3F" w:rsidP="003F0F3F">
      <w:pPr>
        <w:rPr>
          <w:b/>
        </w:rPr>
      </w:pPr>
      <w:r>
        <w:rPr>
          <w:b/>
        </w:rPr>
        <w:t>Первый Заместитель</w:t>
      </w:r>
    </w:p>
    <w:p w:rsidR="003F0F3F" w:rsidRDefault="003F0F3F" w:rsidP="003F0F3F">
      <w:pPr>
        <w:rPr>
          <w:b/>
        </w:rPr>
      </w:pPr>
      <w:r>
        <w:rPr>
          <w:b/>
        </w:rPr>
        <w:t>Главы Администрации                                                                                          А.М. Абакаров</w:t>
      </w: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  <w:r>
        <w:rPr>
          <w:b/>
        </w:rPr>
        <w:t xml:space="preserve">          </w:t>
      </w: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  <w:r>
        <w:rPr>
          <w:b/>
        </w:rPr>
        <w:t xml:space="preserve">      </w:t>
      </w: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rPr>
          <w:b/>
        </w:rPr>
      </w:pPr>
    </w:p>
    <w:p w:rsidR="003F0F3F" w:rsidRDefault="003F0F3F" w:rsidP="003F0F3F">
      <w:pPr>
        <w:ind w:right="-29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tbl>
      <w:tblPr>
        <w:tblpPr w:leftFromText="180" w:rightFromText="180" w:horzAnchor="margin" w:tblpY="438"/>
        <w:tblW w:w="0" w:type="auto"/>
        <w:tblLook w:val="04A0"/>
      </w:tblPr>
      <w:tblGrid>
        <w:gridCol w:w="5629"/>
        <w:gridCol w:w="4226"/>
      </w:tblGrid>
      <w:tr w:rsidR="003F0F3F" w:rsidTr="00BE0DAB">
        <w:tc>
          <w:tcPr>
            <w:tcW w:w="5629" w:type="dxa"/>
          </w:tcPr>
          <w:p w:rsidR="003F0F3F" w:rsidRDefault="003F0F3F" w:rsidP="00BE0DAB">
            <w:pPr>
              <w:jc w:val="right"/>
            </w:pPr>
          </w:p>
        </w:tc>
        <w:tc>
          <w:tcPr>
            <w:tcW w:w="4226" w:type="dxa"/>
            <w:hideMark/>
          </w:tcPr>
          <w:p w:rsidR="003F0F3F" w:rsidRDefault="003F0F3F" w:rsidP="00BE0DAB">
            <w:pPr>
              <w:jc w:val="center"/>
            </w:pPr>
            <w:r>
              <w:t>Приложение</w:t>
            </w:r>
          </w:p>
          <w:p w:rsidR="003F0F3F" w:rsidRDefault="003F0F3F" w:rsidP="00BE0DAB">
            <w:pPr>
              <w:jc w:val="center"/>
            </w:pPr>
            <w:r>
              <w:t>к распоряжению Администрации</w:t>
            </w:r>
          </w:p>
          <w:p w:rsidR="003F0F3F" w:rsidRDefault="003F0F3F" w:rsidP="00BE0DAB">
            <w:pPr>
              <w:jc w:val="center"/>
            </w:pPr>
            <w:r>
              <w:t>городского округа Эгвекинот</w:t>
            </w:r>
          </w:p>
          <w:p w:rsidR="003F0F3F" w:rsidRDefault="003F0F3F" w:rsidP="00BE0DAB">
            <w:pPr>
              <w:jc w:val="center"/>
            </w:pPr>
            <w:r>
              <w:t>от 4 декабря 2020 г. № 263-ра</w:t>
            </w:r>
          </w:p>
        </w:tc>
      </w:tr>
    </w:tbl>
    <w:p w:rsidR="003F0F3F" w:rsidRDefault="003F0F3F" w:rsidP="003F0F3F">
      <w:pPr>
        <w:jc w:val="center"/>
        <w:rPr>
          <w:b/>
        </w:rPr>
      </w:pPr>
    </w:p>
    <w:p w:rsidR="003F0F3F" w:rsidRDefault="003F0F3F" w:rsidP="003F0F3F">
      <w:pPr>
        <w:jc w:val="center"/>
        <w:rPr>
          <w:b/>
          <w:szCs w:val="24"/>
        </w:rPr>
      </w:pPr>
    </w:p>
    <w:p w:rsidR="003F0F3F" w:rsidRDefault="003F0F3F" w:rsidP="003F0F3F">
      <w:pPr>
        <w:jc w:val="center"/>
        <w:rPr>
          <w:b/>
          <w:szCs w:val="24"/>
        </w:rPr>
      </w:pPr>
      <w:r>
        <w:rPr>
          <w:b/>
          <w:szCs w:val="24"/>
        </w:rPr>
        <w:t xml:space="preserve">ПРОГНОЗ </w:t>
      </w:r>
    </w:p>
    <w:p w:rsidR="003F0F3F" w:rsidRDefault="003F0F3F" w:rsidP="003F0F3F">
      <w:pPr>
        <w:jc w:val="center"/>
        <w:rPr>
          <w:b/>
          <w:szCs w:val="24"/>
        </w:rPr>
      </w:pPr>
      <w:r>
        <w:rPr>
          <w:b/>
          <w:szCs w:val="24"/>
        </w:rPr>
        <w:t xml:space="preserve">социально-экономического развития городского округа Эгвекинот </w:t>
      </w:r>
    </w:p>
    <w:p w:rsidR="003F0F3F" w:rsidRDefault="003F0F3F" w:rsidP="003F0F3F">
      <w:pPr>
        <w:jc w:val="center"/>
        <w:rPr>
          <w:b/>
          <w:szCs w:val="24"/>
        </w:rPr>
      </w:pPr>
      <w:r>
        <w:rPr>
          <w:b/>
          <w:szCs w:val="24"/>
        </w:rPr>
        <w:t>на</w:t>
      </w:r>
      <w:r w:rsidR="003C50D3">
        <w:rPr>
          <w:b/>
          <w:szCs w:val="24"/>
        </w:rPr>
        <w:t xml:space="preserve"> 2021 год и плановый период 2022 и 2023</w:t>
      </w:r>
      <w:r>
        <w:rPr>
          <w:b/>
          <w:szCs w:val="24"/>
        </w:rPr>
        <w:t xml:space="preserve"> годов </w:t>
      </w:r>
    </w:p>
    <w:p w:rsidR="003F0F3F" w:rsidRDefault="003F0F3F" w:rsidP="003F0F3F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Прогноз социально-экономического развития городского округа Эгвекинот на       2021 год и плановый период 2022 и 2023 годов (далее – прогноз социально-экономического развития городского округа Эгвекинот) составлен на основе тенденций развития экономики и социальной сферы Чукотского автономного округа на 2021-2023 годы.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За основу при разработке прогноза социально-экономического развития городского округа Эгвекинот взяты статистические отчетные данные,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городского округа Эгвекинот.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Прогноз социально-экономического развития городского округа Эгвекинот  разработан с учетом: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- тенденции социально-экономического развития городского округа Эгвекинот;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- выполнения Указов Президента Российской Федерации от 7 мая 2012 года и от 4 мая 2019 года;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- прогноза социально-экономического развития Чукотского автономного округа на 2021 год и плановый период 2022 и 2023 годов;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- Стратегии социально-экономического развития Чукотского автономного округа на период до 2030 года.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Экономический курс социально-экономического развития городского округа Эгвекинот направлен, прежде всего, на создание условий для развития основных отраслей промышленности, сельского хозяйства, повышение уровня жизни и благосостояния населения муниципального образования.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Предполагается сохранение темпов роста реальных денежных доходов населения, что связано с ростом фонда оплаты труда работников во всех секторах экономики, включая </w:t>
      </w:r>
      <w:proofErr w:type="gramStart"/>
      <w:r>
        <w:t>бюджетный</w:t>
      </w:r>
      <w:proofErr w:type="gramEnd"/>
      <w:r>
        <w:t xml:space="preserve">, выплат социального характера, индексаций пенсий и ростом доходов от предпринимательской деятельности. 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color w:val="FF0000"/>
        </w:rPr>
      </w:pP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</w:rPr>
      </w:pPr>
      <w:r>
        <w:rPr>
          <w:b/>
        </w:rPr>
        <w:t>1. Демография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Специфика географического положения городского округа в поясе Крайнего Севера, его отдаленность от центральных регионов страны, а также особенности экономического развития непосредственно влияют на демографическую ситуацию в городском округе.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прогнозируемом периоде демографическая ситуация в городском округе Эгвекинот будет развиваться с учетом следующих тенденций: плавное увеличение рождаемости, снижение уровня смертности и миграционного оттока населения.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Таким образом, сформировавшиеся тенденции демографических процессов позволяют прогнозировать дальнейший рост численности постоянного населения городского округа Эгвекинот. В 2021 году среднегодовая численность населения составит 5 125 человек, а к 2023 году численность населения увеличится до 5 225 человек. </w:t>
      </w:r>
    </w:p>
    <w:p w:rsidR="003F0F3F" w:rsidRDefault="003F0F3F" w:rsidP="003F0F3F">
      <w:pPr>
        <w:spacing w:line="276" w:lineRule="auto"/>
        <w:rPr>
          <w:szCs w:val="24"/>
        </w:rPr>
        <w:sectPr w:rsidR="003F0F3F" w:rsidSect="003F0F3F">
          <w:headerReference w:type="first" r:id="rId7"/>
          <w:pgSz w:w="11907" w:h="16840"/>
          <w:pgMar w:top="426" w:right="567" w:bottom="1418" w:left="1701" w:header="720" w:footer="720" w:gutter="0"/>
          <w:cols w:space="720"/>
        </w:sectPr>
      </w:pP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2. Промышленность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Развитие промышленного производства на 2021 – 2023 годы прогнозируется, исходя из структуры промышленного производства, ситуации в отдельных отраслях промышленности в 2020 году. В рассматриваемом периоде ситуацию в промышленном секторе, по-прежнему, будут определять такие отрасли, как «Добыча полезных ископаемых» и «Обеспечение электрической энергией, газом и паром; кондиционирование воздуха».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2021-2023 годах объем промышленной продукции в ценах соответствующих лет прогнозируется в размере 6 293,1 – 6 620,0 млн. рублей, что выше уровня 2019 года на 33,4% - 40,4 % соответственно.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Базовая отрасль городского округа Эгвекинот – золотодобыча. Уровень добычи золота будет определяться производительностью действующих золотодобывающих предприятий АО «Чукотская торговая компания» и старательских артелей: </w:t>
      </w:r>
      <w:proofErr w:type="gramStart"/>
      <w:r>
        <w:t xml:space="preserve">ПК «Артель старателей «Полярная», ООО «Артель старателей «Шахтер», ООО «Арктика», ООО «Артель старателей «Майна». </w:t>
      </w:r>
      <w:proofErr w:type="gramEnd"/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Добыча золота в 2020 году составит 1 026,0 кг. В период 2021-2023 годов добыча золота незначительно вырастет и составит 1 100,0 кг ежегодно.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Производственные базы предприятий и разведанные запасы позволяют планировать объемы добычи золота до 1 300 кг в год.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rPr>
          <w:bCs/>
        </w:rPr>
        <w:t>Энергетический комплекс</w:t>
      </w:r>
      <w:r>
        <w:t xml:space="preserve"> городского округа Эгвекинот в полном объеме обеспечивает внутренние потребности городского округа и является одним из устойчиво работающих производственных комплексов экономики, определяющим образом влияя на стабильность социально-экономического положения территории.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Основным товаропроизводителем электроэнергии в городском округе остается </w:t>
      </w:r>
      <w:proofErr w:type="spellStart"/>
      <w:r>
        <w:t>Эгвекинотская</w:t>
      </w:r>
      <w:proofErr w:type="spellEnd"/>
      <w:r>
        <w:t xml:space="preserve"> ГРЭС.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2021-2023 годах объем промышленной продукции (выработка электроэнергии) в ценах соответствующих лет прогнозируется в размере 284,0 – 300,0 млн. рублей, что выше уровня 2019 года на 10,1% - 16,3% соответственно.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 2020 году выработка электроэнергии составит 75,9 млн. </w:t>
      </w:r>
      <w:proofErr w:type="spellStart"/>
      <w:r>
        <w:rPr>
          <w:bCs/>
        </w:rPr>
        <w:t>кВт</w:t>
      </w:r>
      <w:proofErr w:type="gramStart"/>
      <w:r>
        <w:rPr>
          <w:bCs/>
        </w:rPr>
        <w:t>.ч</w:t>
      </w:r>
      <w:proofErr w:type="spellEnd"/>
      <w:proofErr w:type="gramEnd"/>
      <w:r>
        <w:rPr>
          <w:bCs/>
        </w:rPr>
        <w:t xml:space="preserve">., в 2021 году – 74,8 млн. </w:t>
      </w:r>
      <w:proofErr w:type="spellStart"/>
      <w:r>
        <w:rPr>
          <w:bCs/>
        </w:rPr>
        <w:t>кВт.ч</w:t>
      </w:r>
      <w:proofErr w:type="spellEnd"/>
      <w:r>
        <w:rPr>
          <w:bCs/>
        </w:rPr>
        <w:t xml:space="preserve">., в 2022 – 2023 годах соответственно – 75,5 – 76,3 млн. </w:t>
      </w:r>
      <w:proofErr w:type="spellStart"/>
      <w:r>
        <w:rPr>
          <w:bCs/>
        </w:rPr>
        <w:t>кВт.ч</w:t>
      </w:r>
      <w:proofErr w:type="spellEnd"/>
      <w:r>
        <w:rPr>
          <w:bCs/>
        </w:rPr>
        <w:t>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Пищевая промышленность городского округа представлена производством хлеба и хлебобулочных изделий и производством цельномолочной продукции.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На территории городского округа расположены 2 предприятия, занимающиеся производством хлеба и хлебобулочных изделий: ООО «Хлебный Дар»,  ООО «Иультинский пекарь».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Производством молочной продукции занимается ИП </w:t>
      </w:r>
      <w:proofErr w:type="spellStart"/>
      <w:r>
        <w:t>Яковенко</w:t>
      </w:r>
      <w:proofErr w:type="spellEnd"/>
      <w:r>
        <w:t xml:space="preserve"> В.М.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2021 году объем выпуска хлеба и хлебобулочных изделий и цельномолочной продукции  составит 33,4 млн. рублей, 36,7 млн. рублей – в 2022 году, 39,7 млн. рублей – в 2023 году.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 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3. Сельское хозяйство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Сельскохозяйственное производство городского округа Эгвекинот представлено оленеводством, морским зверобойным промыслом и птицеводством.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</w:rPr>
      </w:pPr>
      <w:r>
        <w:t xml:space="preserve">В </w:t>
      </w:r>
      <w:r>
        <w:rPr>
          <w:bCs/>
        </w:rPr>
        <w:t xml:space="preserve">сельском хозяйстве городского округа в среднесрочном периоде продолжится </w:t>
      </w:r>
      <w:r>
        <w:t xml:space="preserve">целенаправленная поддержка отрасли, в рамках региональных целевых программ будет </w:t>
      </w:r>
      <w:r>
        <w:lastRenderedPageBreak/>
        <w:t>обеспечиваться стимулирование занятости коренных народов Севера, прежде всего через укрепление товарного оленеводства, создание системы подготовки национальных кадров, материальное стимулирование оленеводов и других сельскохозяйственных работников, материально - техническую поддержку сельскохозяйственных предприятий.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Домашнее северное оленеводство является основной отраслью сельского хозяйства по объему производства, количеству занятых в ней людей и ее социально-культурной роли.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Разведением оленей занимаются 3 сельскохозяйственных предприятия городского округа Эгвекинот: МУСХП «Возрождение», МУП СХП «Амгуэма», МУП СХП «Пионер». Предприятия МУСХП «Возрождение» и МУП СХП «Пионер» являются племенными хозяйствами, их деятельность направлена на сохранение и улучшение породы северного оленя. На базе МУПСХП «Амгуэма» продолжает действовать филиал «Полярник» с целью ведения племенной работы, также на базе предприятия МУП СХП «Пионер» продолжает действовать филиал «Заря» с целью стабилизации и развития северного оленеводства. 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Ожидаемое выходное поголовье оленей на 2021 год составит 41,1 тыс. голов, к концу 2021 года выходное поголовье оленей составит 42,6 тыс. голов. По сравнению с 2019 годом уменьшение выходного поголовья оленей будет незначительным и составит 165 голов.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Производство мяса оленя (в убойном весе) в 2020 году составит 188,6 тонн, в 2021 году  планируется 148,9 тонн (уменьшение на 21,9%).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На территории городского округа морским зверобойным промыслом занимается Территориально-соседская община морских зверобоев «</w:t>
      </w:r>
      <w:proofErr w:type="spellStart"/>
      <w:r>
        <w:t>Анкальыт</w:t>
      </w:r>
      <w:proofErr w:type="spellEnd"/>
      <w:r>
        <w:t xml:space="preserve">». В текущем году промысел осуществлялся на пяти участках, из них три функционирует на постоянной основе (в селах Уэлькаль, Ванкарем, Нутэпэльмен), и два участка – сезонные (в п. Эгвекинот и        с. Конергино).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Добыча морских млекопитающих в 2020 году ожидается в количестве 242 головы мелких ластоногих и китообразных общим весом 108,7 тонн.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Объемы добычи морских млекопитающих определены потребностью в продукции населения национальных прибрежных сел городского округа. В 2021-2023 годах добыча морских млекопитающих будет осуществляться исключительно для обеспечения нужд коренного населения.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С 2019 года сельскохозяйственное производство городского округа Эгвекинот дополнено птицеводством.</w:t>
      </w:r>
      <w:r>
        <w:rPr>
          <w:b/>
        </w:rPr>
        <w:t xml:space="preserve"> </w:t>
      </w:r>
      <w:r>
        <w:t>Птицеводство</w:t>
      </w:r>
      <w:r>
        <w:rPr>
          <w:b/>
        </w:rPr>
        <w:t xml:space="preserve"> </w:t>
      </w:r>
      <w:r>
        <w:t xml:space="preserve">представлено одним крестьянским (фермерским) хозяйством, главой которого является Федорченко В.А., и ориентировано на производство пищевого яйца.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По данным предпринимателя, взрослое поголовье птицы на 1 октября 2020 года составляет 3,2 тыс. голов, на начало 2021 года составит 3,5 тыс. голов. 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color w:val="FF0000"/>
        </w:rPr>
      </w:pPr>
      <w:r w:rsidRPr="00970EC4">
        <w:t>Ожидаемое производство яиц в 2020 году составит 110,0 тыс. яиц. В 2021-2023 годах производство составит 200,0 тыс. яиц.</w:t>
      </w:r>
      <w:r>
        <w:rPr>
          <w:color w:val="FF0000"/>
        </w:rPr>
        <w:t xml:space="preserve">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 w:rsidRPr="00970EC4">
        <w:t>В целом валовая продукция сельского хозяйства в 2020 году ожидается  в размере 151,14 млн. рублей (рост на 22,0 процента в сравнении с 2019 годом). В 2021 году</w:t>
      </w:r>
      <w:r>
        <w:t xml:space="preserve"> валовая продукция сельского хозяйства оценивается в 128,7 млн. рублей  (снижение на 14,9% в сравнении с 2020 годом). В 2022-2023 годах объем сельскохозяйственной продукции останется на прежнем уровне и составит 133,4 млн. рублей.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</w:rPr>
      </w:pP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4. Малое и среднее предпринимательство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Прогноз развития малого и среднего предпринимательства составлен на основе данных выборочного статистического наблюдения с учетом имеющейся информации налоговых органов, органов местного самоуправления.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В 2021 году число субъектов малого и среднего предпринимательства (далее – МСП), зарегистрированных, включенных в единый реестр субъектов малого и среднего предпринимательства, оценивается в 108 единиц, из них: индивидуальных предпринимателей – 74 единицы, юридических лиц – 34 единицы, малых предприятий – 5 единиц, </w:t>
      </w:r>
      <w:proofErr w:type="spellStart"/>
      <w:r>
        <w:t>микропредприятий</w:t>
      </w:r>
      <w:proofErr w:type="spellEnd"/>
      <w:r>
        <w:t xml:space="preserve"> – 103 единицы.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2021 – 2022 годах  число МСП увеличится незначительно.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Превалирующую долю малых и средних предприятий в общем объеме всех малых предприятий занимают предприятия оптовой и розничной торговли. Отраслевая структура малых и средних предприятий не претерпит существенных изменений. По-прежнему основная часть действующих субъектов малого предпринимательства будет занята в торговле, сфере транспортных услуг, строительстве.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Развитие МСП является одним из приоритетных направлений экономического развития городского округа. Учитывая государственные меры поддержки развития малого и среднего предпринимательства в виде предоставления государственной финансовой поддержки, создание благоприятного налогового климата для развития малого бизнеса, в среднесрочном  периоде прогнозируется стабилизация в сфере развития малого и среднего предпринимательства на территории городского округа Эгвекинот. 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  <w:color w:val="FF0000"/>
        </w:rPr>
      </w:pP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5. Строительство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Ожидаемый объем подрядных работ (реконструкция и капитальный ремонт) в 2021 составит 100,0 млн. рублей.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На 2021-2023 годы запланированы ремонты и строительство следующих объектов: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- в п. Эгвекинот: реконструкция тепловых и водопроводных сетей; реконструкция электросетей 6 кВ 11 км; реконструкция электросетей 0,4 кВ 9 км.-14,2; реконструкция сетей уличного освещения; капитальный ремонт кровель многоквартирных домов (далее – МКД); капитальный ремонт автодорог и дворовых территорий (бетонирование); капитальный ремонт выгребных ям;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- в с. Амгуэма: строительство детской спортивной площадки; капитальный ремонт кровель МКД; реконструкция тепловых и водопроводных сетей; реконструкция котельной (6,6 Гкал);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с. Конергино: </w:t>
      </w:r>
      <w:proofErr w:type="gramStart"/>
      <w:r>
        <w:t>реконструкция</w:t>
      </w:r>
      <w:proofErr w:type="gramEnd"/>
      <w:r>
        <w:t xml:space="preserve"> тепловых и водопроводных сетей; строительство водоочистных сооружений; капитальный ремонт водовода; строительство вертолетной площадки, реконструкция котельной (5 Гкал);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с. Рыркайпий: </w:t>
      </w:r>
      <w:proofErr w:type="gramStart"/>
      <w:r>
        <w:t>реконструкция</w:t>
      </w:r>
      <w:proofErr w:type="gramEnd"/>
      <w:r>
        <w:t xml:space="preserve"> здания дизельной электростанции; строительство водоочистных сооружений; реконструкция сетей холодного водоснабжения; реконструкция канализационных сетей; реконструкция, ремонт сетей электроснабжения;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- с. Ванкарем: капитальный ремонт жилых домов; ремонт кровли школы; монтаж детской площадки; капитальный ремонт Центра досуга и народного творчества;  строительство школы; строительство спортивной площадки, ограждение свалки;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- с. Нутэпэльмен: строительство ФАП (5 мест); строительство здания МУК «Центр досуга и народного творчества с. Нутэпэльмен»; строительство пристройки к школе; капитальный ремонт жилых домов;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lastRenderedPageBreak/>
        <w:t>- с. Уэлькаль: реконструкция тепловых сетей, сетей холодного и горячего водоснабжения; ремонт кровли школы; строительство жилья, строительство взлетно-посадочной полосы; реконструкция электросетей 0,4 кВ 5км.</w:t>
      </w:r>
    </w:p>
    <w:p w:rsidR="003F0F3F" w:rsidRPr="003F0F3F" w:rsidRDefault="003F0F3F" w:rsidP="003F0F3F">
      <w:pPr>
        <w:jc w:val="both"/>
        <w:rPr>
          <w:szCs w:val="24"/>
        </w:rPr>
      </w:pPr>
      <w:r>
        <w:rPr>
          <w:szCs w:val="24"/>
        </w:rPr>
        <w:tab/>
      </w:r>
    </w:p>
    <w:p w:rsidR="003F0F3F" w:rsidRDefault="003F0F3F" w:rsidP="003F0F3F">
      <w:pPr>
        <w:ind w:firstLine="709"/>
        <w:jc w:val="both"/>
        <w:rPr>
          <w:b/>
        </w:rPr>
      </w:pPr>
      <w:r>
        <w:rPr>
          <w:b/>
        </w:rPr>
        <w:t>6. Транспорт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Хозяйственная жизнь городского округа поддерживается транспортными артериями, включающими в себя авиационный, морской и автомобильный транспорт. Морской транспорт функционирует в короткий навигационный период.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Основным транспортным предприятием округа является ППК Эгвекинот ОАО «Анадырский порт», который способен принимать и обрабатывать морские суда любой грузоподъемности и осадки.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2021 году ожидаемый грузооборот морского транспорта составит 99 000 тонн, объем перевезенных грузов воздушным транспортом – 35,5 тонн.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Количество перевезенных пассажиров в 2021 году составит 4,3 тыс. человек.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Протяженность муниципальных автомобильных дорог округа составляет 367,17 км, в том числе дороги с твердым покрытием  общей протяженностью 3,17 км: «</w:t>
      </w:r>
      <w:r>
        <w:rPr>
          <w:color w:val="000000"/>
        </w:rPr>
        <w:t xml:space="preserve">Подъезд до           п. Дорожный» от 86 </w:t>
      </w:r>
      <w:proofErr w:type="gramStart"/>
      <w:r>
        <w:rPr>
          <w:color w:val="000000"/>
        </w:rPr>
        <w:t>км</w:t>
      </w:r>
      <w:proofErr w:type="gramEnd"/>
      <w:r>
        <w:rPr>
          <w:color w:val="000000"/>
        </w:rPr>
        <w:t xml:space="preserve"> а/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«Эгвекинот - Мыс Шмидта» - 2,028 км </w:t>
      </w:r>
      <w:r>
        <w:t xml:space="preserve">и </w:t>
      </w:r>
      <w:r>
        <w:rPr>
          <w:color w:val="000000"/>
        </w:rPr>
        <w:t>«Подъезд до с. Амгуэма» от 89 км а/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«Эгвекинот - Мыс Шмидта» - 1,142 км; </w:t>
      </w:r>
      <w:r>
        <w:t xml:space="preserve"> автозимники общей протяженностью 364 км: «</w:t>
      </w:r>
      <w:r>
        <w:rPr>
          <w:color w:val="000000"/>
        </w:rPr>
        <w:t xml:space="preserve">Подъезд до с. Ванкарем» от 122 </w:t>
      </w:r>
      <w:proofErr w:type="gramStart"/>
      <w:r>
        <w:rPr>
          <w:color w:val="000000"/>
        </w:rPr>
        <w:t>км</w:t>
      </w:r>
      <w:proofErr w:type="gramEnd"/>
      <w:r>
        <w:rPr>
          <w:color w:val="000000"/>
        </w:rPr>
        <w:t xml:space="preserve"> а/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«Эгвекинот - Мыс Шмидта» – 174 км и «Подъезд до с. Нутэпэльмен» от 122 км а/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 «Эгвекинот - Мыс Шмидта» – 190 км.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color w:val="FF0000"/>
        </w:rPr>
      </w:pPr>
    </w:p>
    <w:p w:rsidR="003F0F3F" w:rsidRDefault="003F0F3F" w:rsidP="003F0F3F">
      <w:pPr>
        <w:pStyle w:val="a3"/>
        <w:spacing w:line="276" w:lineRule="auto"/>
        <w:ind w:firstLine="709"/>
        <w:jc w:val="both"/>
        <w:rPr>
          <w:b/>
        </w:rPr>
      </w:pPr>
      <w:r>
        <w:rPr>
          <w:b/>
        </w:rPr>
        <w:t>7. Рынок труда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Ситуация на рынке труда характеризуется относительной сбалансированностью между наличием трудовых ресурсов и предложением рабочих мест.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2020 году ожидается увеличение среднесписочной численности работников (по полному кругу) предприятий и организаций до 2 350  человек (2 281 человек в 2019 году).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В 2021-2023 годах резких изменений в среднесписочной численности занятых в экономике не произойдет.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Основными задачами в данной сфере остаются  снижение напряженности на рынке труда и повышение трудовой занятости населения. В рамках реализуемых целевых программ расширяются возможности подготовки кадров в учреждениях среднего профессионального образования городского округа по востребованным в экономике региона специальностям.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Численность официально зарегистрированных безработных на 1 января 2020 года составила 98 человек, прогнозируемый уровень безработицы на 1 января 2021 года составит 70 человек, на 1 января 2022 года – 65 человек, на 1 января 2023 года – 60 человек. 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color w:val="FF0000"/>
        </w:rPr>
      </w:pPr>
    </w:p>
    <w:p w:rsidR="003F0F3F" w:rsidRDefault="00DF3EF8" w:rsidP="003F0F3F">
      <w:pPr>
        <w:pStyle w:val="a3"/>
        <w:spacing w:line="276" w:lineRule="auto"/>
        <w:ind w:firstLine="709"/>
        <w:jc w:val="both"/>
        <w:rPr>
          <w:b/>
          <w:color w:val="FF0000"/>
        </w:rPr>
      </w:pPr>
      <w:r>
        <w:rPr>
          <w:b/>
        </w:rPr>
        <w:t>8</w:t>
      </w:r>
      <w:r w:rsidR="003F0F3F">
        <w:rPr>
          <w:b/>
        </w:rPr>
        <w:t>. Уровень жизни населения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Приоритетным направлением остается повышение благосостояния  и поддержание достойного уровня жизни населения городского округа Эгвекинот.</w:t>
      </w:r>
    </w:p>
    <w:p w:rsidR="003F0F3F" w:rsidRDefault="003F0F3F" w:rsidP="003F0F3F">
      <w:pPr>
        <w:pStyle w:val="a3"/>
        <w:spacing w:line="276" w:lineRule="auto"/>
        <w:ind w:firstLine="709"/>
        <w:jc w:val="both"/>
        <w:rPr>
          <w:color w:val="FF0000"/>
        </w:rPr>
      </w:pPr>
      <w:r>
        <w:t>Уровень жизни населения в 2021-2023 годах характеризуется ростом среднемесячной заработной платы и увеличением денежных доходов населения. С ростом денежных доходов и покупательской способности  населения вырастут в целом и расходы населения.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lastRenderedPageBreak/>
        <w:t xml:space="preserve">По прогнозным данным, денежные доходы населения в 2021 году составят 3 271,95 млн. рублей, в 2022 году прогнозируется рост до 3 340,69 млн. рублей, в 2023 году – 3 409,71 млн. рублей.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В среднесрочной перспективе произойдет рост фонда заработной платы работников предприятий и организаций и составит в 2021 году – 2 550,0 млн. рублей, в 2023 году – 2 650,0 млн. рублей. </w:t>
      </w:r>
    </w:p>
    <w:p w:rsidR="003F0F3F" w:rsidRDefault="003F0F3F" w:rsidP="003F0F3F">
      <w:pPr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По прогнозным расчетам, в 2021 году среднемесячная заработная плата составит 105,0 тыс. рублей,  в 2023 – 115,0 тыс. рублей.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Рост фонда заработной платы, среднемесячной заработной платы на 2021-2023 годы обусловлен постепенным улучшением экономической ситуации в регионе, а также выполнением социальных обязательств Правительства Чукотского автономного округа по сохранению </w:t>
      </w:r>
      <w:proofErr w:type="gramStart"/>
      <w:r>
        <w:t>уровня оплаты труда работников бюджетной сферы</w:t>
      </w:r>
      <w:proofErr w:type="gramEnd"/>
      <w:r>
        <w:t xml:space="preserve">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 xml:space="preserve">Среднегодовая величина прожиточного минимума  на  душу населения  оценивается в 2020 году – 22,4 тыс. рублей, в 2021 году – 23,7 тыс. рублей, в 2022 году – 23,9 тыс. рублей, в 2023 году – 25,5 тыс. рублей.  Численность населения с денежными доходами ниже величины прожиточного минимума в прогнозном периоде оценивается на уровне 8,2 – 8,0 процентов. 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  <w:r>
        <w:t>В среднесрочной перспективе в результате реализации мер по повышению уровня доходов населения городского округа Эгвекинот ожидается постепенное увеличение не только номинальных, но и реальных показателей материальной обеспеченности населения, сокращение социально-экономической дифференциации населения. В частности, в 2023 году ожидается снижение численности населения с денежными доходами ниже величины прожиточного минимума до 8,0 процентов по отношению к населению городского округа в целом.</w:t>
      </w:r>
    </w:p>
    <w:p w:rsidR="003F0F3F" w:rsidRDefault="003F0F3F" w:rsidP="003F0F3F">
      <w:pPr>
        <w:pStyle w:val="a3"/>
        <w:spacing w:line="276" w:lineRule="auto"/>
        <w:ind w:firstLine="709"/>
        <w:jc w:val="both"/>
      </w:pPr>
    </w:p>
    <w:p w:rsidR="003F0F3F" w:rsidRDefault="003F0F3F" w:rsidP="003F0F3F">
      <w:pPr>
        <w:pStyle w:val="a3"/>
        <w:spacing w:line="276" w:lineRule="auto"/>
        <w:ind w:firstLine="709"/>
        <w:jc w:val="both"/>
      </w:pPr>
    </w:p>
    <w:p w:rsidR="003F0F3F" w:rsidRDefault="003F0F3F" w:rsidP="003F0F3F">
      <w:pPr>
        <w:ind w:right="-29"/>
        <w:jc w:val="both"/>
        <w:rPr>
          <w:b/>
          <w:bCs/>
          <w:szCs w:val="24"/>
        </w:rPr>
      </w:pPr>
    </w:p>
    <w:p w:rsidR="003F0F3F" w:rsidRDefault="003F0F3F" w:rsidP="003F0F3F">
      <w:pPr>
        <w:ind w:right="-29"/>
        <w:jc w:val="both"/>
        <w:rPr>
          <w:b/>
          <w:bCs/>
          <w:szCs w:val="24"/>
        </w:rPr>
      </w:pPr>
    </w:p>
    <w:p w:rsidR="003F0F3F" w:rsidRDefault="003F0F3F" w:rsidP="003F0F3F">
      <w:pPr>
        <w:rPr>
          <w:b/>
          <w:sz w:val="28"/>
        </w:rPr>
      </w:pPr>
    </w:p>
    <w:p w:rsidR="003F0F3F" w:rsidRDefault="003F0F3F" w:rsidP="003F0F3F"/>
    <w:p w:rsidR="00FE6326" w:rsidRDefault="00FE6326"/>
    <w:sectPr w:rsidR="00FE6326" w:rsidSect="00ED1317">
      <w:headerReference w:type="firs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03" w:rsidRDefault="00D67503" w:rsidP="00781A97">
      <w:r>
        <w:separator/>
      </w:r>
    </w:p>
  </w:endnote>
  <w:endnote w:type="continuationSeparator" w:id="0">
    <w:p w:rsidR="00D67503" w:rsidRDefault="00D67503" w:rsidP="0078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03" w:rsidRDefault="00D67503" w:rsidP="00781A97">
      <w:r>
        <w:separator/>
      </w:r>
    </w:p>
  </w:footnote>
  <w:footnote w:type="continuationSeparator" w:id="0">
    <w:p w:rsidR="00D67503" w:rsidRDefault="00D67503" w:rsidP="0078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69" w:rsidRDefault="00D67503" w:rsidP="00B24D6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D67503">
    <w:pPr>
      <w:pStyle w:val="a4"/>
      <w:jc w:val="center"/>
    </w:pPr>
  </w:p>
  <w:p w:rsidR="00ED1317" w:rsidRDefault="00D67503" w:rsidP="00B24D69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3F"/>
    <w:rsid w:val="003C50D3"/>
    <w:rsid w:val="003F0F3F"/>
    <w:rsid w:val="00596216"/>
    <w:rsid w:val="00781A97"/>
    <w:rsid w:val="00A11F1D"/>
    <w:rsid w:val="00A31E8E"/>
    <w:rsid w:val="00D1694E"/>
    <w:rsid w:val="00D67503"/>
    <w:rsid w:val="00DF3EF8"/>
    <w:rsid w:val="00EE1A7C"/>
    <w:rsid w:val="00F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F3F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3F0F3F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F0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0F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F0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F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0F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0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2582</Words>
  <Characters>14724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8</cp:revision>
  <dcterms:created xsi:type="dcterms:W3CDTF">2020-12-07T03:41:00Z</dcterms:created>
  <dcterms:modified xsi:type="dcterms:W3CDTF">2020-12-14T23:49:00Z</dcterms:modified>
</cp:coreProperties>
</file>