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BC21C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ЗАКЛЮЧЕНИЕ</w:t>
      </w:r>
    </w:p>
    <w:p w:rsidR="007969DC" w:rsidRDefault="007969DC" w:rsidP="00BC21CE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от 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2E33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9E6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BC21CE" w:rsidRPr="007969DC" w:rsidRDefault="00BC21CE" w:rsidP="004E77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BC21CE" w:rsidRDefault="00BC21CE" w:rsidP="00BC21CE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 декабря 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C21CE" w:rsidRDefault="00BC21CE" w:rsidP="00BC21CE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 решения,  представленный  на 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подготовлен  в  рамках  действующего 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A97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32D6D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A97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5C2E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D6D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03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2014г.</w:t>
      </w:r>
      <w:r w:rsidR="00461490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</w:t>
      </w:r>
      <w:r w:rsidR="00C35803" w:rsidRP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>522.</w:t>
      </w:r>
    </w:p>
    <w:p w:rsidR="004E77CA" w:rsidRDefault="00A81B9F" w:rsidP="004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4B6B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754B6B">
        <w:rPr>
          <w:rFonts w:ascii="Times New Roman" w:hAnsi="Times New Roman" w:cs="Times New Roman"/>
          <w:sz w:val="28"/>
          <w:szCs w:val="28"/>
        </w:rPr>
        <w:t>е</w:t>
      </w:r>
      <w:r w:rsidRPr="00754B6B">
        <w:rPr>
          <w:rFonts w:ascii="Times New Roman" w:hAnsi="Times New Roman" w:cs="Times New Roman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</w:rPr>
        <w:t>внесение изменений в бюджет города-курорта Железноводска Ставропольского края на 2014 год по доходам, расходам</w:t>
      </w:r>
      <w:r w:rsidR="00472BC8" w:rsidRPr="00754B6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72BC8" w:rsidRPr="0075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источникам финансирования дефицита бюджета осуществляется в связи с </w:t>
      </w:r>
      <w:r w:rsidR="00472BC8" w:rsidRPr="00754B6B">
        <w:rPr>
          <w:rFonts w:ascii="Times New Roman" w:hAnsi="Times New Roman" w:cs="Times New Roman"/>
          <w:sz w:val="28"/>
          <w:szCs w:val="28"/>
        </w:rPr>
        <w:t>уточнением поступлений из краевого бюджета</w:t>
      </w:r>
      <w:r w:rsidR="004E77CA">
        <w:rPr>
          <w:rFonts w:ascii="Times New Roman" w:hAnsi="Times New Roman" w:cs="Times New Roman"/>
          <w:sz w:val="28"/>
          <w:szCs w:val="28"/>
        </w:rPr>
        <w:t>, а так же</w:t>
      </w:r>
      <w:r w:rsidR="00446B78">
        <w:rPr>
          <w:rFonts w:ascii="Times New Roman" w:hAnsi="Times New Roman" w:cs="Times New Roman"/>
          <w:sz w:val="28"/>
          <w:szCs w:val="28"/>
        </w:rPr>
        <w:t xml:space="preserve"> в связи с уменьшением собственных доходов,</w:t>
      </w:r>
      <w:r w:rsidR="004E77CA" w:rsidRPr="004E77CA">
        <w:rPr>
          <w:rFonts w:ascii="Times New Roman" w:hAnsi="Times New Roman" w:cs="Times New Roman"/>
          <w:sz w:val="28"/>
          <w:szCs w:val="28"/>
        </w:rPr>
        <w:t xml:space="preserve"> </w:t>
      </w:r>
      <w:r w:rsidR="004E77CA">
        <w:rPr>
          <w:rFonts w:ascii="Times New Roman" w:hAnsi="Times New Roman" w:cs="Times New Roman"/>
          <w:sz w:val="28"/>
          <w:szCs w:val="28"/>
        </w:rPr>
        <w:t>уточнение</w:t>
      </w:r>
      <w:r w:rsidR="00710CF1">
        <w:rPr>
          <w:rFonts w:ascii="Times New Roman" w:hAnsi="Times New Roman" w:cs="Times New Roman"/>
          <w:sz w:val="28"/>
          <w:szCs w:val="28"/>
        </w:rPr>
        <w:t>м</w:t>
      </w:r>
      <w:r w:rsidR="004E77CA">
        <w:rPr>
          <w:rFonts w:ascii="Times New Roman" w:hAnsi="Times New Roman" w:cs="Times New Roman"/>
          <w:sz w:val="28"/>
          <w:szCs w:val="28"/>
        </w:rPr>
        <w:t xml:space="preserve"> по расходам бюджета города,  </w:t>
      </w:r>
      <w:r w:rsidR="004E77CA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4E7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CF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77CA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внутренними перемещениями бюджетных ассигнований в рамках бюджетного законодательства</w:t>
      </w:r>
      <w:r w:rsidR="00446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7CA" w:rsidRPr="00FC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78A7" w:rsidRDefault="002D78A7" w:rsidP="004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69DC" w:rsidRPr="00AB5C2E" w:rsidRDefault="007969DC" w:rsidP="004E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предлагаемых изменений</w:t>
      </w:r>
      <w:r w:rsidR="00CF5BA7" w:rsidRPr="00AB5C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B5C2E" w:rsidRDefault="00AB5C2E" w:rsidP="005F4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45" w:rsidRPr="005F4045" w:rsidRDefault="005F4045" w:rsidP="005F40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F4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предусмотрено изменение основных характеристик бюджета города 2014 год, а именно увеличение:</w:t>
      </w:r>
    </w:p>
    <w:p w:rsidR="005C4F21" w:rsidRPr="005C4F21" w:rsidRDefault="005C4F21" w:rsidP="005C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C4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доходной части</w:t>
      </w: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51 783,19</w:t>
      </w:r>
      <w:r w:rsidRPr="005C4F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F21" w:rsidRPr="005C4F21" w:rsidRDefault="005C4F21" w:rsidP="005C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61 433,19 </w:t>
      </w: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руб. (безвозмездные поступления от других уровней бюджетной системы РФ),</w:t>
      </w:r>
    </w:p>
    <w:p w:rsidR="005C4F21" w:rsidRPr="005C4F21" w:rsidRDefault="005C4F21" w:rsidP="005C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9 650,00</w:t>
      </w: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руб. (уменьшение собственных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5C4F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C4F21" w:rsidRPr="00E829E6" w:rsidRDefault="005C4F21" w:rsidP="005C4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E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8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</w:t>
      </w:r>
      <w:r w:rsidRPr="00E829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сумму </w:t>
      </w:r>
      <w:r w:rsidR="00E82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61 433,19</w:t>
      </w:r>
      <w:r w:rsidRPr="00E82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</w:p>
    <w:p w:rsidR="005F4045" w:rsidRPr="005C4F21" w:rsidRDefault="005B15FB" w:rsidP="005C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и составит </w:t>
      </w:r>
      <w:r w:rsidRPr="005B1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122 730,12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5F4045" w:rsidRDefault="005F4045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FE" w:rsidRDefault="007969DC" w:rsidP="00D2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41A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D24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2014 года представлены в таблице: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58FE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B31F31" w:rsidRDefault="00B31F31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</w:p>
    <w:p w:rsidR="007F0779" w:rsidRDefault="00B31F31" w:rsidP="004E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2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C97F0B" w:rsidRPr="00D37055" w:rsidRDefault="00720135" w:rsidP="00D24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5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D241AE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990 489,18</w:t>
            </w:r>
          </w:p>
        </w:tc>
        <w:tc>
          <w:tcPr>
            <w:tcW w:w="1842" w:type="dxa"/>
            <w:vAlign w:val="center"/>
          </w:tcPr>
          <w:p w:rsidR="00C97F0B" w:rsidRPr="00D37055" w:rsidRDefault="00D241A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1 042 272,37</w:t>
            </w:r>
          </w:p>
        </w:tc>
        <w:tc>
          <w:tcPr>
            <w:tcW w:w="1418" w:type="dxa"/>
            <w:vAlign w:val="center"/>
          </w:tcPr>
          <w:p w:rsidR="00C97F0B" w:rsidRPr="00D37055" w:rsidRDefault="007B7A3A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+51 783,19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D241AE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1 103 569,30</w:t>
            </w:r>
          </w:p>
        </w:tc>
        <w:tc>
          <w:tcPr>
            <w:tcW w:w="1842" w:type="dxa"/>
            <w:vAlign w:val="center"/>
          </w:tcPr>
          <w:p w:rsidR="00C97F0B" w:rsidRPr="00D37055" w:rsidRDefault="00D241AE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1 165 002,49</w:t>
            </w:r>
          </w:p>
        </w:tc>
        <w:tc>
          <w:tcPr>
            <w:tcW w:w="1418" w:type="dxa"/>
            <w:vAlign w:val="center"/>
          </w:tcPr>
          <w:p w:rsidR="00C97F0B" w:rsidRPr="00D37055" w:rsidRDefault="007B7A3A" w:rsidP="002529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+61 433,19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D241AE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122 730,12</w:t>
            </w:r>
          </w:p>
        </w:tc>
        <w:tc>
          <w:tcPr>
            <w:tcW w:w="1418" w:type="dxa"/>
            <w:vAlign w:val="center"/>
          </w:tcPr>
          <w:p w:rsidR="00C97F0B" w:rsidRPr="00D37055" w:rsidRDefault="007B7A3A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+9 650,00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3A" w:rsidRPr="007B7A3A" w:rsidRDefault="007B7A3A" w:rsidP="007B7A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увеличение доходной части бюджета происходит в основном за счет роста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61 433,19</w:t>
      </w:r>
      <w:r w:rsidRPr="007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время как уровень налоговых и неналоговых доходов </w:t>
      </w:r>
      <w:r w:rsidR="00AB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Pr="007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уменьшается по сравнению с утвержденной ранее величиной на </w:t>
      </w:r>
      <w:r w:rsidR="008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9 650,00</w:t>
      </w:r>
      <w:r w:rsidR="003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B7A3A" w:rsidRDefault="007B7A3A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3A" w:rsidRPr="00AB5C2E" w:rsidRDefault="00AB5C2E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Изменения в доходной части бюджета города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B7A3A" w:rsidRPr="00AB5C2E" w:rsidRDefault="007B7A3A" w:rsidP="00017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597" w:rsidRPr="002B1E6C" w:rsidRDefault="00DF3597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предусматривается увеличение доходной части бюджета города 2014 года с 990 489,18 тыс. рублей до 1 042 272,37тыс. рублей (+51 783,19 тыс. рублей), в том числе за счет:</w:t>
      </w:r>
    </w:p>
    <w:p w:rsidR="00DF3597" w:rsidRPr="002B1E6C" w:rsidRDefault="00DF3597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по безвозмездным поступлениям – на 61 433,19 тыс. рублей (</w:t>
      </w:r>
      <w:r w:rsidR="00A3494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утвержденному уровню);</w:t>
      </w:r>
    </w:p>
    <w:p w:rsidR="00DF3597" w:rsidRPr="002B1E6C" w:rsidRDefault="00DF3597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уменьшения налоговых и неналоговых доходов – на 9 650,00 тыс. рублей, что составляет </w:t>
      </w:r>
      <w:r w:rsidR="00A3494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утвержденных показателей.</w:t>
      </w:r>
    </w:p>
    <w:p w:rsidR="00DF3597" w:rsidRPr="002B1E6C" w:rsidRDefault="00502763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59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ряду доходных источников (отдельным видам налоговых, неналоговых доходов) предполагается увеличение на общую сумму   </w:t>
      </w:r>
      <w:r w:rsidR="00A3494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7 816,00</w:t>
      </w:r>
      <w:r w:rsidR="00DF359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B1E6C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F359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уменьшение бюджетных назначений на </w:t>
      </w:r>
      <w:r w:rsidR="002B1E6C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17 466,00</w:t>
      </w:r>
      <w:r w:rsidR="00DF359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B1E6C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F3597" w:rsidRPr="002B1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E6C" w:rsidRPr="00F104EF" w:rsidRDefault="00F104EF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0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Следует отметить, что причины увеличения/уменьшения показателей собственных доходов в пояснительной записке к Проекту решения не отражены.</w:t>
      </w:r>
    </w:p>
    <w:p w:rsidR="00F104EF" w:rsidRDefault="00F104EF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3597" w:rsidRPr="006E5BE5" w:rsidRDefault="00DF3597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Уменьшение плановых назначений:</w:t>
      </w:r>
    </w:p>
    <w:p w:rsidR="00603C1A" w:rsidRDefault="00603C1A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97" w:rsidRPr="006E5BE5" w:rsidRDefault="00DF3597" w:rsidP="00DF35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обратить на значительное уменьшение</w:t>
      </w:r>
      <w:r w:rsidRPr="006E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по налогу на доходы физических лиц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– НДФЛ) – </w:t>
      </w:r>
      <w:r w:rsidR="002B1E6C"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7 650,00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B1E6C"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E5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5BE5"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составляет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BE5"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1% относительно утвержденных назначений по данному налогу).</w:t>
      </w:r>
    </w:p>
    <w:p w:rsidR="00C757DE" w:rsidRDefault="006E5BE5" w:rsidP="00E43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отмечает, что первоначально в бюджете города на 2014 год объем поступлений по НДФЛ  был запланирован в сумме </w:t>
      </w:r>
      <w:r w:rsidR="00BF0541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99 425,40</w:t>
      </w: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F0541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Соответствующими поправками в бюджет </w:t>
      </w:r>
      <w:r w:rsidR="0011265F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изменения увеличивающие объем НДФЛ до уровня </w:t>
      </w:r>
      <w:r w:rsidR="0011265F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108 047,70</w:t>
      </w: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1265F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65F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EF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предлагаемого Проектом решения </w:t>
      </w:r>
      <w:r w:rsidR="00DF35AC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на 7 650,00 тыс. рублей план по НДФЛ составит 100 397,70 тыс. рублей. </w:t>
      </w:r>
    </w:p>
    <w:p w:rsidR="00C757DE" w:rsidRDefault="00C757DE" w:rsidP="00E43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F35AC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темп</w:t>
      </w:r>
      <w:r w:rsid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35AC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данного налога за 11 месяцев 2014 года и с учетом фактически поступивших средств на 01.12.2014 года  (81 527,76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AC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B4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 за год составит приблизительно 89 000,00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B4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меньше первоначально установленного плана на 10 425,40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B4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10,5% и меньше </w:t>
      </w:r>
      <w:r w:rsid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Проектом решения </w:t>
      </w:r>
      <w:r w:rsidR="00280AB4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2014 года на </w:t>
      </w:r>
      <w:r w:rsidR="00E432A9" w:rsidRPr="00E4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11 397,70 тыс. рублей или  11,4%. </w:t>
      </w:r>
      <w:r w:rsidR="005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</w:t>
      </w:r>
      <w:proofErr w:type="gramEnd"/>
      <w:r w:rsidR="005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назначения завышены приблизительно на 11 398,00 тыс. рублей.</w:t>
      </w:r>
    </w:p>
    <w:p w:rsidR="00E432A9" w:rsidRPr="00C63895" w:rsidRDefault="00E432A9" w:rsidP="00E432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Контрольно-счетная палата отмечает, что существует риск неисполнения </w:t>
      </w:r>
      <w:r w:rsidR="00C757DE"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предлагаемого Проектом решения </w:t>
      </w:r>
      <w:r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уточнен</w:t>
      </w:r>
      <w:r w:rsidR="00C757DE"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FF58E4"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назначений по указанному налогу.</w:t>
      </w:r>
    </w:p>
    <w:p w:rsidR="00DF35AC" w:rsidRPr="00FF58E4" w:rsidRDefault="00DF35AC" w:rsidP="006E5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DE" w:rsidRPr="000D0E4F" w:rsidRDefault="00C757DE" w:rsidP="00C757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также предполагает уменьшение поступлений от </w:t>
      </w:r>
      <w:r w:rsidRPr="000D0E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земельного налога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5 000,00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утверждении бюджета 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поступлений земельного налога планировался на уровне 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поправками в бюджет города были внесены изменения увеличивающие объем земельного налога до уровня 58 025,00 тыс. рублей. 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предлагается скорректировать показатель, по указанному налогу уменьшив его до</w:t>
      </w:r>
      <w:r w:rsidR="00172F97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53 025,00 тыс. рублей или на </w:t>
      </w:r>
      <w:r w:rsidR="00C3698F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8,6%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установленных плановых значений.</w:t>
      </w:r>
    </w:p>
    <w:p w:rsidR="00C3698F" w:rsidRPr="000D0E4F" w:rsidRDefault="00C3698F" w:rsidP="00C3698F">
      <w:pPr>
        <w:shd w:val="clear" w:color="auto" w:fill="FFFFFF"/>
        <w:spacing w:after="0" w:line="240" w:lineRule="auto"/>
        <w:ind w:right="-1" w:firstLine="72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контрольно-счетной палаты, при сохранившихся тенденциях поступления земельного налога, предлагаемые плановые назначения несколько завышены. Учитывая исполнение бюджета города за 11 месяцев 2014 года, план по земельному налогу выполнен на 74,4%,  реальное поступление указанного налога в 2014 году будет ниже предлагаемых объемов</w:t>
      </w:r>
      <w:r w:rsidR="00E1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приблизительно на 6 000,00 тыс. рублей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составят 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14F9E">
        <w:rPr>
          <w:rFonts w:ascii="Times New Roman" w:eastAsia="Times New Roman" w:hAnsi="Times New Roman" w:cs="Times New Roman"/>
          <w:sz w:val="28"/>
          <w:szCs w:val="28"/>
          <w:lang w:eastAsia="ru-RU"/>
        </w:rPr>
        <w:t>47 000,00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E14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F58E4" w:rsidRPr="00C63895" w:rsidRDefault="00FF58E4" w:rsidP="00FF5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Контрольно-счетная палата отмечает, что существует риск неисполнения предлагаемого Проектом решения уточнения назначений по указанному налогу.</w:t>
      </w:r>
    </w:p>
    <w:p w:rsidR="00724C60" w:rsidRDefault="00724C60" w:rsidP="00724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60" w:rsidRPr="00FF58E4" w:rsidRDefault="00FF58E4" w:rsidP="00724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также предполагает уменьшение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FF58E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единому налогу на вмененный доход для отдельных видов деятельности</w:t>
      </w: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2 000,00 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первоначально утвержденных назначений в сумме 24 472,00 тыс. рублей.</w:t>
      </w:r>
      <w:r w:rsidR="00167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674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Проанализировав фактическое исполнение по данному  виду налога за 2013 год (18 010,31 тыс. рублей) и сравнив фактическое поступление за 11 месяцев 2014 года </w:t>
      </w:r>
      <w:r w:rsidR="00D13B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(18 409,25 тыс. рублей)</w:t>
      </w:r>
      <w:r w:rsidR="005027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Контрольно-счетная палата отмечает, что предлагаемые плановые назначения </w:t>
      </w:r>
      <w:r w:rsidR="00724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22 472,00 тыс. рублей </w:t>
      </w:r>
      <w:r w:rsidR="0050276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завышены</w:t>
      </w:r>
      <w:r w:rsidR="00724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приблизительно на </w:t>
      </w:r>
      <w:r w:rsidR="00724C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2 400,00 тыс. рублей, </w:t>
      </w:r>
      <w:r w:rsidR="00724C60" w:rsidRPr="00FF5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существует риск неисполнения предлагаемого Проектом решения уточнения назначений по указанному налогу.</w:t>
      </w:r>
      <w:proofErr w:type="gramEnd"/>
    </w:p>
    <w:p w:rsidR="00724C60" w:rsidRDefault="00724C60" w:rsidP="00FF58E4">
      <w:pPr>
        <w:pStyle w:val="21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60" w:rsidRPr="00C63895" w:rsidRDefault="00724C60" w:rsidP="00724C60">
      <w:pPr>
        <w:pStyle w:val="2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также предполагает уменьшение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4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4C6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налогу на имущество физических лиц </w:t>
      </w:r>
      <w:r w:rsidRPr="00724C6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2 424,45 тыс. рублей от первоначально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утвержденных назначений в сумме 10 639,00 тыс. рублей. Предлагаемые плановые назначения составят 8 214,55 тыс. рублей. Фактическое поступление по данному налогу </w:t>
      </w:r>
      <w:r w:rsidR="00603C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01.12.2014г. составило 6 583,28 тыс. рублей. Плановые назначения завышены приблизительно 1 000,00 тыс. рублей, </w:t>
      </w:r>
      <w:r w:rsidR="00603C1A"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существует риск неисполнения предлагаемого Проектом решения уточнения назначений по указанному налогу.</w:t>
      </w:r>
    </w:p>
    <w:p w:rsidR="00CD18D5" w:rsidRPr="00C63895" w:rsidRDefault="000B4AA5" w:rsidP="00CD18D5">
      <w:pPr>
        <w:pStyle w:val="21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Проектом решения  предполагается уменьшение </w:t>
      </w:r>
      <w:r w:rsidRPr="00E52E1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доходов по штрафам, санкциям, возмещению ущерба</w:t>
      </w:r>
      <w:r w:rsidRPr="000B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 391,55 тыс. рублей.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данному виду дохода исполнение на 01.12.2014 года составило 2 046,09 тыс. рублей (42,7%) от плановых назначений в сумме 4 789,00 тыс. рублей. Предлагаемы</w:t>
      </w:r>
      <w:r w:rsidR="00C6389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Проектом решения плановые назначения составят 4 397,45 тыс. рублей</w:t>
      </w:r>
      <w:r w:rsid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D18D5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контрольно-счетной палаты, при сохранившихся тенденциях поступления </w:t>
      </w:r>
      <w:r w:rsidR="00CD1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вида дохода</w:t>
      </w:r>
      <w:r w:rsidR="00CD18D5"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предлагаемые плановые назначения несколько завышены</w:t>
      </w:r>
      <w:r w:rsidR="00CD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приблизительно на  2 165,00 тыс. рублей. </w:t>
      </w:r>
      <w:r w:rsidR="00CD18D5" w:rsidRPr="00C6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D18D5" w:rsidRPr="00C63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уществует риск неисполнения предлагаемого Проектом решения уточнения назначений по данному виду дохода.</w:t>
      </w:r>
    </w:p>
    <w:p w:rsidR="00603C1A" w:rsidRPr="00603C1A" w:rsidRDefault="00603C1A" w:rsidP="00603C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Увеличение плановых назначений:</w:t>
      </w:r>
    </w:p>
    <w:p w:rsidR="00DF35AC" w:rsidRDefault="00DF35AC" w:rsidP="006E5B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82062"/>
          <w:sz w:val="27"/>
          <w:szCs w:val="27"/>
          <w:lang w:eastAsia="ru-RU"/>
        </w:rPr>
      </w:pPr>
    </w:p>
    <w:p w:rsidR="00CD18D5" w:rsidRPr="00CD18D5" w:rsidRDefault="00AA350B" w:rsidP="00CD1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 решения предусматривается увеличение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8D5" w:rsidRPr="00CD18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по единому сельскохозяйственному налогу 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24,45 тыс. рублей</w:t>
      </w:r>
      <w:r w:rsidR="00C04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44A7"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 вполне обоснованным</w:t>
      </w:r>
      <w:r w:rsid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 данному виду налога</w:t>
      </w:r>
      <w:r w:rsidR="00C044A7"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налог не планировался, а по исполнению бюджета на 01.12.2014 года налог поступил в бюджет города в вышеуказанной сумме. </w:t>
      </w:r>
    </w:p>
    <w:p w:rsidR="00C044A7" w:rsidRDefault="00C044A7" w:rsidP="00CD1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8D5" w:rsidRPr="00C63895" w:rsidRDefault="00C044A7" w:rsidP="00CD1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Предусматривается увеличение 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8D5" w:rsidRPr="00CD18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налогу, взимаемому в связи с применением патентной системы налогообложения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400,00 тыс. рублей</w:t>
      </w:r>
      <w:r w:rsidR="00461001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Учитывая фактическое поступление налога на 01.12.2014 года 734,50 тыс. рублей</w:t>
      </w:r>
      <w:r w:rsidR="004E6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(94,4%) от первоначально установленного в сумме 778,00 тыс. рублей ожидается исполнение плана на 102,9%. При увеличении плановых  показателей на 400,00 тыс. рублей, </w:t>
      </w:r>
      <w:r w:rsidR="004E6B1B" w:rsidRPr="00C6389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существует риск неисполнения плана по данному налогу на сумму приблизительно 377,00 тыс. рублей.</w:t>
      </w:r>
    </w:p>
    <w:p w:rsidR="00461001" w:rsidRPr="00C63895" w:rsidRDefault="00461001" w:rsidP="00CD1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291F" w:rsidRPr="003D291F" w:rsidRDefault="00534851" w:rsidP="003D29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Предусматривается увеличение 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8D5" w:rsidRPr="00CD18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 государственной пошлине</w:t>
      </w:r>
      <w:r w:rsidR="00CD18D5" w:rsidRPr="00CD18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1 600,00 тыс. рублей.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обоснованным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91F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 11 месяцев 2014 года в бюджет города зачислено 3 240,32 тыс. рублей, что на 1 380,32 тыс. рублей превышает годовой прогнозный показатель (выше на 74,2% утвержденных плановых назначений), учтенный в составе доходной части бюджета города.</w:t>
      </w:r>
    </w:p>
    <w:p w:rsidR="008E5DED" w:rsidRPr="00CD18D5" w:rsidRDefault="008E5DED" w:rsidP="00CD1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4851" w:rsidRPr="00534851" w:rsidRDefault="00534851" w:rsidP="00534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 решения  предлагается увеличение по</w:t>
      </w:r>
      <w:r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485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доходам, получаемым в виде арендной либо иной платы за передачу в возмездное пользование 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5 000,00 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0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предлагаемом увеличении данного вида  дохода план составит </w:t>
      </w:r>
      <w:r w:rsidR="0093318F">
        <w:rPr>
          <w:rFonts w:ascii="Times New Roman" w:eastAsia="Times New Roman" w:hAnsi="Times New Roman" w:cs="Times New Roman"/>
          <w:sz w:val="28"/>
          <w:szCs w:val="24"/>
          <w:lang w:eastAsia="ru-RU"/>
        </w:rPr>
        <w:t>61 805,73 тыс. рублей. С учетом фактического поступления данного вида доход</w:t>
      </w:r>
      <w:r w:rsidR="0038045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933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01.12.204года  в сумме 55 651,19 тыс. рублей, что составляет 98,2% от уточненного плана (56 655,73 тыс. рублей)</w:t>
      </w:r>
      <w:r w:rsidR="0038045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33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93318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темпы поступления дохода</w:t>
      </w:r>
      <w:r w:rsidR="00380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0456"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</w:t>
      </w:r>
      <w:r w:rsidR="0038045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proofErr w:type="gramEnd"/>
      <w:r w:rsidR="003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реальная возможность достижения предлагаемых плановых назначений по данному виду дохода.</w:t>
      </w:r>
    </w:p>
    <w:p w:rsidR="00534851" w:rsidRDefault="00534851" w:rsidP="00534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219" w:rsidRPr="003D291F" w:rsidRDefault="00677CB0" w:rsidP="003552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Предусматривается увеличение </w:t>
      </w:r>
      <w:r w:rsidR="002341E3" w:rsidRPr="002341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платежей при пользовании природными ресурсами</w:t>
      </w:r>
      <w:proofErr w:type="gramStart"/>
      <w:r w:rsidRPr="00CD18D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2341E3" w:rsidRPr="002341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,</w:t>
      </w:r>
      <w:proofErr w:type="gramEnd"/>
      <w:r w:rsidR="00534851" w:rsidRPr="0053485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2341E3" w:rsidRPr="002341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</w:t>
      </w:r>
      <w:r w:rsidR="00534851" w:rsidRPr="0053485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плат</w:t>
      </w:r>
      <w:r w:rsidR="002341E3" w:rsidRPr="002341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</w:t>
      </w:r>
      <w:r w:rsidR="00534851" w:rsidRPr="0053485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за размещение отходов производства и потребления</w:t>
      </w:r>
      <w:r w:rsidR="00534851"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500,00 тыс. рублей</w:t>
      </w:r>
      <w:r w:rsidR="002341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341E3" w:rsidRP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E3"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</w:t>
      </w:r>
      <w:r w:rsid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="002341E3"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</w:t>
      </w:r>
      <w:r w:rsidR="002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2014 года в бюджет города зачислено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1 204,68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301,68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превышает годовой прогнозный показатель (выше на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33,4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плановых назначений), учтенный в составе доходной части бюджета города.</w:t>
      </w:r>
    </w:p>
    <w:p w:rsidR="00534851" w:rsidRPr="00534851" w:rsidRDefault="00534851" w:rsidP="00534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41E3" w:rsidRPr="00CD18D5" w:rsidRDefault="002341E3" w:rsidP="00234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Предусматривается увеличение</w:t>
      </w:r>
      <w:r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4851"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4851" w:rsidRPr="0053485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по прочим неналоговым доходам </w:t>
      </w:r>
      <w:r w:rsidR="00534851" w:rsidRPr="0053485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291,55 тыс. рублей.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 w:rsidRP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месяцев 2014 года в бюджет города зачислено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966,51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466,51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превышает годовой прогнозный показатель (выше на 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="00355219" w:rsidRPr="003D291F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плановых назначений), учтенный в составе доходной части бюджета города.</w:t>
      </w:r>
      <w:r w:rsidR="003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851" w:rsidRPr="00534851" w:rsidRDefault="00534851" w:rsidP="005348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B724A3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B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B72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3362EE" w:rsidRPr="003362EE" w:rsidRDefault="00720135" w:rsidP="0033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362EE" w:rsidRPr="0033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24.11.2014г.</w:t>
            </w:r>
          </w:p>
          <w:p w:rsidR="00036761" w:rsidRPr="00CD46AB" w:rsidRDefault="003362EE" w:rsidP="0033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417-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B724A3">
        <w:trPr>
          <w:trHeight w:val="202"/>
        </w:trPr>
        <w:tc>
          <w:tcPr>
            <w:tcW w:w="2660" w:type="dxa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B724A3">
        <w:tc>
          <w:tcPr>
            <w:tcW w:w="2660" w:type="dxa"/>
          </w:tcPr>
          <w:p w:rsidR="00036761" w:rsidRPr="00CD46AB" w:rsidRDefault="00036761" w:rsidP="00B7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3362EE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275 942,94</w:t>
            </w:r>
          </w:p>
        </w:tc>
        <w:tc>
          <w:tcPr>
            <w:tcW w:w="1559" w:type="dxa"/>
            <w:vAlign w:val="center"/>
          </w:tcPr>
          <w:p w:rsidR="00036761" w:rsidRPr="00CD46AB" w:rsidRDefault="003362EE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266 292,94</w:t>
            </w:r>
          </w:p>
        </w:tc>
        <w:tc>
          <w:tcPr>
            <w:tcW w:w="1701" w:type="dxa"/>
            <w:vAlign w:val="center"/>
          </w:tcPr>
          <w:p w:rsidR="00036761" w:rsidRPr="00CD46AB" w:rsidRDefault="003362EE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-9 650,00</w:t>
            </w:r>
          </w:p>
        </w:tc>
      </w:tr>
      <w:tr w:rsidR="00036761" w:rsidRPr="00940005" w:rsidTr="00B724A3">
        <w:tc>
          <w:tcPr>
            <w:tcW w:w="2660" w:type="dxa"/>
          </w:tcPr>
          <w:p w:rsidR="00036761" w:rsidRPr="00CD46AB" w:rsidRDefault="00036761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3362EE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714 546,24</w:t>
            </w:r>
          </w:p>
        </w:tc>
        <w:tc>
          <w:tcPr>
            <w:tcW w:w="1559" w:type="dxa"/>
            <w:vAlign w:val="center"/>
          </w:tcPr>
          <w:p w:rsidR="00036761" w:rsidRPr="00CD46AB" w:rsidRDefault="003362EE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775 979,43</w:t>
            </w:r>
          </w:p>
        </w:tc>
        <w:tc>
          <w:tcPr>
            <w:tcW w:w="1701" w:type="dxa"/>
            <w:vAlign w:val="center"/>
          </w:tcPr>
          <w:p w:rsidR="00036761" w:rsidRPr="00CD46AB" w:rsidRDefault="003362EE" w:rsidP="009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+61 433,19</w:t>
            </w:r>
          </w:p>
        </w:tc>
      </w:tr>
      <w:tr w:rsidR="00036761" w:rsidRPr="00940005" w:rsidTr="00B724A3">
        <w:tc>
          <w:tcPr>
            <w:tcW w:w="2660" w:type="dxa"/>
          </w:tcPr>
          <w:p w:rsidR="00036761" w:rsidRPr="00CD46AB" w:rsidRDefault="00036761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B7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B662D3" w:rsidP="00277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990 489,18</w:t>
            </w:r>
          </w:p>
        </w:tc>
        <w:tc>
          <w:tcPr>
            <w:tcW w:w="1559" w:type="dxa"/>
            <w:vAlign w:val="center"/>
          </w:tcPr>
          <w:p w:rsidR="00036761" w:rsidRPr="00CD46AB" w:rsidRDefault="00B662D3" w:rsidP="004F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1 042 272,37</w:t>
            </w:r>
          </w:p>
        </w:tc>
        <w:tc>
          <w:tcPr>
            <w:tcW w:w="1701" w:type="dxa"/>
            <w:vAlign w:val="center"/>
          </w:tcPr>
          <w:p w:rsidR="00036761" w:rsidRPr="00CD46AB" w:rsidRDefault="00B662D3" w:rsidP="009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+51 783,19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2D3" w:rsidRPr="00B662D3" w:rsidRDefault="00B662D3" w:rsidP="00B662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Безвозмездные поступления</w:t>
      </w:r>
    </w:p>
    <w:p w:rsidR="00B662D3" w:rsidRPr="00B662D3" w:rsidRDefault="00B662D3" w:rsidP="00B662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предусматривается увеличение безвозмездных поступлений в бюджет города в целом на 61 433,19 тыс. рублей, в том числе:</w:t>
      </w:r>
    </w:p>
    <w:p w:rsidR="00E3130A" w:rsidRPr="00E3130A" w:rsidRDefault="00E3130A" w:rsidP="00E3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Увеличены безвозмездные поступления от других бюджетов бюджетной системы Российской Федерации на  62 154,16 тыс. рублей, в том числе:</w:t>
      </w:r>
    </w:p>
    <w:p w:rsidR="00E3130A" w:rsidRPr="00E3130A" w:rsidRDefault="00E3130A" w:rsidP="00D2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09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Субсидии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09E">
        <w:rPr>
          <w:rFonts w:ascii="Times New Roman" w:hAnsi="Times New Roman" w:cs="Times New Roman"/>
          <w:sz w:val="28"/>
          <w:szCs w:val="28"/>
          <w:lang w:eastAsia="ru-RU"/>
        </w:rPr>
        <w:t xml:space="preserve">из краевого бюджета увеличены </w:t>
      </w:r>
      <w:r w:rsidR="00C638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2609E">
        <w:rPr>
          <w:rFonts w:ascii="Times New Roman" w:hAnsi="Times New Roman" w:cs="Times New Roman"/>
          <w:sz w:val="28"/>
          <w:szCs w:val="28"/>
          <w:lang w:eastAsia="ru-RU"/>
        </w:rPr>
        <w:t xml:space="preserve"> 36 003,57 тыс. рублей, уменьшены </w:t>
      </w:r>
      <w:r w:rsidR="00C638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2609E">
        <w:rPr>
          <w:rFonts w:ascii="Times New Roman" w:hAnsi="Times New Roman" w:cs="Times New Roman"/>
          <w:sz w:val="28"/>
          <w:szCs w:val="28"/>
          <w:lang w:eastAsia="ru-RU"/>
        </w:rPr>
        <w:t xml:space="preserve"> 369,11 тыс. рублей  (в целом увеличены на 35 634,46 тыс. рублей)</w:t>
      </w:r>
      <w:r w:rsidR="002A2C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130A" w:rsidRDefault="00D2609E" w:rsidP="002A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09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Субвенции</w:t>
      </w:r>
      <w:r w:rsidRPr="00D26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609E">
        <w:rPr>
          <w:rFonts w:ascii="Times New Roman" w:hAnsi="Times New Roman" w:cs="Times New Roman"/>
          <w:sz w:val="28"/>
          <w:szCs w:val="28"/>
          <w:lang w:eastAsia="ru-RU"/>
        </w:rPr>
        <w:t>из краевого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2A2CC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389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A2CC6">
        <w:rPr>
          <w:rFonts w:ascii="Times New Roman" w:hAnsi="Times New Roman" w:cs="Times New Roman"/>
          <w:sz w:val="28"/>
          <w:szCs w:val="28"/>
          <w:lang w:eastAsia="ru-RU"/>
        </w:rPr>
        <w:t xml:space="preserve"> 26 611,17 тыс. рублей, уменьшены на 51.55 тыс. рублей  (в целом увеличены на 26 559,62 тыс. рублей).</w:t>
      </w:r>
    </w:p>
    <w:p w:rsidR="002A2CC6" w:rsidRPr="00D2609E" w:rsidRDefault="002A2CC6" w:rsidP="003A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CC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Иные межбюджетные трансферты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уменьшены на 90,00 тыс. рублей.</w:t>
      </w:r>
    </w:p>
    <w:p w:rsidR="00E3130A" w:rsidRPr="002A2CC6" w:rsidRDefault="002A2CC6" w:rsidP="003A3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A2CC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Прочие безвозмездные поступления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2A2CC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3A3D4B">
        <w:rPr>
          <w:rFonts w:ascii="Times New Roman" w:hAnsi="Times New Roman" w:cs="Times New Roman"/>
          <w:sz w:val="28"/>
          <w:szCs w:val="28"/>
          <w:lang w:eastAsia="ru-RU"/>
        </w:rPr>
        <w:t xml:space="preserve"> на 50,08 тыс. рублей.</w:t>
      </w:r>
    </w:p>
    <w:p w:rsidR="003A3D4B" w:rsidRPr="003A3D4B" w:rsidRDefault="003A3D4B" w:rsidP="003A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Уменьшены доходы от возвратов остатков субсидий</w:t>
      </w:r>
      <w:r w:rsidRPr="003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01.01.2014 на реконструкцию котельной и неиспользованных остатков по молодой семье в сумме 720,97 тыс. рублей.</w:t>
      </w:r>
    </w:p>
    <w:p w:rsidR="002D78A7" w:rsidRDefault="002D78A7" w:rsidP="002D7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8A7" w:rsidRPr="003A3D4B" w:rsidRDefault="002D78A7" w:rsidP="002D7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A3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редлагаемые изменения по увеличению суммы безвозмездных поступлений из других уровней бюджетной системы РФ необходимы и целесообразны.</w:t>
      </w:r>
    </w:p>
    <w:p w:rsidR="003A3D4B" w:rsidRDefault="003A3D4B" w:rsidP="003A3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D4B" w:rsidRPr="003A3D4B" w:rsidRDefault="003A3D4B" w:rsidP="003A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города на 2015 год составит 993 239,70 тыс. рублей, за счет увеличения на 22,69 тыс. рублей по </w:t>
      </w:r>
      <w:r w:rsidRPr="003A3D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налогу на доходы физических лиц.</w:t>
      </w:r>
    </w:p>
    <w:p w:rsidR="003A3D4B" w:rsidRPr="003A3D4B" w:rsidRDefault="003A3D4B" w:rsidP="003A3D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города на 2016 год составит 911 984,19 тыс. рублей, за счет увеличения на 90,00 тыс. рублей по </w:t>
      </w:r>
      <w:r w:rsidRPr="003A3D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налогу на доходы физических лиц.</w:t>
      </w:r>
    </w:p>
    <w:p w:rsidR="00BE564A" w:rsidRDefault="00BE564A" w:rsidP="003A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A3D4B" w:rsidRPr="003A3D4B" w:rsidRDefault="003A3D4B" w:rsidP="003A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Изменения в расходной части бюджета города</w:t>
      </w:r>
    </w:p>
    <w:p w:rsidR="003A3D4B" w:rsidRPr="003A3D4B" w:rsidRDefault="003A3D4B" w:rsidP="003A3D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3D4B" w:rsidRPr="00C93DB2" w:rsidRDefault="003A3D4B" w:rsidP="003A3D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  решения предусмотрено, что в целом бюджетные ассигнования 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увеличатся на 51 783,19 тыс. рублей, в том числе за счет увеличения безвозмездных поступлений из вышестоящих бюджетов (61 433,19 тыс. рублей) и уменьшения собственных доходов бюджета 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9 650,00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составят 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1 042 272,37 тыс. рублей</w:t>
      </w:r>
      <w:r w:rsidR="002D7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4B" w:rsidRPr="00C93DB2" w:rsidRDefault="003A3D4B" w:rsidP="003A3D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изменениях расходов бюджета 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бюджетной классификации приведены в таблице</w:t>
      </w:r>
      <w:r w:rsidR="00C93DB2" w:rsidRPr="00C93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30A" w:rsidRPr="00C63895" w:rsidRDefault="00C63895" w:rsidP="00B662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т</w:t>
      </w:r>
      <w:r w:rsidRPr="00C63895">
        <w:rPr>
          <w:rFonts w:ascii="Times New Roman" w:hAnsi="Times New Roman" w:cs="Times New Roman"/>
          <w:sz w:val="24"/>
          <w:szCs w:val="24"/>
          <w:lang w:eastAsia="ru-RU"/>
        </w:rPr>
        <w:t>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652"/>
        <w:gridCol w:w="1608"/>
        <w:gridCol w:w="1417"/>
        <w:gridCol w:w="851"/>
      </w:tblGrid>
      <w:tr w:rsidR="00C93DB2" w:rsidRPr="00D7491A" w:rsidTr="00BB42AC">
        <w:trPr>
          <w:cantSplit/>
          <w:trHeight w:val="305"/>
        </w:trPr>
        <w:tc>
          <w:tcPr>
            <w:tcW w:w="3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D7491A" w:rsidRDefault="00C93DB2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C93DB2" w:rsidRPr="00D7491A" w:rsidTr="00BB42AC">
        <w:trPr>
          <w:cantSplit/>
          <w:trHeight w:val="731"/>
        </w:trPr>
        <w:tc>
          <w:tcPr>
            <w:tcW w:w="38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3DB2" w:rsidRPr="00D7491A" w:rsidRDefault="00C93DB2" w:rsidP="00B7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D7491A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утвержденные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D7491A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бсолют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  <w:p w:rsidR="00C93DB2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"+"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увеличение</w:t>
            </w:r>
          </w:p>
          <w:p w:rsidR="00C93DB2" w:rsidRPr="00D7491A" w:rsidRDefault="00C93DB2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"-"  уменьшение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D7491A" w:rsidRDefault="00C93DB2" w:rsidP="00C9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80 109,43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80 031,38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-0,09</w:t>
            </w:r>
          </w:p>
        </w:tc>
      </w:tr>
      <w:tr w:rsidR="00C93DB2" w:rsidRPr="00D7491A" w:rsidTr="00BB42AC">
        <w:trPr>
          <w:trHeight w:val="61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8 744,56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093718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57C46"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212 481,76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243 777,53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7C46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+31 295,77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093718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+14,7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104 524,01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093718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104 302,67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-2,6</w:t>
            </w:r>
            <w:r w:rsidR="009E6A01"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402 412,35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416 162,91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+13 750,56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+3,42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42 033,78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41 996,67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-0,99</w:t>
            </w:r>
          </w:p>
        </w:tc>
      </w:tr>
      <w:tr w:rsidR="00C93DB2" w:rsidRPr="00D7491A" w:rsidTr="00BB42AC">
        <w:trPr>
          <w:trHeight w:val="305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3DB2" w:rsidRPr="00D7491A" w:rsidTr="00BB42AC">
        <w:trPr>
          <w:trHeight w:val="21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                 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250 508,46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261 921,71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+11 413,25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+4,55</w:t>
            </w:r>
          </w:p>
        </w:tc>
      </w:tr>
      <w:tr w:rsidR="00C93DB2" w:rsidRPr="00D7491A" w:rsidTr="00BB42AC">
        <w:trPr>
          <w:trHeight w:val="18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5 279,83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5 279,83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B4C99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724A3" w:rsidRPr="00D7491A" w:rsidTr="00BB42AC">
        <w:trPr>
          <w:trHeight w:val="18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724A3" w:rsidRPr="00D7491A" w:rsidRDefault="00B724A3" w:rsidP="00B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724A3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1 519,71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724A3" w:rsidRPr="00B6670E" w:rsidRDefault="00BB42AC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1 519,71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724A3" w:rsidRPr="00B6670E" w:rsidRDefault="00BB42AC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724A3" w:rsidRPr="00B6670E" w:rsidRDefault="00BB42AC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3DB2" w:rsidRPr="00D7491A" w:rsidTr="00BB42AC">
        <w:trPr>
          <w:trHeight w:val="90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B42AC">
            <w:pPr>
              <w:spacing w:after="0" w:line="90" w:lineRule="atLeast"/>
              <w:ind w:right="19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90" w:lineRule="atLeast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B42AC" w:rsidP="00B724A3">
            <w:pPr>
              <w:spacing w:after="0" w:line="90" w:lineRule="atLeast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B42AC" w:rsidP="00B724A3">
            <w:pPr>
              <w:spacing w:after="0" w:line="90" w:lineRule="atLeast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B42AC" w:rsidP="00BB42AC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3DB2" w:rsidRPr="00D7491A" w:rsidTr="00BB42AC">
        <w:trPr>
          <w:trHeight w:val="368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DB2" w:rsidRPr="00D7491A" w:rsidRDefault="00C93DB2" w:rsidP="00B72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724A3" w:rsidP="00B724A3">
            <w:pPr>
              <w:spacing w:after="0" w:line="240" w:lineRule="auto"/>
              <w:ind w:right="9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1 109 024,79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BB42AC" w:rsidP="00B724A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1 165 002,49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A54659" w:rsidP="00B724A3">
            <w:pPr>
              <w:spacing w:after="0" w:line="240" w:lineRule="auto"/>
              <w:ind w:right="1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BB42AC"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55 977,70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93DB2" w:rsidRPr="00B6670E" w:rsidRDefault="00C93DB2" w:rsidP="00B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</w:t>
            </w:r>
            <w:r w:rsidR="00BB42AC" w:rsidRPr="00B66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</w:tr>
    </w:tbl>
    <w:p w:rsidR="00C93DB2" w:rsidRPr="00D7491A" w:rsidRDefault="00C93DB2" w:rsidP="00C93D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82062"/>
          <w:sz w:val="18"/>
          <w:szCs w:val="18"/>
          <w:lang w:eastAsia="ru-RU"/>
        </w:rPr>
      </w:pPr>
      <w:r w:rsidRPr="00D7491A">
        <w:rPr>
          <w:rFonts w:ascii="Times New Roman" w:eastAsia="Times New Roman" w:hAnsi="Times New Roman" w:cs="Times New Roman"/>
          <w:color w:val="082062"/>
          <w:sz w:val="24"/>
          <w:szCs w:val="24"/>
          <w:lang w:eastAsia="ru-RU"/>
        </w:rPr>
        <w:t> </w:t>
      </w:r>
    </w:p>
    <w:p w:rsidR="009E6A01" w:rsidRPr="009E6A01" w:rsidRDefault="00BB42AC" w:rsidP="00BB42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</w:t>
      </w:r>
      <w:r w:rsidR="002F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в таблице  показывает</w:t>
      </w:r>
      <w:proofErr w:type="gramEnd"/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3 из 12 </w:t>
      </w:r>
      <w:r w:rsidR="009E6A01"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происходит увеличение расходов</w:t>
      </w:r>
      <w:r w:rsidR="009E6A01"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A01" w:rsidRPr="009E6A01" w:rsidRDefault="009E6A01" w:rsidP="00BB42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 -14,7%;</w:t>
      </w:r>
    </w:p>
    <w:p w:rsidR="009E6A01" w:rsidRPr="009E6A01" w:rsidRDefault="009E6A01" w:rsidP="00BB42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 -4,55%</w:t>
      </w:r>
      <w:proofErr w:type="gramStart"/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</w:p>
    <w:p w:rsidR="009E6A01" w:rsidRPr="009E6A01" w:rsidRDefault="009E6A01" w:rsidP="00BB42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C6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E6A01">
        <w:rPr>
          <w:rFonts w:ascii="Times New Roman" w:eastAsia="Times New Roman" w:hAnsi="Times New Roman" w:cs="Times New Roman"/>
          <w:sz w:val="28"/>
          <w:szCs w:val="28"/>
          <w:lang w:eastAsia="ru-RU"/>
        </w:rPr>
        <w:t> 3,42%</w:t>
      </w:r>
    </w:p>
    <w:p w:rsidR="00A54659" w:rsidRPr="00A54659" w:rsidRDefault="00A54659" w:rsidP="00A546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анализ структуры изменений, вносимых в расходы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A5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54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свидетельствует о том, что общее увеличение расходов обусловлено в основном увеличением доходной части бюджета за счет средств вышестоящего бюджета.</w:t>
      </w:r>
    </w:p>
    <w:p w:rsidR="00E3130A" w:rsidRDefault="00E3130A" w:rsidP="00B662D3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A310C4" w:rsidRPr="00A310C4" w:rsidRDefault="001408DD" w:rsidP="00E07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5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Проектом решения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увеличена на </w:t>
      </w:r>
      <w:r w:rsidR="00A54659">
        <w:rPr>
          <w:rFonts w:ascii="Times New Roman" w:eastAsia="Times New Roman" w:hAnsi="Times New Roman" w:cs="Times New Roman"/>
          <w:sz w:val="28"/>
          <w:szCs w:val="28"/>
          <w:lang w:eastAsia="ru-RU"/>
        </w:rPr>
        <w:t>55 977,70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</w:t>
      </w:r>
      <w:r w:rsidR="00A54659">
        <w:rPr>
          <w:rFonts w:ascii="Times New Roman" w:eastAsia="Times New Roman" w:hAnsi="Times New Roman" w:cs="Times New Roman"/>
          <w:sz w:val="28"/>
          <w:szCs w:val="28"/>
          <w:lang w:eastAsia="ru-RU"/>
        </w:rPr>
        <w:t>1 165 002,49</w:t>
      </w:r>
      <w:r w:rsidR="00A310C4" w:rsidRP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310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017A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ведомственной структуре расходов бюджетные ассигнования по главным распорядителям </w:t>
      </w:r>
      <w:r w:rsid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составляют:</w:t>
      </w:r>
    </w:p>
    <w:p w:rsidR="007969DC" w:rsidRPr="00BE02A3" w:rsidRDefault="007969DC" w:rsidP="007969DC">
      <w:pPr>
        <w:widowControl w:val="0"/>
        <w:tabs>
          <w:tab w:val="left" w:pos="0"/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7969D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</w:t>
      </w:r>
      <w:r w:rsidR="006F402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</w:t>
      </w:r>
      <w:r w:rsidRPr="007969D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r w:rsidRPr="00BE02A3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418"/>
        <w:gridCol w:w="1417"/>
        <w:gridCol w:w="1418"/>
        <w:gridCol w:w="1275"/>
      </w:tblGrid>
      <w:tr w:rsidR="00D051F2" w:rsidRPr="00FE7253" w:rsidTr="00CF7577">
        <w:trPr>
          <w:trHeight w:val="2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распорядители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2014 г. Решение</w:t>
            </w:r>
          </w:p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720135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5428E9" w:rsidRDefault="00EE0DDE" w:rsidP="0054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B6670E" w:rsidRPr="003362EE" w:rsidRDefault="00B6670E" w:rsidP="00B6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24.11.2014г.</w:t>
            </w:r>
          </w:p>
          <w:p w:rsidR="00D051F2" w:rsidRPr="00FE7253" w:rsidRDefault="00B6670E" w:rsidP="00B667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417- IV</w:t>
            </w: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FE7253" w:rsidRDefault="005010CF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0DDE"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EE0DDE" w:rsidRPr="00FE7253" w:rsidRDefault="00EE0DDE" w:rsidP="00CF5B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</w:p>
          <w:p w:rsidR="00D051F2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DDE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E0DDE" w:rsidRPr="00FE7253" w:rsidRDefault="00CF5BA7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E0DDE"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уточненного</w:t>
            </w:r>
            <w:r w:rsidR="0050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</w:t>
            </w:r>
          </w:p>
          <w:p w:rsidR="00EE0DDE" w:rsidRPr="00FE7253" w:rsidRDefault="00EE0DDE" w:rsidP="009E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D051F2" w:rsidRPr="00FE7253" w:rsidRDefault="00D051F2" w:rsidP="009E6B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1F2" w:rsidRPr="00FE7253" w:rsidRDefault="00CF5BA7" w:rsidP="007969DC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Дума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6 835,93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237" w:rsidRPr="00FE7253" w:rsidRDefault="007A3071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542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64 559,53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35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4 249,47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67 899,27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604502" w:rsidP="00AE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+3649,80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имущественных </w:t>
            </w: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отношений администрации города-курорта Железноводска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7 645,85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C356CB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7 828,06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C356CB" w:rsidP="00FA62F0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+29,00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5 090,32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B0592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5 361,51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542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5 361,51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 администрации города–курорта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12 503,29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05925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13 090,73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1552B" w:rsidP="00FA62F0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445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D445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42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+10,00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образования </w:t>
            </w:r>
          </w:p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365 418,54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B0592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059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9010BA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391 228,78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+13717,66</w:t>
            </w:r>
          </w:p>
        </w:tc>
      </w:tr>
      <w:tr w:rsidR="00D051F2" w:rsidRPr="00FE7253" w:rsidTr="00CF7577">
        <w:trPr>
          <w:trHeight w:val="1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254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9D4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57 305,08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27C75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8 459,10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254334" w:rsidP="00FA62F0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CCB" w:rsidRPr="00FE7253" w:rsidRDefault="00AE268F" w:rsidP="00AE26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+32,90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Управление труда и социальной защиты населения администрации города-курорта Железноводска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219 483,33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510D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234 240,38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9010BA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247 124,13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+12883,75</w:t>
            </w:r>
            <w:r w:rsidR="009010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5 213,31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360,13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0271C7" w:rsidP="00510D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510D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360,13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AE268F" w:rsidP="00510D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городского хозяйства администрации </w:t>
            </w:r>
          </w:p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5D1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326 338,79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357 448,87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FA62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AE26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31110,08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3 596,76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D051F2" w:rsidP="00B63EEE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63E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734,64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0271C7" w:rsidP="005D18E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D18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734,64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B63EEE" w:rsidP="00CF5B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051F2" w:rsidRPr="00FE7253" w:rsidTr="00CF75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36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F2" w:rsidRPr="00FE7253" w:rsidRDefault="00D051F2" w:rsidP="00CF5BA7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810 051,94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017AD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1 103 569,30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FA62F0" w:rsidP="00017AD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1 165 002,49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1F2" w:rsidRPr="00FE7253" w:rsidRDefault="005D18E9" w:rsidP="00FA62F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r w:rsidR="00FA62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61 433,19</w:t>
            </w:r>
          </w:p>
        </w:tc>
      </w:tr>
    </w:tbl>
    <w:p w:rsidR="00643E83" w:rsidRPr="00FE7253" w:rsidRDefault="00643E83" w:rsidP="00114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города-курорта Железноводска Ставропольского края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в целом увеличены на 2014 год на сумму  3 649,8 тыс. рублей,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ассигнования уменьшены на 2014 год за счет средств бюджета города на сумму  49 тыс. рублей  за счет перемещения бюджетных ассигнований  в рамках реализации муниципальной программы «Открытость и эффективность работы администрации города-курорта Железноводска Ставропольского края» подпрограммы «Развитие муниципальной службы в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городе-курорте Железноводске Ставропольского края» Финансовому управлению 10 тыс. рублей, управлению имущественных отношений                      29 тыс. рублей, управлению городского хозяйства 10 тыс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Плановые ассигнования увеличены за счет субвенций из краевого бюджета на содержание ребенка опекуну (попечителю) в сумме 8,29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3 Плановые ассигнования в целом увеличены за счет субсидий из краевого бюджета на 2014 год на сумму 3 780,51 тыс. рублей, из них: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плановые ассигнования увеличены на 4 150,95 тыс.</w:t>
      </w:r>
      <w:r w:rsidR="00F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F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реализацию ФЦП (в рамках </w:t>
      </w:r>
      <w:proofErr w:type="spellStart"/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софинансирования</w:t>
      </w:r>
      <w:proofErr w:type="spellEnd"/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«Обеспечение жильем молодых семей в Ставропольском крае на              2011-2015 годы») в сумме: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в сумме 2 506,78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федерального бюджета в сумме 1 644,17 тыс. рублей.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3.2.плановые ассигнования уменьшены на 370,44 тыс. рублей за счет возврата остатков субсидий  на 01.01.2014 по молодой семье.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счет иных межбюджетных трансфертов плановые ассигнования уменьшены на сумму 90,00 тыс. рублей </w:t>
      </w: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содержание депутатов Думы Ставропольского края и их помощников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имущественных отношений администрации города–курорта Железноводска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увеличены на 2014 год на сумму                            29 тыс. рублей  в рамках реализации муниципальной программы «Открытость и эффективность работы администрации города-курорта Железноводска Ставропольского края» подпрограммы «Развитие муниципальной службы в городе-курорте Железноводске Ставропольского края» за счет перемещения ассигнований с Администрации города.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архитектуры и градостроительства администрации города-курорта Железноводска Ставропольского края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175F8D" w:rsidRPr="00175F8D" w:rsidRDefault="00175F8D" w:rsidP="00175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управление администрации города–курорта Железноводска Ставропольского края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ассигнования увеличены на 2014 год на сумму                             10 тыс. рублей  в рамках реализации муниципальной программы «Открытость и эффективность работы администрации города-курорта Железноводска Ставропольского края» подпрограммы «Развитие муниципальной службы в городе-курорте Железноводске Ставропольского края» за счет перемещения ассигнований.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на 2015 и 2016 год увеличены на                     460,93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520,93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соответственно на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долгу в связи с реструктуризацией кредита, полученного из краевого бюджета в сумме 9 650 тыс. рублей на 2015-2017 годы.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gramStart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администрации города-курорта Железноводска Ставропольского края</w:t>
      </w:r>
      <w:proofErr w:type="gramEnd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ассигнования в целом увеличены на 2014 год на сумму </w:t>
      </w:r>
      <w:r w:rsidRPr="00175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13 717,66 тыс. рублей,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лановые ассигнования увеличены за счет субвенции из краевого бюджета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175F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13 717,66 </w:t>
      </w: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 сумме 7 711,49 тыс. рублей;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5 970,58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обучение</w:t>
      </w:r>
      <w:r w:rsidRPr="00175F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на дому в сумме 35,59 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2014 год, определенных в бюджете города-курорта Железноводска Ставропольского края по главному распорядителю бюджетных средств.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gramStart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администрации города-курорта Железноводска Ставропольского края</w:t>
      </w:r>
      <w:proofErr w:type="gramEnd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в целом увеличены на 2014 год на сумму</w:t>
      </w:r>
      <w:r w:rsidRPr="0017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32,9 тыс. рублей за счет субсидии из федерального бюджета на приобретение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музыкальных инструментов учреждениям дополнительного образования детей по отрасли «Культура».</w:t>
      </w:r>
    </w:p>
    <w:p w:rsidR="00175F8D" w:rsidRPr="00175F8D" w:rsidRDefault="00175F8D" w:rsidP="00175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2014 год, определенных в бюджете города-курорта Железноводска Ставропольского края по главному распорядителю бюджетных средств, в том числе учтены изменения, связанные с изменением типа учреждений культуры.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труда и социальной защиты населения администрации города-курорта Железноводска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в 2014 году в целом увеличены на сумму                           12 883,75 тыс. рублей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субвенциям из краевого бюджета плановые ассигнования 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12 833,67 тыс. рублей, из них: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Плановые ассигнования увеличены на сумму 12 885,22 тыс. рублей,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жилищно-коммунальных услуг отдельным категориям граждан в сумме 1 074,00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 в сумме 4 142,62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обеспечение 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социальной поддержки ветеранов труда Ставропольского края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2 148,90 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мер социальной поддержки реабилитированных лиц и лиц, признанных пострадавшими от политических репрессий в сумме 155,72 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ежемесячного пособия на ребенка в сумме 255,57 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мер социальной поддержки многодетным семьям в сумме 395,27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обеспечение мер социальной поддержки ветеранов труда и тружеников тыла в сумме 4 079,87 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ежемесячной доплаты к пенсии гражданам, ставшим инвалидами при исполнении служебных обязанностей в районах боевых действий в сумме 0,8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отдельных государственных полномочий в области социальной защиты отдельных категорий граждан в сумме 180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за счет средств федерального бюджета на сумму 448,96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выплату ежемесячных денежных выплат семьям погибших ветеранов боевых действий в сумме 3,51 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Плановые ассигнования уменьшены на 51,55 тыс. рублей,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государственной социальной помощи малоимущим семьям, малоимущим одиноко проживающим гражданам в сумме 3,40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выплату ежегодного социального пособия на проезд учащимся (студентам) в сумме 12,31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гражданам субсидий на оплату жилого помещения и коммунальных услуг в сумме  35,84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Плановые ассигнования увеличены 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прочим безвозмездным поступлениям из бюджета Ставропольского края на выплату социального пособия на погребение на сумму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50,08 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294E56" w:rsidRDefault="00294E56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физической культуре, спорту и туризму администрации города-курорта Железноводска Ставропольского края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175F8D" w:rsidRPr="00175F8D" w:rsidRDefault="00175F8D" w:rsidP="00175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городского </w:t>
      </w:r>
      <w:proofErr w:type="gramStart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ассигнования в целом увеличены на сумму 31 110,08 тыс. рублей в том числе: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Плановые ассигнования увеличены за счет средств бюджета города на организацию курсов повышения квалификации муниципальных служащих в сумме 10,00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плановых ассигнований осуществлено за счет перемещения бюджетных ассигнований с Администрации города-курорта Железноводска Ставропольского края  на Управление городского </w:t>
      </w:r>
      <w:proofErr w:type="gramStart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Плановые ассигнования за счет средств вышестоящих бюджетов в целом увеличены на  сумму 31 819,72 тыс. рублей, из них: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 счет средств федерального бюджета: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субсидии на реализацию мероприятий федеральной целевой программы «Развитие внутреннего и въездного туризма в Российской Федерации (2011 - 2018 годы)» в сумме 27 400,00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2.2.  За счет сре</w:t>
      </w:r>
      <w:proofErr w:type="gramStart"/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на создание комплекса обеспечивающей инфраструктуры туристских кластеров в Ставропольском крае в рамках реализации федеральной целевой программы «Развитие внутреннего и въездного туризма в Российской Федерации (2011-2018 годы)» в сумме 4 419,72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Плановые ассигнования за счет средств вышестоящих бюджетов в целом уменьшены на сумму  719,64 тыс. рублей из них: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3.1. </w:t>
      </w: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</w:t>
      </w:r>
      <w:proofErr w:type="gramStart"/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капитальный ремонт и ремонт автомобильных дорог в сумме  20,43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капитальный ремонт и ремонт дворовых территорий многоквартирных домов, проездов к дворовым территориям многоквартирных домов в сумме   311,57 тыс. рублей;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в сумме 37,11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175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федерального бюджета: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реализацию региональных программ в области энергосбережения и повышения энергетической эффективности в сумме 350,53 тыс. рублей.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города-курорта Железноводска Ставропольского края </w:t>
      </w:r>
    </w:p>
    <w:p w:rsidR="00175F8D" w:rsidRPr="00175F8D" w:rsidRDefault="00175F8D" w:rsidP="00175F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бюджетных полномочий, согласно письмам главного распорядителя бюджетных средств, произведены перемещения бюджетных ассигнований в пределах общих объемов бюджетных ассигнований на              2014 год, определенных в бюджете города-курорта Железноводска Ставропольского края по главному распорядителю бюджетных средств.</w:t>
      </w:r>
    </w:p>
    <w:p w:rsidR="00F80CC8" w:rsidRDefault="00F80CC8" w:rsidP="00017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7C75" w:rsidRPr="00227C75" w:rsidRDefault="00227C75" w:rsidP="00017A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5715A2" w:rsidRPr="003D5683" w:rsidRDefault="00294E56" w:rsidP="0057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внесенных изменений в бюджет города на 2014 год размер дефицита бюджета  составит 122 730,12 тыс. рублей. </w:t>
      </w:r>
      <w:r w:rsidR="005715A2" w:rsidRPr="003D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источников внутреннего финансирования дефицита бюджета соответствует прогнозируемому объему его дефицита. Бюджетные ассигнования по источникам внутреннего финансирования дефицита бюджета города характеризуются:</w:t>
      </w:r>
    </w:p>
    <w:p w:rsidR="005715A2" w:rsidRPr="003D5683" w:rsidRDefault="005715A2" w:rsidP="0057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получением бюджетных кредитов от других бюджетов бюджетной системы Российской Федерации;</w:t>
      </w:r>
    </w:p>
    <w:p w:rsidR="005715A2" w:rsidRPr="003D5683" w:rsidRDefault="005715A2" w:rsidP="00571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изменением остатков средств на счетах по учету средств бюджетов.</w:t>
      </w:r>
    </w:p>
    <w:p w:rsidR="005715A2" w:rsidRDefault="005715A2" w:rsidP="00294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82062"/>
          <w:sz w:val="28"/>
          <w:szCs w:val="28"/>
          <w:highlight w:val="yellow"/>
          <w:lang w:eastAsia="ru-RU"/>
        </w:rPr>
      </w:pPr>
    </w:p>
    <w:p w:rsidR="00C7598D" w:rsidRPr="00C7598D" w:rsidRDefault="00227C75" w:rsidP="0001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AF16BF" w:rsidP="00017A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D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CE" w:rsidRDefault="00FC014E" w:rsidP="00DF643B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821BAF" w:rsidRDefault="00821BAF" w:rsidP="00DF643B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E564A" w:rsidRDefault="00BE564A" w:rsidP="00BE56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Контрольно-счетная палата отмечает,</w:t>
      </w:r>
      <w:r w:rsidRPr="00BE5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причины увеличения/уменьшения показателей собственных доходов в пояснительной записке к Проекту решения не отражены.</w:t>
      </w:r>
    </w:p>
    <w:p w:rsidR="00BE564A" w:rsidRPr="00BE564A" w:rsidRDefault="00BE564A" w:rsidP="00BE56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577" w:rsidRDefault="00BE564A" w:rsidP="00860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7577" w:rsidRPr="00C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уществует риск неисполнения предлагаемого Проектом решения уточнения назначений по </w:t>
      </w:r>
      <w:r w:rsidR="00CF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 налоговым и неналоговым  доходам: </w:t>
      </w:r>
    </w:p>
    <w:p w:rsidR="00CF7577" w:rsidRDefault="00CF7577" w:rsidP="00860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налогу на доходы физических лиц</w:t>
      </w:r>
      <w:r w:rsidRPr="006E5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на 11 398,00 тыс. рублей</w:t>
      </w:r>
      <w:r w:rsidR="00D1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(стр. 3 – Заключения);</w:t>
      </w:r>
    </w:p>
    <w:p w:rsidR="00CF7577" w:rsidRDefault="00CF7577" w:rsidP="00860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7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земельному налогу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6 000,00 тыс. рублей</w:t>
      </w:r>
      <w:r w:rsidR="00D1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 3,4 –Заключения)</w:t>
      </w:r>
      <w:r w:rsidR="00860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577" w:rsidRPr="00860569" w:rsidRDefault="00860569" w:rsidP="0086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86056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единому налогу на вмененный доход для отдельных видов деятельности  на 2 400,00 тыс. рублей</w:t>
      </w:r>
      <w:r w:rsidR="00D135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2E1D">
        <w:rPr>
          <w:rFonts w:ascii="Times New Roman" w:eastAsia="Times New Roman" w:hAnsi="Times New Roman" w:cs="Times New Roman"/>
          <w:sz w:val="28"/>
          <w:szCs w:val="24"/>
          <w:lang w:eastAsia="ru-RU"/>
        </w:rPr>
        <w:t>(стр. 4 – Заключения)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860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60569" w:rsidRDefault="00860569" w:rsidP="00860569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56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 налогу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1 000,00 тыс. рублей</w:t>
      </w:r>
      <w:r w:rsidR="00E52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(стр. 4 – Заключения); </w:t>
      </w:r>
    </w:p>
    <w:p w:rsidR="00860569" w:rsidRPr="00724C60" w:rsidRDefault="00860569" w:rsidP="00860569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штрафам, санкциям, возмещению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2 165,00 тыс. рублей</w:t>
      </w:r>
      <w:r w:rsidR="00E52E1D" w:rsidRPr="00E52E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2E1D">
        <w:rPr>
          <w:rFonts w:ascii="Times New Roman" w:eastAsia="Times New Roman" w:hAnsi="Times New Roman" w:cs="Times New Roman"/>
          <w:sz w:val="28"/>
          <w:szCs w:val="24"/>
          <w:lang w:eastAsia="ru-RU"/>
        </w:rPr>
        <w:t>(стр. 4 – Заключения).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A7" w:rsidRDefault="002D78A7" w:rsidP="002D7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8A7" w:rsidRPr="002D78A7" w:rsidRDefault="002D78A7" w:rsidP="002D7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Предлагаемые изменения по увеличению суммы безвозмездных поступлений из других уровней бюджетной системы РФ необходимы и целесообразны.</w:t>
      </w:r>
    </w:p>
    <w:p w:rsidR="00CF7577" w:rsidRDefault="00CF7577" w:rsidP="00860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3391" w:rsidRPr="003B3391" w:rsidRDefault="00CF7577" w:rsidP="00DF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E52E1D" w:rsidRPr="0056342C" w:rsidRDefault="00974943" w:rsidP="00E52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bookmarkStart w:id="0" w:name="_GoBack"/>
      <w:bookmarkEnd w:id="0"/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</w:t>
      </w:r>
      <w:r w:rsidR="008B0B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курорта Железноводска Ставропольского края в установленном порядке</w:t>
      </w:r>
      <w:r w:rsidR="00E52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2E1D">
        <w:rPr>
          <w:rFonts w:ascii="Times New Roman" w:eastAsia="Calibri" w:hAnsi="Times New Roman" w:cs="Times New Roman"/>
          <w:sz w:val="28"/>
          <w:szCs w:val="28"/>
        </w:rPr>
        <w:t>с учетом</w:t>
      </w:r>
      <w:proofErr w:type="gramEnd"/>
      <w:r w:rsidR="00E52E1D">
        <w:rPr>
          <w:rFonts w:ascii="Times New Roman" w:eastAsia="Calibri" w:hAnsi="Times New Roman" w:cs="Times New Roman"/>
          <w:sz w:val="28"/>
          <w:szCs w:val="28"/>
        </w:rPr>
        <w:t xml:space="preserve"> указанных выше замечаний Контрольно-счетной палаты.</w:t>
      </w:r>
    </w:p>
    <w:sectPr w:rsidR="00E52E1D" w:rsidRPr="0056342C" w:rsidSect="00821BAF">
      <w:headerReference w:type="even" r:id="rId9"/>
      <w:headerReference w:type="default" r:id="rId10"/>
      <w:footerReference w:type="first" r:id="rId11"/>
      <w:pgSz w:w="11906" w:h="16838"/>
      <w:pgMar w:top="1134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68" w:rsidRDefault="00E06D68" w:rsidP="00E85A55">
      <w:pPr>
        <w:spacing w:after="0" w:line="240" w:lineRule="auto"/>
      </w:pPr>
      <w:r>
        <w:separator/>
      </w:r>
    </w:p>
  </w:endnote>
  <w:endnote w:type="continuationSeparator" w:id="0">
    <w:p w:rsidR="00E06D68" w:rsidRDefault="00E06D68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4A" w:rsidRDefault="00BE564A">
    <w:pPr>
      <w:pStyle w:val="a6"/>
    </w:pPr>
  </w:p>
  <w:p w:rsidR="00BE564A" w:rsidRDefault="00BE5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68" w:rsidRDefault="00E06D68" w:rsidP="00E85A55">
      <w:pPr>
        <w:spacing w:after="0" w:line="240" w:lineRule="auto"/>
      </w:pPr>
      <w:r>
        <w:separator/>
      </w:r>
    </w:p>
  </w:footnote>
  <w:footnote w:type="continuationSeparator" w:id="0">
    <w:p w:rsidR="00E06D68" w:rsidRDefault="00E06D68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4A" w:rsidRDefault="00BE564A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64A" w:rsidRDefault="00BE5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4A" w:rsidRDefault="00BE564A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1CE">
      <w:rPr>
        <w:rStyle w:val="a5"/>
        <w:noProof/>
      </w:rPr>
      <w:t>14</w:t>
    </w:r>
    <w:r>
      <w:rPr>
        <w:rStyle w:val="a5"/>
      </w:rPr>
      <w:fldChar w:fldCharType="end"/>
    </w:r>
  </w:p>
  <w:p w:rsidR="00BE564A" w:rsidRDefault="00BE564A" w:rsidP="00BC21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17AD1"/>
    <w:rsid w:val="00020482"/>
    <w:rsid w:val="00025737"/>
    <w:rsid w:val="00025D63"/>
    <w:rsid w:val="000271C7"/>
    <w:rsid w:val="00035907"/>
    <w:rsid w:val="00036761"/>
    <w:rsid w:val="00041DF2"/>
    <w:rsid w:val="00050BBE"/>
    <w:rsid w:val="00064177"/>
    <w:rsid w:val="000902D5"/>
    <w:rsid w:val="00093718"/>
    <w:rsid w:val="000A14F8"/>
    <w:rsid w:val="000A1B34"/>
    <w:rsid w:val="000B4293"/>
    <w:rsid w:val="000B4AA5"/>
    <w:rsid w:val="000B4D83"/>
    <w:rsid w:val="000B7D6C"/>
    <w:rsid w:val="000D0E4F"/>
    <w:rsid w:val="000D175B"/>
    <w:rsid w:val="000D541B"/>
    <w:rsid w:val="000D6A97"/>
    <w:rsid w:val="000D74AA"/>
    <w:rsid w:val="000E3DD3"/>
    <w:rsid w:val="000E6F68"/>
    <w:rsid w:val="000F35F9"/>
    <w:rsid w:val="000F5BAF"/>
    <w:rsid w:val="00100DE2"/>
    <w:rsid w:val="001072AE"/>
    <w:rsid w:val="0011265F"/>
    <w:rsid w:val="00114156"/>
    <w:rsid w:val="00137F7F"/>
    <w:rsid w:val="001408DD"/>
    <w:rsid w:val="00141E33"/>
    <w:rsid w:val="001537FF"/>
    <w:rsid w:val="001570BA"/>
    <w:rsid w:val="00167462"/>
    <w:rsid w:val="00167544"/>
    <w:rsid w:val="00170A83"/>
    <w:rsid w:val="00172446"/>
    <w:rsid w:val="00172F97"/>
    <w:rsid w:val="001742D7"/>
    <w:rsid w:val="00175F8D"/>
    <w:rsid w:val="00176F48"/>
    <w:rsid w:val="00192010"/>
    <w:rsid w:val="001C02C2"/>
    <w:rsid w:val="001C3708"/>
    <w:rsid w:val="001D2AB5"/>
    <w:rsid w:val="001D2C05"/>
    <w:rsid w:val="001D5480"/>
    <w:rsid w:val="001E2DDE"/>
    <w:rsid w:val="001E74EE"/>
    <w:rsid w:val="001F2B38"/>
    <w:rsid w:val="001F3B8C"/>
    <w:rsid w:val="00207A87"/>
    <w:rsid w:val="00224EDC"/>
    <w:rsid w:val="002266E1"/>
    <w:rsid w:val="00227C75"/>
    <w:rsid w:val="00233051"/>
    <w:rsid w:val="002341E3"/>
    <w:rsid w:val="00235A3E"/>
    <w:rsid w:val="00252954"/>
    <w:rsid w:val="00253BF7"/>
    <w:rsid w:val="00254334"/>
    <w:rsid w:val="002603E3"/>
    <w:rsid w:val="00267A45"/>
    <w:rsid w:val="00273D95"/>
    <w:rsid w:val="0027664B"/>
    <w:rsid w:val="00277F1C"/>
    <w:rsid w:val="00280AB4"/>
    <w:rsid w:val="0028558B"/>
    <w:rsid w:val="00287683"/>
    <w:rsid w:val="00287748"/>
    <w:rsid w:val="00294E56"/>
    <w:rsid w:val="00296830"/>
    <w:rsid w:val="00297193"/>
    <w:rsid w:val="002A2CC6"/>
    <w:rsid w:val="002B11AA"/>
    <w:rsid w:val="002B1A91"/>
    <w:rsid w:val="002B1E6C"/>
    <w:rsid w:val="002B2425"/>
    <w:rsid w:val="002C4F55"/>
    <w:rsid w:val="002D0BAA"/>
    <w:rsid w:val="002D78A7"/>
    <w:rsid w:val="002E1B68"/>
    <w:rsid w:val="002E337E"/>
    <w:rsid w:val="002F6A01"/>
    <w:rsid w:val="002F6AF0"/>
    <w:rsid w:val="002F6B45"/>
    <w:rsid w:val="003121A3"/>
    <w:rsid w:val="0032270F"/>
    <w:rsid w:val="00323EBA"/>
    <w:rsid w:val="00332C6C"/>
    <w:rsid w:val="003361B3"/>
    <w:rsid w:val="003362EE"/>
    <w:rsid w:val="00350155"/>
    <w:rsid w:val="003501C6"/>
    <w:rsid w:val="00355219"/>
    <w:rsid w:val="0036409F"/>
    <w:rsid w:val="00364D18"/>
    <w:rsid w:val="003668C9"/>
    <w:rsid w:val="00367085"/>
    <w:rsid w:val="00380456"/>
    <w:rsid w:val="0038630C"/>
    <w:rsid w:val="00391A5B"/>
    <w:rsid w:val="0039277E"/>
    <w:rsid w:val="00395A6E"/>
    <w:rsid w:val="003A3D4B"/>
    <w:rsid w:val="003B1836"/>
    <w:rsid w:val="003B1D3D"/>
    <w:rsid w:val="003B2524"/>
    <w:rsid w:val="003B3391"/>
    <w:rsid w:val="003C0F5A"/>
    <w:rsid w:val="003C67FC"/>
    <w:rsid w:val="003C69BC"/>
    <w:rsid w:val="003C6AE8"/>
    <w:rsid w:val="003D291F"/>
    <w:rsid w:val="003D5683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151C1"/>
    <w:rsid w:val="004364EE"/>
    <w:rsid w:val="00446B78"/>
    <w:rsid w:val="00447F94"/>
    <w:rsid w:val="00461001"/>
    <w:rsid w:val="00461490"/>
    <w:rsid w:val="00461FB3"/>
    <w:rsid w:val="0046274B"/>
    <w:rsid w:val="00465199"/>
    <w:rsid w:val="004656CC"/>
    <w:rsid w:val="00472BC8"/>
    <w:rsid w:val="0047404D"/>
    <w:rsid w:val="00475EA6"/>
    <w:rsid w:val="00482FA3"/>
    <w:rsid w:val="00484D12"/>
    <w:rsid w:val="004A5872"/>
    <w:rsid w:val="004B090D"/>
    <w:rsid w:val="004B42EE"/>
    <w:rsid w:val="004B43AF"/>
    <w:rsid w:val="004D0A12"/>
    <w:rsid w:val="004D107F"/>
    <w:rsid w:val="004D3954"/>
    <w:rsid w:val="004E1887"/>
    <w:rsid w:val="004E20B0"/>
    <w:rsid w:val="004E6B1B"/>
    <w:rsid w:val="004E77CA"/>
    <w:rsid w:val="004F0730"/>
    <w:rsid w:val="004F30A1"/>
    <w:rsid w:val="004F7B87"/>
    <w:rsid w:val="0050057B"/>
    <w:rsid w:val="00500DAB"/>
    <w:rsid w:val="005010CF"/>
    <w:rsid w:val="00501DD1"/>
    <w:rsid w:val="00502763"/>
    <w:rsid w:val="00502CEA"/>
    <w:rsid w:val="0050661B"/>
    <w:rsid w:val="00510D39"/>
    <w:rsid w:val="0051552B"/>
    <w:rsid w:val="0052049E"/>
    <w:rsid w:val="00522B06"/>
    <w:rsid w:val="00532D6D"/>
    <w:rsid w:val="00534851"/>
    <w:rsid w:val="005428E9"/>
    <w:rsid w:val="00545368"/>
    <w:rsid w:val="0055349A"/>
    <w:rsid w:val="0055452C"/>
    <w:rsid w:val="00560B6B"/>
    <w:rsid w:val="00563664"/>
    <w:rsid w:val="00570445"/>
    <w:rsid w:val="005715A2"/>
    <w:rsid w:val="005A669D"/>
    <w:rsid w:val="005B15FB"/>
    <w:rsid w:val="005B1DF4"/>
    <w:rsid w:val="005B62A7"/>
    <w:rsid w:val="005C0A88"/>
    <w:rsid w:val="005C16F3"/>
    <w:rsid w:val="005C4F21"/>
    <w:rsid w:val="005C5316"/>
    <w:rsid w:val="005C7014"/>
    <w:rsid w:val="005D18E9"/>
    <w:rsid w:val="005F4045"/>
    <w:rsid w:val="005F7D68"/>
    <w:rsid w:val="00603C1A"/>
    <w:rsid w:val="00604502"/>
    <w:rsid w:val="00606621"/>
    <w:rsid w:val="006071BB"/>
    <w:rsid w:val="006078FC"/>
    <w:rsid w:val="00612102"/>
    <w:rsid w:val="00622277"/>
    <w:rsid w:val="00625A0B"/>
    <w:rsid w:val="00631853"/>
    <w:rsid w:val="006332AB"/>
    <w:rsid w:val="00641B64"/>
    <w:rsid w:val="00643E83"/>
    <w:rsid w:val="0064574E"/>
    <w:rsid w:val="00652A79"/>
    <w:rsid w:val="0065318D"/>
    <w:rsid w:val="006535D8"/>
    <w:rsid w:val="00662D8D"/>
    <w:rsid w:val="006720D7"/>
    <w:rsid w:val="00675D18"/>
    <w:rsid w:val="00677CB0"/>
    <w:rsid w:val="006851B7"/>
    <w:rsid w:val="006856FE"/>
    <w:rsid w:val="006965CE"/>
    <w:rsid w:val="006A5CA1"/>
    <w:rsid w:val="006A6C38"/>
    <w:rsid w:val="006B4D7E"/>
    <w:rsid w:val="006B6EF9"/>
    <w:rsid w:val="006C74CD"/>
    <w:rsid w:val="006D23F2"/>
    <w:rsid w:val="006D3081"/>
    <w:rsid w:val="006D6435"/>
    <w:rsid w:val="006E5BE5"/>
    <w:rsid w:val="006F4028"/>
    <w:rsid w:val="00706AB5"/>
    <w:rsid w:val="00710CF1"/>
    <w:rsid w:val="00711C2F"/>
    <w:rsid w:val="00714064"/>
    <w:rsid w:val="00717862"/>
    <w:rsid w:val="00720135"/>
    <w:rsid w:val="00720677"/>
    <w:rsid w:val="00724497"/>
    <w:rsid w:val="00724C60"/>
    <w:rsid w:val="007358FE"/>
    <w:rsid w:val="00737EC7"/>
    <w:rsid w:val="00753BAC"/>
    <w:rsid w:val="00754B6B"/>
    <w:rsid w:val="00764132"/>
    <w:rsid w:val="0076592B"/>
    <w:rsid w:val="00767D32"/>
    <w:rsid w:val="00767F18"/>
    <w:rsid w:val="0077059F"/>
    <w:rsid w:val="007708FD"/>
    <w:rsid w:val="00773CD0"/>
    <w:rsid w:val="00796979"/>
    <w:rsid w:val="007969DC"/>
    <w:rsid w:val="007A05EA"/>
    <w:rsid w:val="007A3071"/>
    <w:rsid w:val="007B039B"/>
    <w:rsid w:val="007B282F"/>
    <w:rsid w:val="007B7A3A"/>
    <w:rsid w:val="007C457A"/>
    <w:rsid w:val="007D6706"/>
    <w:rsid w:val="007E4EB3"/>
    <w:rsid w:val="007F0779"/>
    <w:rsid w:val="007F086F"/>
    <w:rsid w:val="007F164C"/>
    <w:rsid w:val="00801EE7"/>
    <w:rsid w:val="008050DB"/>
    <w:rsid w:val="00816C48"/>
    <w:rsid w:val="00821BAF"/>
    <w:rsid w:val="008243E1"/>
    <w:rsid w:val="008247CC"/>
    <w:rsid w:val="008334C7"/>
    <w:rsid w:val="00837B0C"/>
    <w:rsid w:val="00841AA7"/>
    <w:rsid w:val="00846375"/>
    <w:rsid w:val="00852F18"/>
    <w:rsid w:val="00860569"/>
    <w:rsid w:val="00865100"/>
    <w:rsid w:val="008724E2"/>
    <w:rsid w:val="00872ABC"/>
    <w:rsid w:val="008836EB"/>
    <w:rsid w:val="00885700"/>
    <w:rsid w:val="00886D55"/>
    <w:rsid w:val="008959FF"/>
    <w:rsid w:val="00896748"/>
    <w:rsid w:val="00896792"/>
    <w:rsid w:val="008A6004"/>
    <w:rsid w:val="008B0BA6"/>
    <w:rsid w:val="008B1090"/>
    <w:rsid w:val="008B3194"/>
    <w:rsid w:val="008C1C17"/>
    <w:rsid w:val="008C6566"/>
    <w:rsid w:val="008C6881"/>
    <w:rsid w:val="008C6C32"/>
    <w:rsid w:val="008D2211"/>
    <w:rsid w:val="008D65D1"/>
    <w:rsid w:val="008E5DED"/>
    <w:rsid w:val="008E6F31"/>
    <w:rsid w:val="008F354C"/>
    <w:rsid w:val="009010BA"/>
    <w:rsid w:val="0090411C"/>
    <w:rsid w:val="00914F94"/>
    <w:rsid w:val="009274C6"/>
    <w:rsid w:val="00932406"/>
    <w:rsid w:val="0093318F"/>
    <w:rsid w:val="00940005"/>
    <w:rsid w:val="00941AC7"/>
    <w:rsid w:val="00943551"/>
    <w:rsid w:val="009438D7"/>
    <w:rsid w:val="00945479"/>
    <w:rsid w:val="00945909"/>
    <w:rsid w:val="009609C7"/>
    <w:rsid w:val="00961388"/>
    <w:rsid w:val="009672E5"/>
    <w:rsid w:val="0097022D"/>
    <w:rsid w:val="00974093"/>
    <w:rsid w:val="00974943"/>
    <w:rsid w:val="00975864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040C"/>
    <w:rsid w:val="009E5A25"/>
    <w:rsid w:val="009E6A01"/>
    <w:rsid w:val="009E6B28"/>
    <w:rsid w:val="009F2192"/>
    <w:rsid w:val="00A000FA"/>
    <w:rsid w:val="00A03337"/>
    <w:rsid w:val="00A207E6"/>
    <w:rsid w:val="00A24B80"/>
    <w:rsid w:val="00A310C4"/>
    <w:rsid w:val="00A347D8"/>
    <w:rsid w:val="00A34947"/>
    <w:rsid w:val="00A3780A"/>
    <w:rsid w:val="00A447E5"/>
    <w:rsid w:val="00A46A81"/>
    <w:rsid w:val="00A527B4"/>
    <w:rsid w:val="00A54659"/>
    <w:rsid w:val="00A57C46"/>
    <w:rsid w:val="00A663CA"/>
    <w:rsid w:val="00A67E5A"/>
    <w:rsid w:val="00A728C0"/>
    <w:rsid w:val="00A81B9F"/>
    <w:rsid w:val="00A92C34"/>
    <w:rsid w:val="00A93C18"/>
    <w:rsid w:val="00AA350B"/>
    <w:rsid w:val="00AA5ABE"/>
    <w:rsid w:val="00AB4C99"/>
    <w:rsid w:val="00AB5C2E"/>
    <w:rsid w:val="00AC4503"/>
    <w:rsid w:val="00AD1E54"/>
    <w:rsid w:val="00AD3048"/>
    <w:rsid w:val="00AE1844"/>
    <w:rsid w:val="00AE1BC8"/>
    <w:rsid w:val="00AE268F"/>
    <w:rsid w:val="00AE4EE1"/>
    <w:rsid w:val="00AF16BF"/>
    <w:rsid w:val="00AF2877"/>
    <w:rsid w:val="00AF322A"/>
    <w:rsid w:val="00AF679A"/>
    <w:rsid w:val="00B037E7"/>
    <w:rsid w:val="00B05925"/>
    <w:rsid w:val="00B07070"/>
    <w:rsid w:val="00B16407"/>
    <w:rsid w:val="00B20067"/>
    <w:rsid w:val="00B2043E"/>
    <w:rsid w:val="00B20A3E"/>
    <w:rsid w:val="00B21C60"/>
    <w:rsid w:val="00B2542C"/>
    <w:rsid w:val="00B31B50"/>
    <w:rsid w:val="00B31F31"/>
    <w:rsid w:val="00B37ABA"/>
    <w:rsid w:val="00B45C37"/>
    <w:rsid w:val="00B529BB"/>
    <w:rsid w:val="00B54B9F"/>
    <w:rsid w:val="00B63EEE"/>
    <w:rsid w:val="00B65DED"/>
    <w:rsid w:val="00B662D3"/>
    <w:rsid w:val="00B6670E"/>
    <w:rsid w:val="00B66B93"/>
    <w:rsid w:val="00B724A3"/>
    <w:rsid w:val="00B76C29"/>
    <w:rsid w:val="00B820BE"/>
    <w:rsid w:val="00B823DC"/>
    <w:rsid w:val="00B9174D"/>
    <w:rsid w:val="00BA7973"/>
    <w:rsid w:val="00BB2CBC"/>
    <w:rsid w:val="00BB42AC"/>
    <w:rsid w:val="00BC21CE"/>
    <w:rsid w:val="00BC339A"/>
    <w:rsid w:val="00BD21BF"/>
    <w:rsid w:val="00BE02A3"/>
    <w:rsid w:val="00BE0883"/>
    <w:rsid w:val="00BE564A"/>
    <w:rsid w:val="00BF0541"/>
    <w:rsid w:val="00C044A7"/>
    <w:rsid w:val="00C12A6F"/>
    <w:rsid w:val="00C238A0"/>
    <w:rsid w:val="00C2424B"/>
    <w:rsid w:val="00C26319"/>
    <w:rsid w:val="00C3136A"/>
    <w:rsid w:val="00C356CB"/>
    <w:rsid w:val="00C35803"/>
    <w:rsid w:val="00C3698F"/>
    <w:rsid w:val="00C36A61"/>
    <w:rsid w:val="00C453B4"/>
    <w:rsid w:val="00C47CE9"/>
    <w:rsid w:val="00C549EC"/>
    <w:rsid w:val="00C63895"/>
    <w:rsid w:val="00C71C5C"/>
    <w:rsid w:val="00C757DE"/>
    <w:rsid w:val="00C7598D"/>
    <w:rsid w:val="00C80AC5"/>
    <w:rsid w:val="00C812E8"/>
    <w:rsid w:val="00C829C8"/>
    <w:rsid w:val="00C844F5"/>
    <w:rsid w:val="00C84DC1"/>
    <w:rsid w:val="00C93DB2"/>
    <w:rsid w:val="00C97F0B"/>
    <w:rsid w:val="00CA4BA6"/>
    <w:rsid w:val="00CA60D8"/>
    <w:rsid w:val="00CB154C"/>
    <w:rsid w:val="00CB3373"/>
    <w:rsid w:val="00CB6D62"/>
    <w:rsid w:val="00CD11C6"/>
    <w:rsid w:val="00CD18D5"/>
    <w:rsid w:val="00CD46AB"/>
    <w:rsid w:val="00CF5BA7"/>
    <w:rsid w:val="00CF6C08"/>
    <w:rsid w:val="00CF7577"/>
    <w:rsid w:val="00CF7661"/>
    <w:rsid w:val="00D02F5C"/>
    <w:rsid w:val="00D05055"/>
    <w:rsid w:val="00D051F2"/>
    <w:rsid w:val="00D1355F"/>
    <w:rsid w:val="00D13BCB"/>
    <w:rsid w:val="00D241AE"/>
    <w:rsid w:val="00D2609E"/>
    <w:rsid w:val="00D26787"/>
    <w:rsid w:val="00D267E9"/>
    <w:rsid w:val="00D26D06"/>
    <w:rsid w:val="00D33EEC"/>
    <w:rsid w:val="00D35D31"/>
    <w:rsid w:val="00D37055"/>
    <w:rsid w:val="00D41CC3"/>
    <w:rsid w:val="00D445D6"/>
    <w:rsid w:val="00D50C93"/>
    <w:rsid w:val="00D63486"/>
    <w:rsid w:val="00D65F5F"/>
    <w:rsid w:val="00D67BC5"/>
    <w:rsid w:val="00D732C3"/>
    <w:rsid w:val="00D83B0C"/>
    <w:rsid w:val="00D92FFE"/>
    <w:rsid w:val="00DA10F9"/>
    <w:rsid w:val="00DB24D5"/>
    <w:rsid w:val="00DB5C32"/>
    <w:rsid w:val="00DD22B8"/>
    <w:rsid w:val="00DD3DE5"/>
    <w:rsid w:val="00DD5697"/>
    <w:rsid w:val="00DD5D2E"/>
    <w:rsid w:val="00DE3E7A"/>
    <w:rsid w:val="00DE4275"/>
    <w:rsid w:val="00DF3597"/>
    <w:rsid w:val="00DF35AC"/>
    <w:rsid w:val="00DF643B"/>
    <w:rsid w:val="00E04381"/>
    <w:rsid w:val="00E05237"/>
    <w:rsid w:val="00E06D68"/>
    <w:rsid w:val="00E07701"/>
    <w:rsid w:val="00E07FC3"/>
    <w:rsid w:val="00E10D96"/>
    <w:rsid w:val="00E127DC"/>
    <w:rsid w:val="00E14F9E"/>
    <w:rsid w:val="00E30EF7"/>
    <w:rsid w:val="00E3130A"/>
    <w:rsid w:val="00E37B65"/>
    <w:rsid w:val="00E41E79"/>
    <w:rsid w:val="00E432A9"/>
    <w:rsid w:val="00E510B6"/>
    <w:rsid w:val="00E52E1D"/>
    <w:rsid w:val="00E53CCB"/>
    <w:rsid w:val="00E54925"/>
    <w:rsid w:val="00E57DCD"/>
    <w:rsid w:val="00E829E6"/>
    <w:rsid w:val="00E85218"/>
    <w:rsid w:val="00E85A55"/>
    <w:rsid w:val="00E9579E"/>
    <w:rsid w:val="00EA0FD4"/>
    <w:rsid w:val="00EA227B"/>
    <w:rsid w:val="00EA4F07"/>
    <w:rsid w:val="00EA619F"/>
    <w:rsid w:val="00EA657B"/>
    <w:rsid w:val="00EA7367"/>
    <w:rsid w:val="00EB0ECA"/>
    <w:rsid w:val="00EB37F6"/>
    <w:rsid w:val="00EB4A7C"/>
    <w:rsid w:val="00ED7A3A"/>
    <w:rsid w:val="00EE0DDE"/>
    <w:rsid w:val="00EE2E2D"/>
    <w:rsid w:val="00EE7F0D"/>
    <w:rsid w:val="00F01851"/>
    <w:rsid w:val="00F03F35"/>
    <w:rsid w:val="00F104EF"/>
    <w:rsid w:val="00F11399"/>
    <w:rsid w:val="00F2158C"/>
    <w:rsid w:val="00F2305F"/>
    <w:rsid w:val="00F238D6"/>
    <w:rsid w:val="00F303C5"/>
    <w:rsid w:val="00F31481"/>
    <w:rsid w:val="00F327E3"/>
    <w:rsid w:val="00F41D62"/>
    <w:rsid w:val="00F47EB0"/>
    <w:rsid w:val="00F50D4B"/>
    <w:rsid w:val="00F55FA3"/>
    <w:rsid w:val="00F661C7"/>
    <w:rsid w:val="00F709BD"/>
    <w:rsid w:val="00F711B5"/>
    <w:rsid w:val="00F80CC8"/>
    <w:rsid w:val="00F82F77"/>
    <w:rsid w:val="00F8425D"/>
    <w:rsid w:val="00F90752"/>
    <w:rsid w:val="00F96F0B"/>
    <w:rsid w:val="00FA41FB"/>
    <w:rsid w:val="00FA62F0"/>
    <w:rsid w:val="00FA6598"/>
    <w:rsid w:val="00FA681D"/>
    <w:rsid w:val="00FB493A"/>
    <w:rsid w:val="00FC014E"/>
    <w:rsid w:val="00FC34C3"/>
    <w:rsid w:val="00FD4773"/>
    <w:rsid w:val="00FE4A72"/>
    <w:rsid w:val="00FE5C1D"/>
    <w:rsid w:val="00FE7253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  <w:style w:type="paragraph" w:customStyle="1" w:styleId="ConsPlusNonformat">
    <w:name w:val="ConsPlusNonformat"/>
    <w:uiPriority w:val="99"/>
    <w:rsid w:val="00796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88C9-6EA3-4661-BB3A-27DCD8AD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KSP</cp:lastModifiedBy>
  <cp:revision>3</cp:revision>
  <cp:lastPrinted>2014-12-22T07:43:00Z</cp:lastPrinted>
  <dcterms:created xsi:type="dcterms:W3CDTF">2014-12-30T06:27:00Z</dcterms:created>
  <dcterms:modified xsi:type="dcterms:W3CDTF">2014-12-30T08:43:00Z</dcterms:modified>
</cp:coreProperties>
</file>