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_rels/document.xml.rels" ContentType="application/vnd.openxmlformats-package.relationships+xml"/>
  <Override PartName="/word/embeddings/_____Microsoft_Excel8.xlsx" ContentType="application/vnd.openxmlformats-officedocument.spreadsheetml.sheet"/>
  <Override PartName="/word/embeddings/_____Microsoft_Excel11.xlsx" ContentType="application/vnd.openxmlformats-officedocument.spreadsheetml.sheet"/>
  <Override PartName="/word/embeddings/_____Microsoft_Excel4.xlsx" ContentType="application/vnd.openxmlformats-officedocument.spreadsheetml.sheet"/>
  <Override PartName="/word/embeddings/_____Microsoft_Excel12.xlsx" ContentType="application/vnd.openxmlformats-officedocument.spreadsheetml.sheet"/>
  <Override PartName="/word/embeddings/_____Microsoft_Excel1.xlsx" ContentType="application/vnd.openxmlformats-officedocument.spreadsheetml.sheet"/>
  <Override PartName="/word/embeddings/_____Microsoft_Excel9.xlsx" ContentType="application/vnd.openxmlformats-officedocument.spreadsheetml.sheet"/>
  <Override PartName="/word/embeddings/_____Microsoft_Excel5.xlsx" ContentType="application/vnd.openxmlformats-officedocument.spreadsheetml.sheet"/>
  <Override PartName="/word/embeddings/_____Microsoft_Excel6.xlsx" ContentType="application/vnd.openxmlformats-officedocument.spreadsheetml.sheet"/>
  <Override PartName="/word/embeddings/_____Microsoft_Excel2.xlsx" ContentType="application/vnd.openxmlformats-officedocument.spreadsheetml.sheet"/>
  <Override PartName="/word/embeddings/_____Microsoft_Excel10.xlsx" ContentType="application/vnd.openxmlformats-officedocument.spreadsheetml.sheet"/>
  <Override PartName="/word/embeddings/_____Microsoft_Excel7.xlsx" ContentType="application/vnd.openxmlformats-officedocument.spreadsheetml.sheet"/>
  <Override PartName="/word/embeddings/_____Microsoft_Excel.xlsx" ContentType="application/vnd.openxmlformats-officedocument.spreadsheetml.sheet"/>
  <Override PartName="/word/embeddings/_____Microsoft_Excel3.xlsx" ContentType="application/vnd.openxmlformats-officedocument.spreadsheetml.sheet"/>
  <Override PartName="/word/settings.xml" ContentType="application/vnd.openxmlformats-officedocument.wordprocessingml.settings+xml"/>
  <Override PartName="/word/fontTable.xml" ContentType="application/vnd.openxmlformats-officedocument.wordprocessingml.fontTable+xml"/>
  <Override PartName="/word/header1.xml" ContentType="application/vnd.openxmlformats-officedocument.wordprocessingml.header+xml"/>
  <Override PartName="/word/charts/chart29.xml" ContentType="application/vnd.openxmlformats-officedocument.drawingml.chart+xml"/>
  <Override PartName="/word/charts/chart28.xml" ContentType="application/vnd.openxmlformats-officedocument.drawingml.chart+xml"/>
  <Override PartName="/word/charts/chart27.xml" ContentType="application/vnd.openxmlformats-officedocument.drawingml.chart+xml"/>
  <Override PartName="/word/charts/chart22.xml" ContentType="application/vnd.openxmlformats-officedocument.drawingml.chart+xml"/>
  <Override PartName="/word/charts/chart21.xml" ContentType="application/vnd.openxmlformats-officedocument.drawingml.chart+xml"/>
  <Override PartName="/word/charts/chart20.xml" ContentType="application/vnd.openxmlformats-officedocument.drawingml.chart+xml"/>
  <Override PartName="/word/charts/_rels/chart27.xml.rels" ContentType="application/vnd.openxmlformats-package.relationships+xml"/>
  <Override PartName="/word/charts/_rels/chart26.xml.rels" ContentType="application/vnd.openxmlformats-package.relationships+xml"/>
  <Override PartName="/word/charts/_rels/chart25.xml.rels" ContentType="application/vnd.openxmlformats-package.relationships+xml"/>
  <Override PartName="/word/charts/_rels/chart30.xml.rels" ContentType="application/vnd.openxmlformats-package.relationships+xml"/>
  <Override PartName="/word/charts/_rels/chart24.xml.rels" ContentType="application/vnd.openxmlformats-package.relationships+xml"/>
  <Override PartName="/word/charts/_rels/chart29.xml.rels" ContentType="application/vnd.openxmlformats-package.relationships+xml"/>
  <Override PartName="/word/charts/_rels/chart21.xml.rels" ContentType="application/vnd.openxmlformats-package.relationships+xml"/>
  <Override PartName="/word/charts/_rels/chart19.xml.rels" ContentType="application/vnd.openxmlformats-package.relationships+xml"/>
  <Override PartName="/word/charts/_rels/chart18.xml.rels" ContentType="application/vnd.openxmlformats-package.relationships+xml"/>
  <Override PartName="/word/charts/_rels/chart23.xml.rels" ContentType="application/vnd.openxmlformats-package.relationships+xml"/>
  <Override PartName="/word/charts/_rels/chart17.xml.rels" ContentType="application/vnd.openxmlformats-package.relationships+xml"/>
  <Override PartName="/word/charts/_rels/chart22.xml.rels" ContentType="application/vnd.openxmlformats-package.relationships+xml"/>
  <Override PartName="/word/charts/_rels/chart16.xml.rels" ContentType="application/vnd.openxmlformats-package.relationships+xml"/>
  <Override PartName="/word/charts/chart26.xml" ContentType="application/vnd.openxmlformats-officedocument.drawingml.chart+xml"/>
  <Override PartName="/word/charts/chart19.xml" ContentType="application/vnd.openxmlformats-officedocument.drawingml.chart+xml"/>
  <Override PartName="/word/charts/chart25.xml" ContentType="application/vnd.openxmlformats-officedocument.drawingml.chart+xml"/>
  <Override PartName="/word/charts/chart18.xml" ContentType="application/vnd.openxmlformats-officedocument.drawingml.chart+xml"/>
  <Override PartName="/word/charts/chart24.xml" ContentType="application/vnd.openxmlformats-officedocument.drawingml.chart+xml"/>
  <Override PartName="/word/charts/chart17.xml" ContentType="application/vnd.openxmlformats-officedocument.drawingml.chart+xml"/>
  <Override PartName="/word/charts/chart30.xml" ContentType="application/vnd.openxmlformats-officedocument.drawingml.chart+xml"/>
  <Override PartName="/word/charts/chart23.xml" ContentType="application/vnd.openxmlformats-officedocument.drawingml.chart+xml"/>
  <Override PartName="/word/charts/chart16.xml" ContentType="application/vnd.openxmlformats-officedocument.drawingml.chart+xml"/>
  <Override PartName="/word/media/image4.jpeg" ContentType="image/jpeg"/>
  <Override PartName="/word/media/image3.jpeg" ContentType="image/jpeg"/>
  <Override PartName="/word/media/image2.jpeg" ContentType="image/jpeg"/>
  <Override PartName="/word/media/image1.wmf" ContentType="image/x-wmf"/>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yle22"/>
        <w:ind w:right="175" w:firstLine="708"/>
        <w:jc w:val="right"/>
        <w:rPr>
          <w:b/>
          <w:b/>
          <w:sz w:val="32"/>
        </w:rPr>
      </w:pPr>
      <w:r>
        <w:rPr>
          <w:b/>
          <w:sz w:val="32"/>
        </w:rPr>
        <w:t>Проект</w:t>
      </w:r>
    </w:p>
    <w:p>
      <w:pPr>
        <w:pStyle w:val="Style22"/>
        <w:rPr>
          <w:sz w:val="30"/>
        </w:rPr>
      </w:pPr>
      <w:r>
        <w:rPr>
          <w:sz w:val="30"/>
        </w:rPr>
      </w:r>
    </w:p>
    <w:p>
      <w:pPr>
        <w:pStyle w:val="Style22"/>
        <w:rPr>
          <w:sz w:val="30"/>
        </w:rPr>
      </w:pPr>
      <w:r>
        <w:rPr>
          <w:sz w:val="30"/>
        </w:rPr>
      </w:r>
    </w:p>
    <w:p>
      <w:pPr>
        <w:pStyle w:val="Style22"/>
        <w:rPr>
          <w:sz w:val="30"/>
        </w:rPr>
      </w:pPr>
      <w:r>
        <w:rPr>
          <w:sz w:val="30"/>
        </w:rPr>
      </w:r>
    </w:p>
    <w:p>
      <w:pPr>
        <w:pStyle w:val="Style22"/>
        <w:rPr>
          <w:sz w:val="30"/>
        </w:rPr>
      </w:pPr>
      <w:r>
        <w:rPr>
          <w:sz w:val="30"/>
        </w:rPr>
      </w:r>
    </w:p>
    <w:p>
      <w:pPr>
        <w:pStyle w:val="Style22"/>
        <w:rPr>
          <w:sz w:val="30"/>
        </w:rPr>
      </w:pPr>
      <w:r>
        <w:rPr>
          <w:sz w:val="30"/>
        </w:rPr>
      </w:r>
    </w:p>
    <w:p>
      <w:pPr>
        <w:pStyle w:val="Style22"/>
        <w:rPr>
          <w:sz w:val="30"/>
        </w:rPr>
      </w:pPr>
      <w:r>
        <w:rPr>
          <w:sz w:val="30"/>
        </w:rPr>
      </w:r>
    </w:p>
    <w:p>
      <w:pPr>
        <w:pStyle w:val="Style22"/>
        <w:rPr>
          <w:sz w:val="30"/>
        </w:rPr>
      </w:pPr>
      <w:r>
        <w:rPr>
          <w:sz w:val="30"/>
        </w:rPr>
      </w:r>
    </w:p>
    <w:p>
      <w:pPr>
        <w:pStyle w:val="Style22"/>
        <w:rPr>
          <w:sz w:val="30"/>
        </w:rPr>
      </w:pPr>
      <w:r>
        <w:rPr>
          <w:sz w:val="30"/>
        </w:rPr>
      </w:r>
    </w:p>
    <w:p>
      <w:pPr>
        <w:pStyle w:val="Style22"/>
        <w:rPr>
          <w:sz w:val="38"/>
        </w:rPr>
      </w:pPr>
      <w:r>
        <w:rPr>
          <w:sz w:val="38"/>
        </w:rPr>
      </w:r>
    </w:p>
    <w:p>
      <w:pPr>
        <w:pStyle w:val="Normal"/>
        <w:spacing w:lineRule="auto" w:line="240" w:before="0" w:after="0"/>
        <w:jc w:val="center"/>
        <w:rPr>
          <w:rFonts w:ascii="Times New Roman" w:hAnsi="Times New Roman" w:cs="Times New Roman"/>
          <w:b/>
          <w:b/>
          <w:sz w:val="36"/>
        </w:rPr>
      </w:pPr>
      <w:r>
        <w:rPr>
          <w:rFonts w:cs="Times New Roman" w:ascii="Times New Roman" w:hAnsi="Times New Roman"/>
          <w:b/>
          <w:sz w:val="36"/>
        </w:rPr>
        <w:t xml:space="preserve">СТРАТЕГИЯ </w:t>
      </w:r>
    </w:p>
    <w:p>
      <w:pPr>
        <w:pStyle w:val="Normal"/>
        <w:spacing w:lineRule="auto" w:line="240" w:before="0" w:after="0"/>
        <w:jc w:val="center"/>
        <w:rPr>
          <w:rFonts w:ascii="Times New Roman" w:hAnsi="Times New Roman" w:cs="Times New Roman"/>
          <w:sz w:val="36"/>
        </w:rPr>
      </w:pPr>
      <w:r>
        <w:rPr>
          <w:rFonts w:cs="Times New Roman" w:ascii="Times New Roman" w:hAnsi="Times New Roman"/>
          <w:sz w:val="36"/>
        </w:rPr>
        <w:t>социально-экономического развития города-курорта Железноводска Ставропольского края на период до 2035 года</w:t>
      </w:r>
    </w:p>
    <w:p>
      <w:pPr>
        <w:pStyle w:val="Style22"/>
        <w:rPr>
          <w:sz w:val="62"/>
        </w:rPr>
      </w:pPr>
      <w:r>
        <w:rPr>
          <w:sz w:val="62"/>
        </w:rPr>
      </w:r>
    </w:p>
    <w:p>
      <w:pPr>
        <w:pStyle w:val="Style22"/>
        <w:rPr>
          <w:sz w:val="62"/>
        </w:rPr>
      </w:pPr>
      <w:r>
        <w:rPr>
          <w:sz w:val="62"/>
        </w:rPr>
      </w:r>
    </w:p>
    <w:p>
      <w:pPr>
        <w:pStyle w:val="Style22"/>
        <w:rPr>
          <w:sz w:val="62"/>
        </w:rPr>
      </w:pPr>
      <w:r>
        <w:rPr>
          <w:sz w:val="62"/>
        </w:rPr>
      </w:r>
    </w:p>
    <w:p>
      <w:pPr>
        <w:pStyle w:val="Style22"/>
        <w:rPr>
          <w:sz w:val="62"/>
        </w:rPr>
      </w:pPr>
      <w:r>
        <w:rPr>
          <w:sz w:val="62"/>
        </w:rPr>
      </w:r>
    </w:p>
    <w:p>
      <w:pPr>
        <w:pStyle w:val="Style22"/>
        <w:ind w:left="350" w:right="602" w:hanging="0"/>
        <w:jc w:val="center"/>
        <w:rPr>
          <w:sz w:val="24"/>
        </w:rPr>
      </w:pPr>
      <w:r>
        <w:rPr>
          <w:sz w:val="24"/>
        </w:rPr>
      </w:r>
    </w:p>
    <w:p>
      <w:pPr>
        <w:pStyle w:val="Style22"/>
        <w:ind w:left="350" w:right="602" w:hanging="0"/>
        <w:jc w:val="center"/>
        <w:rPr>
          <w:sz w:val="24"/>
        </w:rPr>
      </w:pPr>
      <w:r>
        <w:rPr>
          <w:sz w:val="24"/>
        </w:rPr>
      </w:r>
    </w:p>
    <w:p>
      <w:pPr>
        <w:pStyle w:val="Style22"/>
        <w:rPr>
          <w:sz w:val="24"/>
        </w:rPr>
      </w:pPr>
      <w:r>
        <w:rPr>
          <w:sz w:val="24"/>
        </w:rPr>
      </w:r>
    </w:p>
    <w:p>
      <w:pPr>
        <w:pStyle w:val="Style22"/>
        <w:rPr>
          <w:sz w:val="24"/>
        </w:rPr>
      </w:pPr>
      <w:r>
        <w:rPr>
          <w:sz w:val="24"/>
        </w:rPr>
      </w:r>
    </w:p>
    <w:p>
      <w:pPr>
        <w:pStyle w:val="Style22"/>
        <w:rPr>
          <w:sz w:val="24"/>
        </w:rPr>
      </w:pPr>
      <w:r>
        <w:rPr>
          <w:sz w:val="24"/>
        </w:rPr>
      </w:r>
    </w:p>
    <w:p>
      <w:pPr>
        <w:pStyle w:val="Style22"/>
        <w:rPr>
          <w:sz w:val="24"/>
        </w:rPr>
      </w:pPr>
      <w:r>
        <w:rPr>
          <w:sz w:val="24"/>
        </w:rPr>
      </w:r>
    </w:p>
    <w:p>
      <w:pPr>
        <w:pStyle w:val="Style22"/>
        <w:rPr>
          <w:sz w:val="24"/>
        </w:rPr>
      </w:pPr>
      <w:r>
        <w:rPr>
          <w:sz w:val="24"/>
        </w:rPr>
      </w:r>
    </w:p>
    <w:p>
      <w:pPr>
        <w:pStyle w:val="Style22"/>
        <w:rPr>
          <w:sz w:val="24"/>
        </w:rPr>
      </w:pPr>
      <w:r>
        <w:rPr>
          <w:sz w:val="24"/>
        </w:rPr>
      </w:r>
    </w:p>
    <w:p>
      <w:pPr>
        <w:pStyle w:val="Style22"/>
        <w:rPr>
          <w:sz w:val="24"/>
        </w:rPr>
      </w:pPr>
      <w:r>
        <w:rPr>
          <w:sz w:val="24"/>
        </w:rPr>
      </w:r>
    </w:p>
    <w:p>
      <w:pPr>
        <w:pStyle w:val="Style22"/>
        <w:rPr>
          <w:sz w:val="24"/>
        </w:rPr>
      </w:pPr>
      <w:r>
        <w:rPr>
          <w:sz w:val="24"/>
        </w:rPr>
      </w:r>
    </w:p>
    <w:p>
      <w:pPr>
        <w:pStyle w:val="Style22"/>
        <w:rPr>
          <w:sz w:val="24"/>
        </w:rPr>
      </w:pPr>
      <w:r>
        <w:rPr>
          <w:sz w:val="24"/>
        </w:rPr>
      </w:r>
    </w:p>
    <w:p>
      <w:pPr>
        <w:pStyle w:val="Style22"/>
        <w:rPr>
          <w:sz w:val="24"/>
        </w:rPr>
      </w:pPr>
      <w:r>
        <w:rPr>
          <w:sz w:val="24"/>
        </w:rPr>
      </w:r>
    </w:p>
    <w:p>
      <w:pPr>
        <w:pStyle w:val="Style22"/>
        <w:rPr>
          <w:sz w:val="24"/>
        </w:rPr>
      </w:pPr>
      <w:r>
        <w:rPr>
          <w:sz w:val="24"/>
        </w:rPr>
      </w:r>
    </w:p>
    <w:p>
      <w:pPr>
        <w:pStyle w:val="Style22"/>
        <w:rPr>
          <w:sz w:val="24"/>
        </w:rPr>
      </w:pPr>
      <w:r>
        <w:rPr>
          <w:sz w:val="24"/>
        </w:rPr>
      </w:r>
    </w:p>
    <w:p>
      <w:pPr>
        <w:pStyle w:val="Style22"/>
        <w:rPr>
          <w:sz w:val="24"/>
        </w:rPr>
      </w:pPr>
      <w:r>
        <w:rPr>
          <w:sz w:val="24"/>
        </w:rPr>
      </w:r>
    </w:p>
    <w:p>
      <w:pPr>
        <w:pStyle w:val="Style22"/>
        <w:tabs>
          <w:tab w:val="left" w:pos="4260" w:leader="none"/>
        </w:tabs>
        <w:rPr>
          <w:sz w:val="24"/>
        </w:rPr>
      </w:pPr>
      <w:r>
        <w:rPr>
          <w:sz w:val="24"/>
        </w:rPr>
      </w:r>
    </w:p>
    <w:p>
      <w:pPr>
        <w:pStyle w:val="Style22"/>
        <w:ind w:left="350" w:right="602" w:hanging="0"/>
        <w:jc w:val="center"/>
        <w:rPr>
          <w:sz w:val="24"/>
        </w:rPr>
      </w:pPr>
      <w:r>
        <w:rPr>
          <w:sz w:val="24"/>
        </w:rPr>
      </w:r>
    </w:p>
    <w:p>
      <w:pPr>
        <w:pStyle w:val="Style22"/>
        <w:ind w:left="350" w:right="602" w:hanging="0"/>
        <w:jc w:val="center"/>
        <w:rPr>
          <w:sz w:val="24"/>
        </w:rPr>
      </w:pPr>
      <w:r>
        <w:rPr>
          <w:sz w:val="24"/>
        </w:rPr>
      </w:r>
    </w:p>
    <w:p>
      <w:pPr>
        <w:pStyle w:val="Style22"/>
        <w:ind w:left="350" w:right="602" w:hanging="0"/>
        <w:jc w:val="center"/>
        <w:rPr>
          <w:sz w:val="24"/>
        </w:rPr>
      </w:pPr>
      <w:r>
        <w:rPr>
          <w:sz w:val="24"/>
        </w:rPr>
      </w:r>
    </w:p>
    <w:p>
      <w:pPr>
        <w:pStyle w:val="Style22"/>
        <w:ind w:left="350" w:right="602" w:hanging="0"/>
        <w:jc w:val="center"/>
        <w:rPr>
          <w:sz w:val="24"/>
        </w:rPr>
      </w:pPr>
      <w:r>
        <w:rPr>
          <w:sz w:val="24"/>
        </w:rPr>
      </w:r>
    </w:p>
    <w:p>
      <w:pPr>
        <w:pStyle w:val="Style22"/>
        <w:ind w:left="350" w:right="602" w:hanging="0"/>
        <w:jc w:val="center"/>
        <w:rPr>
          <w:sz w:val="24"/>
        </w:rPr>
      </w:pPr>
      <w:r>
        <w:rPr>
          <w:sz w:val="24"/>
        </w:rPr>
      </w:r>
    </w:p>
    <w:p>
      <w:pPr>
        <w:pStyle w:val="Style22"/>
        <w:ind w:left="350" w:right="602" w:hanging="0"/>
        <w:jc w:val="center"/>
        <w:rPr>
          <w:sz w:val="24"/>
        </w:rPr>
      </w:pPr>
      <w:r>
        <w:rPr>
          <w:sz w:val="24"/>
        </w:rPr>
      </w:r>
    </w:p>
    <w:p>
      <w:pPr>
        <w:pStyle w:val="Style22"/>
        <w:ind w:left="350" w:right="602" w:hanging="0"/>
        <w:jc w:val="center"/>
        <w:rPr>
          <w:sz w:val="24"/>
        </w:rPr>
      </w:pPr>
      <w:r>
        <w:rPr>
          <w:sz w:val="24"/>
        </w:rPr>
      </w:r>
    </w:p>
    <w:p>
      <w:pPr>
        <w:sectPr>
          <w:type w:val="nextPage"/>
          <w:pgSz w:w="11906" w:h="16838"/>
          <w:pgMar w:left="1701" w:right="570" w:header="0" w:top="1134" w:footer="0" w:bottom="1276" w:gutter="0"/>
          <w:pgNumType w:start="1" w:fmt="decimal"/>
          <w:formProt w:val="false"/>
          <w:textDirection w:val="lrTb"/>
          <w:docGrid w:type="default" w:linePitch="299" w:charSpace="4294965247"/>
        </w:sectPr>
        <w:pStyle w:val="Style22"/>
        <w:ind w:left="350" w:right="602" w:hanging="0"/>
        <w:jc w:val="center"/>
        <w:rPr>
          <w:sz w:val="28"/>
          <w:szCs w:val="28"/>
        </w:rPr>
      </w:pPr>
      <w:r>
        <w:rPr>
          <w:sz w:val="28"/>
          <w:szCs w:val="28"/>
        </w:rPr>
        <w:t>Железноводск, 2019</w:t>
      </w:r>
    </w:p>
    <w:sdt>
      <w:sdtPr>
        <w:docPartObj>
          <w:docPartGallery w:val="Table of Contents"/>
          <w:docPartUnique w:val=""/>
        </w:docPartObj>
        <w:id w:val="974381438"/>
      </w:sdtPr>
      <w:sdtContent>
        <w:p>
          <w:pPr>
            <w:pStyle w:val="Style33"/>
            <w:jc w:val="center"/>
            <w:rPr>
              <w:rFonts w:ascii="Times New Roman" w:hAnsi="Times New Roman" w:cs="Times New Roman"/>
              <w:b/>
              <w:b/>
              <w:color w:val="000000" w:themeColor="text1"/>
              <w:sz w:val="28"/>
              <w:szCs w:val="28"/>
            </w:rPr>
          </w:pPr>
          <w:r>
            <w:rPr>
              <w:rFonts w:cs="Times New Roman" w:ascii="Times New Roman" w:hAnsi="Times New Roman"/>
              <w:b/>
              <w:color w:val="000000" w:themeColor="text1"/>
              <w:sz w:val="28"/>
              <w:szCs w:val="28"/>
            </w:rPr>
            <w:t>СОДЕРЖАНИЕ</w:t>
          </w:r>
        </w:p>
        <w:p>
          <w:pPr>
            <w:pStyle w:val="Normal"/>
            <w:rPr/>
          </w:pPr>
          <w:r>
            <w:rPr/>
          </w:r>
        </w:p>
        <w:p>
          <w:pPr>
            <w:pStyle w:val="33"/>
            <w:rPr>
              <w:rFonts w:eastAsia="" w:eastAsiaTheme="minorEastAsia"/>
              <w:lang w:eastAsia="ru-RU"/>
            </w:rPr>
          </w:pPr>
          <w:r>
            <w:fldChar w:fldCharType="begin"/>
          </w:r>
          <w:r>
            <w:instrText> TOC \z \o "1-3" \u \h</w:instrText>
          </w:r>
          <w:r>
            <w:fldChar w:fldCharType="separate"/>
          </w:r>
          <w:hyperlink w:anchor="_Toc11337733">
            <w:r>
              <w:rPr>
                <w:webHidden/>
                <w:rStyle w:val="Style20"/>
              </w:rPr>
              <w:t>ВВЕДЕНИЕ</w:t>
            </w:r>
            <w:r>
              <w:rPr>
                <w:webHidden/>
              </w:rPr>
              <w:fldChar w:fldCharType="begin"/>
            </w:r>
            <w:r>
              <w:rPr>
                <w:webHidden/>
              </w:rPr>
              <w:instrText>PAGEREF _Toc11337733 \h</w:instrText>
            </w:r>
            <w:r>
              <w:rPr>
                <w:webHidden/>
              </w:rPr>
              <w:fldChar w:fldCharType="separate"/>
            </w:r>
            <w:r>
              <w:rPr>
                <w:rStyle w:val="Style20"/>
                <w:vanish w:val="false"/>
              </w:rPr>
              <w:tab/>
              <w:t>4</w:t>
            </w:r>
            <w:r>
              <w:rPr>
                <w:webHidden/>
              </w:rPr>
              <w:fldChar w:fldCharType="end"/>
            </w:r>
          </w:hyperlink>
        </w:p>
        <w:p>
          <w:pPr>
            <w:pStyle w:val="33"/>
            <w:rPr>
              <w:rFonts w:eastAsia="" w:eastAsiaTheme="minorEastAsia"/>
              <w:lang w:eastAsia="ru-RU"/>
            </w:rPr>
          </w:pPr>
          <w:hyperlink w:anchor="_Toc11337734">
            <w:r>
              <w:rPr>
                <w:webHidden/>
                <w:rStyle w:val="Style20"/>
              </w:rPr>
              <w:t>1. СТРАТЕГИЧЕСКИЙ АНАЛИЗ СОЦИАЛЬНО-ЭКОНОМИЧЕСКОГО РАЗВИТИЯ ГОРОДА-КУРОРТА ЖЕЛЕЗНОВОДСКА СТАВРОПОЛЬСКОГО КРАЯ</w:t>
            </w:r>
            <w:r>
              <w:rPr>
                <w:webHidden/>
              </w:rPr>
              <w:fldChar w:fldCharType="begin"/>
            </w:r>
            <w:r>
              <w:rPr>
                <w:webHidden/>
              </w:rPr>
              <w:instrText>PAGEREF _Toc11337734 \h</w:instrText>
            </w:r>
            <w:r>
              <w:rPr>
                <w:webHidden/>
              </w:rPr>
              <w:fldChar w:fldCharType="separate"/>
            </w:r>
            <w:r>
              <w:rPr>
                <w:rStyle w:val="Style20"/>
                <w:vanish w:val="false"/>
              </w:rPr>
              <w:tab/>
              <w:t>6</w:t>
            </w:r>
            <w:r>
              <w:rPr>
                <w:webHidden/>
              </w:rPr>
              <w:fldChar w:fldCharType="end"/>
            </w:r>
          </w:hyperlink>
        </w:p>
        <w:p>
          <w:pPr>
            <w:pStyle w:val="33"/>
            <w:rPr>
              <w:rFonts w:eastAsia="" w:eastAsiaTheme="minorEastAsia"/>
              <w:lang w:eastAsia="ru-RU"/>
            </w:rPr>
          </w:pPr>
          <w:hyperlink w:anchor="_Toc11337735">
            <w:r>
              <w:rPr>
                <w:webHidden/>
                <w:rStyle w:val="Style20"/>
              </w:rPr>
              <w:t>1.1 Краткая характеристика города-курорта Железноводска Ставропольского края</w:t>
            </w:r>
            <w:r>
              <w:rPr>
                <w:webHidden/>
              </w:rPr>
              <w:fldChar w:fldCharType="begin"/>
            </w:r>
            <w:r>
              <w:rPr>
                <w:webHidden/>
              </w:rPr>
              <w:instrText>PAGEREF _Toc11337735 \h</w:instrText>
            </w:r>
            <w:r>
              <w:rPr>
                <w:webHidden/>
              </w:rPr>
              <w:fldChar w:fldCharType="separate"/>
            </w:r>
            <w:r>
              <w:rPr>
                <w:rStyle w:val="Style20"/>
                <w:vanish w:val="false"/>
              </w:rPr>
              <w:tab/>
              <w:t>6</w:t>
            </w:r>
            <w:r>
              <w:rPr>
                <w:webHidden/>
              </w:rPr>
              <w:fldChar w:fldCharType="end"/>
            </w:r>
          </w:hyperlink>
        </w:p>
        <w:p>
          <w:pPr>
            <w:pStyle w:val="33"/>
            <w:rPr>
              <w:rFonts w:eastAsia="" w:eastAsiaTheme="minorEastAsia"/>
              <w:lang w:eastAsia="ru-RU"/>
            </w:rPr>
          </w:pPr>
          <w:hyperlink w:anchor="_Toc11337736">
            <w:r>
              <w:rPr>
                <w:webHidden/>
                <w:rStyle w:val="Style20"/>
              </w:rPr>
              <w:t>1.1.1 Географическое положение</w:t>
            </w:r>
            <w:r>
              <w:rPr>
                <w:webHidden/>
              </w:rPr>
              <w:fldChar w:fldCharType="begin"/>
            </w:r>
            <w:r>
              <w:rPr>
                <w:webHidden/>
              </w:rPr>
              <w:instrText>PAGEREF _Toc11337736 \h</w:instrText>
            </w:r>
            <w:r>
              <w:rPr>
                <w:webHidden/>
              </w:rPr>
              <w:fldChar w:fldCharType="separate"/>
            </w:r>
            <w:r>
              <w:rPr>
                <w:rStyle w:val="Style20"/>
                <w:vanish w:val="false"/>
              </w:rPr>
              <w:tab/>
              <w:t>6</w:t>
            </w:r>
            <w:r>
              <w:rPr>
                <w:webHidden/>
              </w:rPr>
              <w:fldChar w:fldCharType="end"/>
            </w:r>
          </w:hyperlink>
        </w:p>
        <w:p>
          <w:pPr>
            <w:pStyle w:val="33"/>
            <w:rPr>
              <w:rFonts w:eastAsia="" w:eastAsiaTheme="minorEastAsia"/>
              <w:lang w:eastAsia="ru-RU"/>
            </w:rPr>
          </w:pPr>
          <w:hyperlink w:anchor="_Toc11337737">
            <w:r>
              <w:rPr>
                <w:webHidden/>
                <w:rStyle w:val="Style20"/>
              </w:rPr>
              <w:t>1.1.2 Природные ресурсы и экология</w:t>
            </w:r>
            <w:r>
              <w:rPr>
                <w:webHidden/>
              </w:rPr>
              <w:fldChar w:fldCharType="begin"/>
            </w:r>
            <w:r>
              <w:rPr>
                <w:webHidden/>
              </w:rPr>
              <w:instrText>PAGEREF _Toc11337737 \h</w:instrText>
            </w:r>
            <w:r>
              <w:rPr>
                <w:webHidden/>
              </w:rPr>
              <w:fldChar w:fldCharType="separate"/>
            </w:r>
            <w:r>
              <w:rPr>
                <w:rStyle w:val="Style20"/>
                <w:vanish w:val="false"/>
              </w:rPr>
              <w:tab/>
              <w:t>8</w:t>
            </w:r>
            <w:r>
              <w:rPr>
                <w:webHidden/>
              </w:rPr>
              <w:fldChar w:fldCharType="end"/>
            </w:r>
          </w:hyperlink>
        </w:p>
        <w:p>
          <w:pPr>
            <w:pStyle w:val="33"/>
            <w:rPr>
              <w:rFonts w:eastAsia="" w:eastAsiaTheme="minorEastAsia"/>
              <w:lang w:eastAsia="ru-RU"/>
            </w:rPr>
          </w:pPr>
          <w:hyperlink w:anchor="_Toc11337738">
            <w:r>
              <w:rPr>
                <w:webHidden/>
                <w:rStyle w:val="Style20"/>
                <w:rFonts w:eastAsia="Symbol"/>
              </w:rPr>
              <w:t>1.2 Конкурентные преимущества и потенциал города-курорта Железноводска</w:t>
            </w:r>
            <w:r>
              <w:rPr>
                <w:webHidden/>
              </w:rPr>
              <w:fldChar w:fldCharType="begin"/>
            </w:r>
            <w:r>
              <w:rPr>
                <w:webHidden/>
              </w:rPr>
              <w:instrText>PAGEREF _Toc11337738 \h</w:instrText>
            </w:r>
            <w:r>
              <w:rPr>
                <w:webHidden/>
              </w:rPr>
              <w:fldChar w:fldCharType="separate"/>
            </w:r>
            <w:r>
              <w:rPr>
                <w:rStyle w:val="Style20"/>
                <w:vanish w:val="false"/>
              </w:rPr>
              <w:tab/>
              <w:t>10</w:t>
            </w:r>
            <w:r>
              <w:rPr>
                <w:webHidden/>
              </w:rPr>
              <w:fldChar w:fldCharType="end"/>
            </w:r>
          </w:hyperlink>
        </w:p>
        <w:p>
          <w:pPr>
            <w:pStyle w:val="33"/>
            <w:rPr>
              <w:rFonts w:eastAsia="" w:eastAsiaTheme="minorEastAsia"/>
              <w:lang w:eastAsia="ru-RU"/>
            </w:rPr>
          </w:pPr>
          <w:hyperlink w:anchor="_Toc11337739">
            <w:r>
              <w:rPr>
                <w:webHidden/>
                <w:rStyle w:val="Style20"/>
                <w:rFonts w:eastAsia="Symbol"/>
              </w:rPr>
              <w:t>1.2.1 Анализ экономического потенциала</w:t>
            </w:r>
            <w:r>
              <w:rPr>
                <w:webHidden/>
              </w:rPr>
              <w:fldChar w:fldCharType="begin"/>
            </w:r>
            <w:r>
              <w:rPr>
                <w:webHidden/>
              </w:rPr>
              <w:instrText>PAGEREF _Toc11337739 \h</w:instrText>
            </w:r>
            <w:r>
              <w:rPr>
                <w:webHidden/>
              </w:rPr>
              <w:fldChar w:fldCharType="separate"/>
            </w:r>
            <w:r>
              <w:rPr>
                <w:rStyle w:val="Style20"/>
                <w:vanish w:val="false"/>
              </w:rPr>
              <w:tab/>
              <w:t>10</w:t>
            </w:r>
            <w:r>
              <w:rPr>
                <w:webHidden/>
              </w:rPr>
              <w:fldChar w:fldCharType="end"/>
            </w:r>
          </w:hyperlink>
        </w:p>
        <w:p>
          <w:pPr>
            <w:pStyle w:val="33"/>
            <w:rPr>
              <w:rFonts w:eastAsia="" w:eastAsiaTheme="minorEastAsia"/>
              <w:lang w:eastAsia="ru-RU"/>
            </w:rPr>
          </w:pPr>
          <w:hyperlink w:anchor="_Toc11337740">
            <w:r>
              <w:rPr>
                <w:webHidden/>
                <w:rStyle w:val="Style20"/>
              </w:rPr>
              <w:t>1.2.2 Анализ человеческого потенциала</w:t>
            </w:r>
            <w:r>
              <w:rPr>
                <w:webHidden/>
              </w:rPr>
              <w:fldChar w:fldCharType="begin"/>
            </w:r>
            <w:r>
              <w:rPr>
                <w:webHidden/>
              </w:rPr>
              <w:instrText>PAGEREF _Toc11337740 \h</w:instrText>
            </w:r>
            <w:r>
              <w:rPr>
                <w:webHidden/>
              </w:rPr>
              <w:fldChar w:fldCharType="separate"/>
            </w:r>
            <w:r>
              <w:rPr>
                <w:rStyle w:val="Style20"/>
                <w:vanish w:val="false"/>
              </w:rPr>
              <w:tab/>
              <w:t>21</w:t>
            </w:r>
            <w:r>
              <w:rPr>
                <w:webHidden/>
              </w:rPr>
              <w:fldChar w:fldCharType="end"/>
            </w:r>
          </w:hyperlink>
        </w:p>
        <w:p>
          <w:pPr>
            <w:pStyle w:val="33"/>
            <w:rPr>
              <w:rFonts w:eastAsia="" w:eastAsiaTheme="minorEastAsia"/>
              <w:lang w:eastAsia="ru-RU"/>
            </w:rPr>
          </w:pPr>
          <w:hyperlink w:anchor="_Toc11337741">
            <w:r>
              <w:rPr>
                <w:webHidden/>
                <w:rStyle w:val="Style20"/>
              </w:rPr>
              <w:t>1.2.3. Потенциал местного самоуправления</w:t>
            </w:r>
            <w:r>
              <w:rPr>
                <w:webHidden/>
              </w:rPr>
              <w:fldChar w:fldCharType="begin"/>
            </w:r>
            <w:r>
              <w:rPr>
                <w:webHidden/>
              </w:rPr>
              <w:instrText>PAGEREF _Toc11337741 \h</w:instrText>
            </w:r>
            <w:r>
              <w:rPr>
                <w:webHidden/>
              </w:rPr>
              <w:fldChar w:fldCharType="separate"/>
            </w:r>
            <w:r>
              <w:rPr>
                <w:rStyle w:val="Style20"/>
                <w:vanish w:val="false"/>
              </w:rPr>
              <w:tab/>
              <w:t>39</w:t>
            </w:r>
            <w:r>
              <w:rPr>
                <w:webHidden/>
              </w:rPr>
              <w:fldChar w:fldCharType="end"/>
            </w:r>
          </w:hyperlink>
        </w:p>
        <w:p>
          <w:pPr>
            <w:pStyle w:val="33"/>
            <w:rPr>
              <w:rFonts w:eastAsia="" w:eastAsiaTheme="minorEastAsia"/>
              <w:lang w:eastAsia="ru-RU"/>
            </w:rPr>
          </w:pPr>
          <w:hyperlink w:anchor="_Toc11337742">
            <w:r>
              <w:rPr>
                <w:webHidden/>
                <w:rStyle w:val="Style20"/>
              </w:rPr>
              <w:t xml:space="preserve">1.2.4 </w:t>
            </w:r>
            <w:r>
              <w:rPr>
                <w:rStyle w:val="Style20"/>
                <w:lang w:val="en-US"/>
              </w:rPr>
              <w:t>SWOT</w:t>
            </w:r>
            <w:r>
              <w:rPr>
                <w:rStyle w:val="Style20"/>
              </w:rPr>
              <w:t>-анализ факторов, влияющих на социально-экономическое развитие города-курорта Железноводска</w:t>
            </w:r>
            <w:r>
              <w:rPr>
                <w:webHidden/>
              </w:rPr>
              <w:fldChar w:fldCharType="begin"/>
            </w:r>
            <w:r>
              <w:rPr>
                <w:webHidden/>
              </w:rPr>
              <w:instrText>PAGEREF _Toc11337742 \h</w:instrText>
            </w:r>
            <w:r>
              <w:rPr>
                <w:webHidden/>
              </w:rPr>
              <w:fldChar w:fldCharType="separate"/>
            </w:r>
            <w:r>
              <w:rPr>
                <w:rStyle w:val="Style20"/>
                <w:vanish w:val="false"/>
              </w:rPr>
              <w:tab/>
              <w:t>41</w:t>
            </w:r>
            <w:r>
              <w:rPr>
                <w:webHidden/>
              </w:rPr>
              <w:fldChar w:fldCharType="end"/>
            </w:r>
          </w:hyperlink>
        </w:p>
        <w:p>
          <w:pPr>
            <w:pStyle w:val="33"/>
            <w:rPr>
              <w:rFonts w:eastAsia="" w:eastAsiaTheme="minorEastAsia"/>
              <w:lang w:eastAsia="ru-RU"/>
            </w:rPr>
          </w:pPr>
          <w:hyperlink w:anchor="_Toc11337743">
            <w:r>
              <w:rPr>
                <w:webHidden/>
                <w:rStyle w:val="Style20"/>
              </w:rPr>
              <w:t>1.3 Анализ основных проблемных вопросов в экономике и социальной сфере города-курорта Железноводска</w:t>
            </w:r>
            <w:r>
              <w:rPr>
                <w:webHidden/>
              </w:rPr>
              <w:fldChar w:fldCharType="begin"/>
            </w:r>
            <w:r>
              <w:rPr>
                <w:webHidden/>
              </w:rPr>
              <w:instrText>PAGEREF _Toc11337743 \h</w:instrText>
            </w:r>
            <w:r>
              <w:rPr>
                <w:webHidden/>
              </w:rPr>
              <w:fldChar w:fldCharType="separate"/>
            </w:r>
            <w:r>
              <w:rPr>
                <w:rStyle w:val="Style20"/>
                <w:vanish w:val="false"/>
              </w:rPr>
              <w:tab/>
              <w:t>46</w:t>
            </w:r>
            <w:r>
              <w:rPr>
                <w:webHidden/>
              </w:rPr>
              <w:fldChar w:fldCharType="end"/>
            </w:r>
          </w:hyperlink>
        </w:p>
        <w:p>
          <w:pPr>
            <w:pStyle w:val="33"/>
            <w:rPr>
              <w:rFonts w:eastAsia="" w:eastAsiaTheme="minorEastAsia"/>
              <w:lang w:eastAsia="ru-RU"/>
            </w:rPr>
          </w:pPr>
          <w:hyperlink w:anchor="_Toc11337744">
            <w:r>
              <w:rPr>
                <w:webHidden/>
                <w:rStyle w:val="Style20"/>
              </w:rPr>
              <w:t>2. ПРИОРИТЕТНЫЕ ЦЕЛИ И ЗАДАЧИ СОЦИАЛЬНО-ЭКОНОМИЧЕСКОГО РАЗВИТИЯ ГОРОДА-КУРОРТА ЖЕЛЕЗНОВОДСКА</w:t>
            </w:r>
            <w:r>
              <w:rPr>
                <w:webHidden/>
              </w:rPr>
              <w:fldChar w:fldCharType="begin"/>
            </w:r>
            <w:r>
              <w:rPr>
                <w:webHidden/>
              </w:rPr>
              <w:instrText>PAGEREF _Toc11337744 \h</w:instrText>
            </w:r>
            <w:r>
              <w:rPr>
                <w:webHidden/>
              </w:rPr>
              <w:fldChar w:fldCharType="separate"/>
            </w:r>
            <w:r>
              <w:rPr>
                <w:rStyle w:val="Style20"/>
                <w:vanish w:val="false"/>
              </w:rPr>
              <w:tab/>
              <w:t>50</w:t>
            </w:r>
            <w:r>
              <w:rPr>
                <w:webHidden/>
              </w:rPr>
              <w:fldChar w:fldCharType="end"/>
            </w:r>
          </w:hyperlink>
        </w:p>
        <w:p>
          <w:pPr>
            <w:pStyle w:val="33"/>
            <w:rPr>
              <w:rFonts w:eastAsia="" w:eastAsiaTheme="minorEastAsia"/>
              <w:lang w:eastAsia="ru-RU"/>
            </w:rPr>
          </w:pPr>
          <w:hyperlink w:anchor="_Toc11337745">
            <w:r>
              <w:rPr>
                <w:webHidden/>
                <w:rStyle w:val="Style20"/>
              </w:rPr>
              <w:t>2.1 Приоритеты социально-экономического развития города-курорта Железноводска</w:t>
            </w:r>
            <w:r>
              <w:rPr>
                <w:webHidden/>
              </w:rPr>
              <w:fldChar w:fldCharType="begin"/>
            </w:r>
            <w:r>
              <w:rPr>
                <w:webHidden/>
              </w:rPr>
              <w:instrText>PAGEREF _Toc11337745 \h</w:instrText>
            </w:r>
            <w:r>
              <w:rPr>
                <w:webHidden/>
              </w:rPr>
              <w:fldChar w:fldCharType="separate"/>
            </w:r>
            <w:r>
              <w:rPr>
                <w:rStyle w:val="Style20"/>
                <w:vanish w:val="false"/>
              </w:rPr>
              <w:tab/>
              <w:t>50</w:t>
            </w:r>
            <w:r>
              <w:rPr>
                <w:webHidden/>
              </w:rPr>
              <w:fldChar w:fldCharType="end"/>
            </w:r>
          </w:hyperlink>
        </w:p>
        <w:p>
          <w:pPr>
            <w:pStyle w:val="33"/>
            <w:rPr>
              <w:rFonts w:eastAsia="" w:eastAsiaTheme="minorEastAsia"/>
              <w:lang w:eastAsia="ru-RU"/>
            </w:rPr>
          </w:pPr>
          <w:hyperlink w:anchor="_Toc11337746">
            <w:r>
              <w:rPr>
                <w:webHidden/>
                <w:rStyle w:val="Style20"/>
              </w:rPr>
              <w:t>2.2 Цели и задачи социально-экономического развития города-курорта Железноводска</w:t>
            </w:r>
            <w:r>
              <w:rPr>
                <w:webHidden/>
              </w:rPr>
              <w:fldChar w:fldCharType="begin"/>
            </w:r>
            <w:r>
              <w:rPr>
                <w:webHidden/>
              </w:rPr>
              <w:instrText>PAGEREF _Toc11337746 \h</w:instrText>
            </w:r>
            <w:r>
              <w:rPr>
                <w:webHidden/>
              </w:rPr>
              <w:fldChar w:fldCharType="separate"/>
            </w:r>
            <w:r>
              <w:rPr>
                <w:rStyle w:val="Style20"/>
                <w:vanish w:val="false"/>
              </w:rPr>
              <w:tab/>
              <w:t>51</w:t>
            </w:r>
            <w:r>
              <w:rPr>
                <w:webHidden/>
              </w:rPr>
              <w:fldChar w:fldCharType="end"/>
            </w:r>
          </w:hyperlink>
        </w:p>
        <w:p>
          <w:pPr>
            <w:pStyle w:val="33"/>
            <w:rPr>
              <w:rFonts w:eastAsia="" w:eastAsiaTheme="minorEastAsia"/>
              <w:lang w:eastAsia="ru-RU"/>
            </w:rPr>
          </w:pPr>
          <w:hyperlink w:anchor="_Toc11337747">
            <w:r>
              <w:rPr>
                <w:webHidden/>
                <w:rStyle w:val="Style20"/>
              </w:rPr>
              <w:t>3. ОСНОВНЫЕ НАПРАВЛЕНИЯ СОЦИАЛЬНО-ЭКОНОМИЧЕСКОГО РАЗВИТИЯ ГОРОДА-КУРОРТА ЖЕЛЕЗНОВОДСКА</w:t>
            </w:r>
            <w:r>
              <w:rPr>
                <w:webHidden/>
              </w:rPr>
              <w:fldChar w:fldCharType="begin"/>
            </w:r>
            <w:r>
              <w:rPr>
                <w:webHidden/>
              </w:rPr>
              <w:instrText>PAGEREF _Toc11337747 \h</w:instrText>
            </w:r>
            <w:r>
              <w:rPr>
                <w:webHidden/>
              </w:rPr>
              <w:fldChar w:fldCharType="separate"/>
            </w:r>
            <w:r>
              <w:rPr>
                <w:rStyle w:val="Style20"/>
                <w:vanish w:val="false"/>
              </w:rPr>
              <w:tab/>
              <w:t>59</w:t>
            </w:r>
            <w:r>
              <w:rPr>
                <w:webHidden/>
              </w:rPr>
              <w:fldChar w:fldCharType="end"/>
            </w:r>
          </w:hyperlink>
        </w:p>
        <w:p>
          <w:pPr>
            <w:pStyle w:val="33"/>
            <w:rPr>
              <w:rFonts w:eastAsia="" w:eastAsiaTheme="minorEastAsia"/>
              <w:lang w:eastAsia="ru-RU"/>
            </w:rPr>
          </w:pPr>
          <w:hyperlink w:anchor="_Toc11337748">
            <w:r>
              <w:rPr>
                <w:webHidden/>
                <w:rStyle w:val="Style20"/>
              </w:rPr>
              <w:t>3.1. Развитие человеческого потенциала</w:t>
            </w:r>
            <w:r>
              <w:rPr>
                <w:webHidden/>
              </w:rPr>
              <w:fldChar w:fldCharType="begin"/>
            </w:r>
            <w:r>
              <w:rPr>
                <w:webHidden/>
              </w:rPr>
              <w:instrText>PAGEREF _Toc11337748 \h</w:instrText>
            </w:r>
            <w:r>
              <w:rPr>
                <w:webHidden/>
              </w:rPr>
              <w:fldChar w:fldCharType="separate"/>
            </w:r>
            <w:r>
              <w:rPr>
                <w:rStyle w:val="Style20"/>
                <w:vanish w:val="false"/>
              </w:rPr>
              <w:tab/>
              <w:t>59</w:t>
            </w:r>
            <w:r>
              <w:rPr>
                <w:webHidden/>
              </w:rPr>
              <w:fldChar w:fldCharType="end"/>
            </w:r>
          </w:hyperlink>
        </w:p>
        <w:p>
          <w:pPr>
            <w:pStyle w:val="33"/>
            <w:rPr>
              <w:rFonts w:eastAsia="" w:eastAsiaTheme="minorEastAsia"/>
              <w:lang w:eastAsia="ru-RU"/>
            </w:rPr>
          </w:pPr>
          <w:hyperlink w:anchor="_Toc11337749">
            <w:r>
              <w:rPr>
                <w:webHidden/>
                <w:rStyle w:val="Style20"/>
              </w:rPr>
              <w:t>3.1.1. Охрана и укрепления здоровья населения на протяжении</w:t>
            </w:r>
            <w:r>
              <w:rPr>
                <w:webHidden/>
              </w:rPr>
              <w:fldChar w:fldCharType="begin"/>
            </w:r>
            <w:r>
              <w:rPr>
                <w:webHidden/>
              </w:rPr>
              <w:instrText>PAGEREF _Toc11337749 \h</w:instrText>
            </w:r>
            <w:r>
              <w:rPr>
                <w:webHidden/>
              </w:rPr>
              <w:fldChar w:fldCharType="separate"/>
            </w:r>
            <w:r>
              <w:rPr>
                <w:rStyle w:val="Style20"/>
                <w:vanish w:val="false"/>
              </w:rPr>
              <w:tab/>
              <w:t>60</w:t>
            </w:r>
            <w:r>
              <w:rPr>
                <w:webHidden/>
              </w:rPr>
              <w:fldChar w:fldCharType="end"/>
            </w:r>
          </w:hyperlink>
        </w:p>
        <w:p>
          <w:pPr>
            <w:pStyle w:val="33"/>
            <w:rPr>
              <w:rFonts w:eastAsia="" w:eastAsiaTheme="minorEastAsia"/>
              <w:lang w:eastAsia="ru-RU"/>
            </w:rPr>
          </w:pPr>
          <w:hyperlink w:anchor="_Toc11337750">
            <w:r>
              <w:rPr>
                <w:webHidden/>
                <w:rStyle w:val="Style20"/>
              </w:rPr>
              <w:t>всей жизни</w:t>
            </w:r>
            <w:r>
              <w:rPr>
                <w:webHidden/>
              </w:rPr>
              <w:fldChar w:fldCharType="begin"/>
            </w:r>
            <w:r>
              <w:rPr>
                <w:webHidden/>
              </w:rPr>
              <w:instrText>PAGEREF _Toc11337750 \h</w:instrText>
            </w:r>
            <w:r>
              <w:rPr>
                <w:webHidden/>
              </w:rPr>
              <w:fldChar w:fldCharType="separate"/>
            </w:r>
            <w:r>
              <w:rPr>
                <w:rStyle w:val="Style20"/>
                <w:vanish w:val="false"/>
              </w:rPr>
              <w:tab/>
              <w:t>60</w:t>
            </w:r>
            <w:r>
              <w:rPr>
                <w:webHidden/>
              </w:rPr>
              <w:fldChar w:fldCharType="end"/>
            </w:r>
          </w:hyperlink>
        </w:p>
        <w:p>
          <w:pPr>
            <w:pStyle w:val="33"/>
            <w:rPr>
              <w:rFonts w:eastAsia="" w:eastAsiaTheme="minorEastAsia"/>
              <w:lang w:eastAsia="ru-RU"/>
            </w:rPr>
          </w:pPr>
          <w:hyperlink w:anchor="_Toc11337751">
            <w:r>
              <w:rPr>
                <w:webHidden/>
                <w:rStyle w:val="Style20"/>
              </w:rPr>
              <w:t>3.1.2 Создание условий для получения доступного и качественного образования</w:t>
            </w:r>
            <w:r>
              <w:rPr>
                <w:webHidden/>
              </w:rPr>
              <w:fldChar w:fldCharType="begin"/>
            </w:r>
            <w:r>
              <w:rPr>
                <w:webHidden/>
              </w:rPr>
              <w:instrText>PAGEREF _Toc11337751 \h</w:instrText>
            </w:r>
            <w:r>
              <w:rPr>
                <w:webHidden/>
              </w:rPr>
              <w:fldChar w:fldCharType="separate"/>
            </w:r>
            <w:r>
              <w:rPr>
                <w:rStyle w:val="Style20"/>
                <w:vanish w:val="false"/>
              </w:rPr>
              <w:tab/>
              <w:t>63</w:t>
            </w:r>
            <w:r>
              <w:rPr>
                <w:webHidden/>
              </w:rPr>
              <w:fldChar w:fldCharType="end"/>
            </w:r>
          </w:hyperlink>
        </w:p>
        <w:p>
          <w:pPr>
            <w:pStyle w:val="33"/>
            <w:rPr>
              <w:rFonts w:eastAsia="" w:eastAsiaTheme="minorEastAsia"/>
              <w:lang w:eastAsia="ru-RU"/>
            </w:rPr>
          </w:pPr>
          <w:hyperlink w:anchor="_Toc11337752">
            <w:r>
              <w:rPr>
                <w:webHidden/>
                <w:rStyle w:val="Style20"/>
              </w:rPr>
              <w:t>3.1.3. Эффективная поддержка социально уязвимых слоев населения города-курорта Железноводска Ставропольского края</w:t>
            </w:r>
            <w:r>
              <w:rPr>
                <w:webHidden/>
              </w:rPr>
              <w:fldChar w:fldCharType="begin"/>
            </w:r>
            <w:r>
              <w:rPr>
                <w:webHidden/>
              </w:rPr>
              <w:instrText>PAGEREF _Toc11337752 \h</w:instrText>
            </w:r>
            <w:r>
              <w:rPr>
                <w:webHidden/>
              </w:rPr>
              <w:fldChar w:fldCharType="separate"/>
            </w:r>
            <w:r>
              <w:rPr>
                <w:rStyle w:val="Style20"/>
                <w:vanish w:val="false"/>
              </w:rPr>
              <w:tab/>
              <w:t>64</w:t>
            </w:r>
            <w:r>
              <w:rPr>
                <w:webHidden/>
              </w:rPr>
              <w:fldChar w:fldCharType="end"/>
            </w:r>
          </w:hyperlink>
        </w:p>
        <w:p>
          <w:pPr>
            <w:pStyle w:val="33"/>
            <w:rPr>
              <w:rFonts w:eastAsia="" w:eastAsiaTheme="minorEastAsia"/>
              <w:lang w:eastAsia="ru-RU"/>
            </w:rPr>
          </w:pPr>
          <w:hyperlink w:anchor="_Toc11337753">
            <w:r>
              <w:rPr>
                <w:webHidden/>
                <w:rStyle w:val="Style20"/>
              </w:rPr>
              <w:t>3.1.4. Создание благоприятных условий проживания жителей</w:t>
            </w:r>
            <w:r>
              <w:rPr>
                <w:webHidden/>
              </w:rPr>
              <w:fldChar w:fldCharType="begin"/>
            </w:r>
            <w:r>
              <w:rPr>
                <w:webHidden/>
              </w:rPr>
              <w:instrText>PAGEREF _Toc11337753 \h</w:instrText>
            </w:r>
            <w:r>
              <w:rPr>
                <w:webHidden/>
              </w:rPr>
              <w:fldChar w:fldCharType="separate"/>
            </w:r>
            <w:r>
              <w:rPr>
                <w:rStyle w:val="Style20"/>
                <w:vanish w:val="false"/>
              </w:rPr>
              <w:tab/>
              <w:t>65</w:t>
            </w:r>
            <w:r>
              <w:rPr>
                <w:webHidden/>
              </w:rPr>
              <w:fldChar w:fldCharType="end"/>
            </w:r>
          </w:hyperlink>
        </w:p>
        <w:p>
          <w:pPr>
            <w:pStyle w:val="33"/>
            <w:rPr>
              <w:rFonts w:eastAsia="" w:eastAsiaTheme="minorEastAsia"/>
              <w:lang w:eastAsia="ru-RU"/>
            </w:rPr>
          </w:pPr>
          <w:hyperlink w:anchor="_Toc11337754">
            <w:r>
              <w:rPr>
                <w:webHidden/>
                <w:rStyle w:val="Style20"/>
              </w:rPr>
              <w:t>города-курорта Железноводска Ставропольского края</w:t>
            </w:r>
            <w:r>
              <w:rPr>
                <w:webHidden/>
              </w:rPr>
              <w:fldChar w:fldCharType="begin"/>
            </w:r>
            <w:r>
              <w:rPr>
                <w:webHidden/>
              </w:rPr>
              <w:instrText>PAGEREF _Toc11337754 \h</w:instrText>
            </w:r>
            <w:r>
              <w:rPr>
                <w:webHidden/>
              </w:rPr>
              <w:fldChar w:fldCharType="separate"/>
            </w:r>
            <w:r>
              <w:rPr>
                <w:rStyle w:val="Style20"/>
                <w:vanish w:val="false"/>
              </w:rPr>
              <w:tab/>
              <w:t>65</w:t>
            </w:r>
            <w:r>
              <w:rPr>
                <w:webHidden/>
              </w:rPr>
              <w:fldChar w:fldCharType="end"/>
            </w:r>
          </w:hyperlink>
        </w:p>
        <w:p>
          <w:pPr>
            <w:pStyle w:val="33"/>
            <w:rPr/>
          </w:pPr>
          <w:r>
            <w:rPr/>
            <w:t>3.2. Развитие архитектуры и градостроительства</w:t>
            <w:tab/>
            <w:t>74</w:t>
          </w:r>
        </w:p>
        <w:p>
          <w:pPr>
            <w:pStyle w:val="33"/>
            <w:rPr>
              <w:rFonts w:eastAsia="" w:eastAsiaTheme="minorEastAsia"/>
              <w:lang w:eastAsia="ru-RU"/>
            </w:rPr>
          </w:pPr>
          <w:hyperlink w:anchor="_Toc11337755">
            <w:r>
              <w:rPr>
                <w:webHidden/>
                <w:rStyle w:val="Style20"/>
              </w:rPr>
              <w:t>3.3 Создание и развитие кластера туристско-рекреационного типа</w:t>
            </w:r>
            <w:r>
              <w:rPr>
                <w:webHidden/>
              </w:rPr>
              <w:fldChar w:fldCharType="begin"/>
            </w:r>
            <w:r>
              <w:rPr>
                <w:webHidden/>
              </w:rPr>
              <w:instrText>PAGEREF _Toc11337755 \h</w:instrText>
            </w:r>
            <w:r>
              <w:rPr>
                <w:webHidden/>
              </w:rPr>
              <w:fldChar w:fldCharType="separate"/>
            </w:r>
            <w:r>
              <w:rPr>
                <w:rStyle w:val="Style20"/>
                <w:vanish w:val="false"/>
              </w:rPr>
              <w:tab/>
              <w:t>74</w:t>
            </w:r>
            <w:r>
              <w:rPr>
                <w:webHidden/>
              </w:rPr>
              <w:fldChar w:fldCharType="end"/>
            </w:r>
          </w:hyperlink>
        </w:p>
        <w:p>
          <w:pPr>
            <w:pStyle w:val="33"/>
            <w:rPr>
              <w:rFonts w:eastAsia="" w:eastAsiaTheme="minorEastAsia"/>
              <w:lang w:eastAsia="ru-RU"/>
            </w:rPr>
          </w:pPr>
          <w:hyperlink w:anchor="_Toc11337756">
            <w:r>
              <w:rPr>
                <w:webHidden/>
                <w:rStyle w:val="Style20"/>
              </w:rPr>
              <w:t>3.3.1 Повышение качества и конкурентоспособности туристского продукта</w:t>
            </w:r>
            <w:r>
              <w:rPr>
                <w:webHidden/>
              </w:rPr>
              <w:fldChar w:fldCharType="begin"/>
            </w:r>
            <w:r>
              <w:rPr>
                <w:webHidden/>
              </w:rPr>
              <w:instrText>PAGEREF _Toc11337756 \h</w:instrText>
            </w:r>
            <w:r>
              <w:rPr>
                <w:webHidden/>
              </w:rPr>
              <w:fldChar w:fldCharType="separate"/>
            </w:r>
            <w:r>
              <w:rPr>
                <w:rStyle w:val="Style20"/>
                <w:vanish w:val="false"/>
              </w:rPr>
              <w:tab/>
              <w:t>76</w:t>
            </w:r>
            <w:r>
              <w:rPr>
                <w:webHidden/>
              </w:rPr>
              <w:fldChar w:fldCharType="end"/>
            </w:r>
          </w:hyperlink>
        </w:p>
        <w:p>
          <w:pPr>
            <w:pStyle w:val="33"/>
            <w:rPr>
              <w:rFonts w:eastAsia="" w:eastAsiaTheme="minorEastAsia"/>
              <w:lang w:eastAsia="ru-RU"/>
            </w:rPr>
          </w:pPr>
          <w:hyperlink w:anchor="_Toc11337757">
            <w:r>
              <w:rPr>
                <w:webHidden/>
                <w:rStyle w:val="Style20"/>
              </w:rPr>
              <w:t>3.3.2. Создание и продвижение бренда города-курорта Железноводска</w:t>
            </w:r>
            <w:r>
              <w:rPr>
                <w:webHidden/>
              </w:rPr>
              <w:fldChar w:fldCharType="begin"/>
            </w:r>
            <w:r>
              <w:rPr>
                <w:webHidden/>
              </w:rPr>
              <w:instrText>PAGEREF _Toc11337757 \h</w:instrText>
            </w:r>
            <w:r>
              <w:rPr>
                <w:webHidden/>
              </w:rPr>
              <w:fldChar w:fldCharType="separate"/>
            </w:r>
            <w:r>
              <w:rPr>
                <w:rStyle w:val="Style20"/>
                <w:vanish w:val="false"/>
              </w:rPr>
              <w:tab/>
              <w:t>77</w:t>
            </w:r>
            <w:r>
              <w:rPr>
                <w:webHidden/>
              </w:rPr>
              <w:fldChar w:fldCharType="end"/>
            </w:r>
          </w:hyperlink>
        </w:p>
        <w:p>
          <w:pPr>
            <w:pStyle w:val="33"/>
            <w:rPr>
              <w:rFonts w:eastAsia="" w:eastAsiaTheme="minorEastAsia"/>
              <w:lang w:eastAsia="ru-RU"/>
            </w:rPr>
          </w:pPr>
          <w:hyperlink w:anchor="_Toc11337758">
            <w:r>
              <w:rPr>
                <w:webHidden/>
                <w:rStyle w:val="Style20"/>
              </w:rPr>
              <w:t>в сфере курорта и туризма</w:t>
            </w:r>
            <w:r>
              <w:rPr>
                <w:webHidden/>
              </w:rPr>
              <w:fldChar w:fldCharType="begin"/>
            </w:r>
            <w:r>
              <w:rPr>
                <w:webHidden/>
              </w:rPr>
              <w:instrText>PAGEREF _Toc11337758 \h</w:instrText>
            </w:r>
            <w:r>
              <w:rPr>
                <w:webHidden/>
              </w:rPr>
              <w:fldChar w:fldCharType="separate"/>
            </w:r>
            <w:r>
              <w:rPr>
                <w:rStyle w:val="Style20"/>
                <w:vanish w:val="false"/>
              </w:rPr>
              <w:tab/>
              <w:t>77</w:t>
            </w:r>
            <w:r>
              <w:rPr>
                <w:webHidden/>
              </w:rPr>
              <w:fldChar w:fldCharType="end"/>
            </w:r>
          </w:hyperlink>
        </w:p>
        <w:p>
          <w:pPr>
            <w:pStyle w:val="33"/>
            <w:rPr>
              <w:rFonts w:eastAsia="" w:eastAsiaTheme="minorEastAsia"/>
              <w:lang w:eastAsia="ru-RU"/>
            </w:rPr>
          </w:pPr>
          <w:hyperlink w:anchor="_Toc11337759">
            <w:r>
              <w:rPr>
                <w:webHidden/>
                <w:rStyle w:val="Style20"/>
              </w:rPr>
              <w:t>3.3.3. Развитие санаторно-курортного комплекса в рамках осуществления масштабных инфраструктурных проектов</w:t>
            </w:r>
            <w:r>
              <w:rPr>
                <w:webHidden/>
              </w:rPr>
              <w:fldChar w:fldCharType="begin"/>
            </w:r>
            <w:r>
              <w:rPr>
                <w:webHidden/>
              </w:rPr>
              <w:instrText>PAGEREF _Toc11337759 \h</w:instrText>
            </w:r>
            <w:r>
              <w:rPr>
                <w:webHidden/>
              </w:rPr>
              <w:fldChar w:fldCharType="separate"/>
            </w:r>
            <w:r>
              <w:rPr>
                <w:rStyle w:val="Style20"/>
                <w:vanish w:val="false"/>
              </w:rPr>
              <w:tab/>
              <w:t>79</w:t>
            </w:r>
            <w:r>
              <w:rPr>
                <w:webHidden/>
              </w:rPr>
              <w:fldChar w:fldCharType="end"/>
            </w:r>
          </w:hyperlink>
        </w:p>
        <w:p>
          <w:pPr>
            <w:pStyle w:val="33"/>
            <w:rPr/>
          </w:pPr>
          <w:hyperlink w:anchor="_Toc11337760">
            <w:r>
              <w:rPr>
                <w:webHidden/>
                <w:rStyle w:val="Style20"/>
              </w:rPr>
              <w:t>3.4. Создание благоприятных высококонкурентных условий для осуществления и стимулирования предпринимательской, инвестиционной и инновационной деятельности на территории муниципального образования</w:t>
            </w:r>
            <w:r>
              <w:rPr>
                <w:webHidden/>
              </w:rPr>
              <w:fldChar w:fldCharType="begin"/>
            </w:r>
            <w:r>
              <w:rPr>
                <w:webHidden/>
              </w:rPr>
              <w:instrText>PAGEREF _Toc11337760 \h</w:instrText>
            </w:r>
            <w:r>
              <w:rPr>
                <w:webHidden/>
              </w:rPr>
              <w:fldChar w:fldCharType="separate"/>
            </w:r>
            <w:r>
              <w:rPr>
                <w:rStyle w:val="Style20"/>
                <w:vanish w:val="false"/>
              </w:rPr>
              <w:tab/>
              <w:t>82</w:t>
            </w:r>
            <w:r>
              <w:rPr>
                <w:webHidden/>
              </w:rPr>
              <w:fldChar w:fldCharType="end"/>
            </w:r>
          </w:hyperlink>
        </w:p>
        <w:p>
          <w:pPr>
            <w:pStyle w:val="Normal"/>
            <w:rPr/>
          </w:pPr>
          <w:r>
            <w:rPr/>
            <w:t xml:space="preserve">        </w:t>
          </w:r>
          <w:r>
            <w:rPr>
              <w:rFonts w:cs="Times New Roman" w:ascii="Times New Roman" w:hAnsi="Times New Roman"/>
            </w:rPr>
            <w:t xml:space="preserve"> </w:t>
          </w:r>
          <w:r>
            <w:rPr>
              <w:rFonts w:cs="Times New Roman" w:ascii="Times New Roman" w:hAnsi="Times New Roman"/>
              <w:sz w:val="28"/>
              <w:szCs w:val="28"/>
            </w:rPr>
            <w:t>3.4.1. Реализация инвестиционной политики……………………………    82</w:t>
          </w:r>
        </w:p>
        <w:p>
          <w:pPr>
            <w:pStyle w:val="Normal"/>
            <w:rPr>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3.4.2. Развитие малого, среднего и инновационного предпринимательства 86   </w:t>
          </w:r>
        </w:p>
        <w:p>
          <w:pPr>
            <w:pStyle w:val="33"/>
            <w:rPr>
              <w:rFonts w:eastAsia="" w:eastAsiaTheme="minorEastAsia"/>
              <w:lang w:eastAsia="ru-RU"/>
            </w:rPr>
          </w:pPr>
          <w:hyperlink w:anchor="_Toc11337761">
            <w:r>
              <w:rPr>
                <w:webHidden/>
                <w:rStyle w:val="Style20"/>
              </w:rPr>
              <w:t>3.5. Модернизация объектов инфраструктуры</w:t>
            </w:r>
            <w:r>
              <w:rPr>
                <w:webHidden/>
              </w:rPr>
              <w:fldChar w:fldCharType="begin"/>
            </w:r>
            <w:r>
              <w:rPr>
                <w:webHidden/>
              </w:rPr>
              <w:instrText>PAGEREF _Toc11337761 \h</w:instrText>
            </w:r>
            <w:r>
              <w:rPr>
                <w:webHidden/>
              </w:rPr>
              <w:fldChar w:fldCharType="separate"/>
            </w:r>
            <w:r>
              <w:rPr>
                <w:rStyle w:val="Style20"/>
                <w:vanish w:val="false"/>
              </w:rPr>
              <w:tab/>
              <w:t>88</w:t>
            </w:r>
            <w:r>
              <w:rPr>
                <w:webHidden/>
              </w:rPr>
              <w:fldChar w:fldCharType="end"/>
            </w:r>
          </w:hyperlink>
        </w:p>
        <w:p>
          <w:pPr>
            <w:pStyle w:val="33"/>
            <w:rPr>
              <w:rFonts w:eastAsia="" w:eastAsiaTheme="minorEastAsia"/>
              <w:lang w:eastAsia="ru-RU"/>
            </w:rPr>
          </w:pPr>
          <w:hyperlink w:anchor="_Toc11337762">
            <w:r>
              <w:rPr>
                <w:webHidden/>
                <w:rStyle w:val="Style20"/>
              </w:rPr>
              <w:t>4. ПОКАЗАТЕЛИ ДОСТИЖЕНИЯ ЦЕЛЕЙ СОЦИАЛЬНО- ЭКОНОМИЧЕСКОГО РАЗВИТИЯ ГОРОДА-КУРОРТА ЖЕЛЕЗНОВОДСКА</w:t>
            </w:r>
            <w:r>
              <w:rPr>
                <w:webHidden/>
              </w:rPr>
              <w:fldChar w:fldCharType="begin"/>
            </w:r>
            <w:r>
              <w:rPr>
                <w:webHidden/>
              </w:rPr>
              <w:instrText>PAGEREF _Toc11337762 \h</w:instrText>
            </w:r>
            <w:r>
              <w:rPr>
                <w:webHidden/>
              </w:rPr>
              <w:fldChar w:fldCharType="separate"/>
            </w:r>
            <w:r>
              <w:rPr>
                <w:rStyle w:val="Style20"/>
                <w:vanish w:val="false"/>
              </w:rPr>
              <w:tab/>
              <w:t>90</w:t>
            </w:r>
            <w:r>
              <w:rPr>
                <w:webHidden/>
              </w:rPr>
              <w:fldChar w:fldCharType="end"/>
            </w:r>
          </w:hyperlink>
        </w:p>
        <w:p>
          <w:pPr>
            <w:pStyle w:val="33"/>
            <w:rPr>
              <w:rFonts w:eastAsia="" w:eastAsiaTheme="minorEastAsia"/>
              <w:lang w:eastAsia="ru-RU"/>
            </w:rPr>
          </w:pPr>
          <w:hyperlink w:anchor="_Toc11337763">
            <w:r>
              <w:rPr>
                <w:webHidden/>
                <w:rStyle w:val="Style20"/>
              </w:rPr>
              <w:t>5. ЭТАПЫ И ОЖИДАЕМЫЕ РЕЗУЛЬТАТЫ РЕАЛИЗАЦИИ СТРАТЕГИИ</w:t>
            </w:r>
            <w:r>
              <w:rPr>
                <w:webHidden/>
              </w:rPr>
              <w:fldChar w:fldCharType="begin"/>
            </w:r>
            <w:r>
              <w:rPr>
                <w:webHidden/>
              </w:rPr>
              <w:instrText>PAGEREF _Toc11337763 \h</w:instrText>
            </w:r>
            <w:r>
              <w:rPr>
                <w:webHidden/>
              </w:rPr>
              <w:fldChar w:fldCharType="separate"/>
            </w:r>
            <w:r>
              <w:rPr>
                <w:rStyle w:val="Style20"/>
                <w:vanish w:val="false"/>
              </w:rPr>
              <w:tab/>
              <w:t>94</w:t>
            </w:r>
            <w:r>
              <w:rPr>
                <w:webHidden/>
              </w:rPr>
              <w:fldChar w:fldCharType="end"/>
            </w:r>
          </w:hyperlink>
        </w:p>
        <w:p>
          <w:pPr>
            <w:pStyle w:val="33"/>
            <w:rPr>
              <w:rFonts w:eastAsia="" w:eastAsiaTheme="minorEastAsia"/>
              <w:lang w:eastAsia="ru-RU"/>
            </w:rPr>
          </w:pPr>
          <w:hyperlink w:anchor="_Toc11337764">
            <w:r>
              <w:rPr>
                <w:webHidden/>
                <w:rStyle w:val="Style20"/>
              </w:rPr>
              <w:t>6. МЕХАНИЗМЫ РЕАЛИЗАЦИИ И ФИНАНСОВОЕ ОБЕСПЕЧЕНИЕ СТРАТЕГИИ</w:t>
            </w:r>
            <w:r>
              <w:rPr>
                <w:webHidden/>
              </w:rPr>
              <w:fldChar w:fldCharType="begin"/>
            </w:r>
            <w:r>
              <w:rPr>
                <w:webHidden/>
              </w:rPr>
              <w:instrText>PAGEREF _Toc11337764 \h</w:instrText>
            </w:r>
            <w:r>
              <w:rPr>
                <w:webHidden/>
              </w:rPr>
              <w:fldChar w:fldCharType="separate"/>
            </w:r>
            <w:r>
              <w:rPr>
                <w:rStyle w:val="Style20"/>
                <w:vanish w:val="false"/>
              </w:rPr>
              <w:tab/>
              <w:t>97</w:t>
            </w:r>
            <w:r>
              <w:rPr>
                <w:webHidden/>
              </w:rPr>
              <w:fldChar w:fldCharType="end"/>
            </w:r>
          </w:hyperlink>
        </w:p>
        <w:p>
          <w:pPr>
            <w:pStyle w:val="Normal"/>
            <w:rPr>
              <w:rFonts w:ascii="Times New Roman" w:hAnsi="Times New Roman" w:cs="Times New Roman"/>
              <w:sz w:val="28"/>
              <w:szCs w:val="28"/>
            </w:rPr>
          </w:pPr>
          <w:r>
            <w:rPr>
              <w:rFonts w:cs="Times New Roman" w:ascii="Times New Roman" w:hAnsi="Times New Roman"/>
              <w:sz w:val="28"/>
              <w:szCs w:val="28"/>
            </w:rPr>
          </w:r>
          <w:r>
            <w:fldChar w:fldCharType="end"/>
          </w:r>
        </w:p>
      </w:sdtContent>
    </w:sdt>
    <w:p>
      <w:pPr>
        <w:pStyle w:val="3"/>
        <w:rPr/>
      </w:pPr>
      <w:r>
        <w:rPr/>
      </w:r>
    </w:p>
    <w:p>
      <w:pPr>
        <w:pStyle w:val="32"/>
        <w:rPr>
          <w:lang w:eastAsia="zh-CN"/>
        </w:rPr>
      </w:pPr>
      <w:r>
        <w:rPr>
          <w:lang w:eastAsia="zh-CN"/>
        </w:rPr>
      </w:r>
    </w:p>
    <w:p>
      <w:pPr>
        <w:pStyle w:val="32"/>
        <w:rPr>
          <w:lang w:eastAsia="zh-CN"/>
        </w:rPr>
      </w:pPr>
      <w:r>
        <w:rPr>
          <w:lang w:eastAsia="zh-CN"/>
        </w:rPr>
      </w:r>
    </w:p>
    <w:p>
      <w:pPr>
        <w:pStyle w:val="32"/>
        <w:rPr>
          <w:lang w:eastAsia="zh-CN"/>
        </w:rPr>
      </w:pPr>
      <w:r>
        <w:rPr>
          <w:lang w:eastAsia="zh-CN"/>
        </w:rPr>
      </w:r>
    </w:p>
    <w:p>
      <w:pPr>
        <w:pStyle w:val="32"/>
        <w:rPr>
          <w:lang w:eastAsia="zh-CN"/>
        </w:rPr>
      </w:pPr>
      <w:r>
        <w:rPr>
          <w:lang w:eastAsia="zh-CN"/>
        </w:rPr>
      </w:r>
    </w:p>
    <w:p>
      <w:pPr>
        <w:pStyle w:val="32"/>
        <w:rPr>
          <w:lang w:eastAsia="zh-CN"/>
        </w:rPr>
      </w:pPr>
      <w:r>
        <w:rPr>
          <w:lang w:eastAsia="zh-CN"/>
        </w:rPr>
      </w:r>
    </w:p>
    <w:p>
      <w:pPr>
        <w:pStyle w:val="32"/>
        <w:rPr>
          <w:lang w:eastAsia="zh-CN"/>
        </w:rPr>
      </w:pPr>
      <w:r>
        <w:rPr>
          <w:lang w:eastAsia="zh-CN"/>
        </w:rPr>
      </w:r>
    </w:p>
    <w:p>
      <w:pPr>
        <w:pStyle w:val="32"/>
        <w:rPr>
          <w:lang w:eastAsia="zh-CN"/>
        </w:rPr>
      </w:pPr>
      <w:r>
        <w:rPr>
          <w:lang w:eastAsia="zh-CN"/>
        </w:rPr>
      </w:r>
    </w:p>
    <w:p>
      <w:pPr>
        <w:pStyle w:val="32"/>
        <w:rPr>
          <w:lang w:eastAsia="zh-CN"/>
        </w:rPr>
      </w:pPr>
      <w:r>
        <w:rPr>
          <w:lang w:eastAsia="zh-CN"/>
        </w:rPr>
      </w:r>
    </w:p>
    <w:p>
      <w:pPr>
        <w:pStyle w:val="32"/>
        <w:rPr>
          <w:lang w:eastAsia="zh-CN"/>
        </w:rPr>
      </w:pPr>
      <w:r>
        <w:rPr>
          <w:lang w:eastAsia="zh-CN"/>
        </w:rPr>
      </w:r>
    </w:p>
    <w:p>
      <w:pPr>
        <w:pStyle w:val="3"/>
        <w:rPr/>
      </w:pPr>
      <w:bookmarkStart w:id="0" w:name="_Toc11337733"/>
      <w:bookmarkEnd w:id="0"/>
      <w:r>
        <w:rPr/>
        <w:t>ВВЕДЕНИЕ</w:t>
      </w:r>
    </w:p>
    <w:p>
      <w:pPr>
        <w:pStyle w:val="Normal"/>
        <w:spacing w:lineRule="auto" w:line="240" w:before="0" w:after="0"/>
        <w:ind w:firstLine="567"/>
        <w:jc w:val="center"/>
        <w:rPr>
          <w:rFonts w:ascii="Times New Roman" w:hAnsi="Times New Roman" w:cs="Times New Roman"/>
          <w:b/>
          <w:b/>
          <w:bCs/>
          <w:sz w:val="28"/>
          <w:szCs w:val="28"/>
        </w:rPr>
      </w:pPr>
      <w:r>
        <w:rPr>
          <w:rFonts w:cs="Times New Roman" w:ascii="Times New Roman" w:hAnsi="Times New Roman"/>
          <w:b/>
          <w:bCs/>
          <w:sz w:val="28"/>
          <w:szCs w:val="28"/>
        </w:rPr>
      </w:r>
    </w:p>
    <w:p>
      <w:pPr>
        <w:pStyle w:val="Standard"/>
        <w:rPr>
          <w:sz w:val="28"/>
        </w:rPr>
      </w:pPr>
      <w:r>
        <w:rPr>
          <w:sz w:val="28"/>
        </w:rPr>
        <w:t xml:space="preserve">Стратегия социально-экономического развития города-курорта Железноводска Ставропольского края на период до 2035 года (далее – Стратегия) разработана в соответствии с Федеральным законом от 28 июня 2014 года </w:t>
        <w:br/>
        <w:t>№172-ФЗ «О стратегическом планировании в Российской Федерации» (далее – Федеральный закон № 172-ФЗ), приказом Министерства экономического развития Российской Федерации от 23 марта 2017 г. № 132 «Об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w:t>
      </w:r>
    </w:p>
    <w:p>
      <w:pPr>
        <w:pStyle w:val="Standard"/>
        <w:rPr>
          <w:sz w:val="28"/>
          <w:szCs w:val="28"/>
        </w:rPr>
      </w:pPr>
      <w:r>
        <w:rPr>
          <w:sz w:val="28"/>
          <w:szCs w:val="28"/>
        </w:rPr>
        <w:t xml:space="preserve">Стратегия социально-экономического развития города-курорта Железноводска Ставропольского края на </w:t>
      </w:r>
      <w:bookmarkStart w:id="1" w:name="_GoBack"/>
      <w:bookmarkEnd w:id="1"/>
      <w:r>
        <w:rPr>
          <w:sz w:val="28"/>
          <w:szCs w:val="28"/>
        </w:rPr>
        <w:t xml:space="preserve">период до 2035 года основывается на принципах социально-экономического развития, заложенных в Концепции долгосрочного социально-экономического развития Российской Федерации на период до 2020 года, Указов Президента Российской Федерации </w:t>
      </w:r>
      <w:r>
        <w:rPr>
          <w:sz w:val="28"/>
        </w:rPr>
        <w:t>от 7 мая 2012 года № 596 </w:t>
      </w:r>
      <w:r>
        <w:rPr>
          <w:sz w:val="28"/>
          <w:lang w:eastAsia="ru-RU"/>
        </w:rPr>
        <w:t>«О долгосрочной государственной экономической политике», № </w:t>
      </w:r>
      <w:r>
        <w:rPr>
          <w:sz w:val="28"/>
        </w:rPr>
        <w:t>597 </w:t>
      </w:r>
      <w:r>
        <w:rPr>
          <w:sz w:val="28"/>
          <w:lang w:eastAsia="ru-RU"/>
        </w:rPr>
        <w:t>«О мероприятиях по реализации государственной социальной политики»,  № </w:t>
      </w:r>
      <w:r>
        <w:rPr>
          <w:sz w:val="28"/>
        </w:rPr>
        <w:t xml:space="preserve">598 </w:t>
      </w:r>
      <w:r>
        <w:rPr>
          <w:sz w:val="28"/>
          <w:lang w:eastAsia="ru-RU"/>
        </w:rPr>
        <w:t>«О совершенствовании государственной политики в сфере здравоохранения», № </w:t>
      </w:r>
      <w:r>
        <w:rPr>
          <w:sz w:val="28"/>
        </w:rPr>
        <w:t xml:space="preserve">599 </w:t>
      </w:r>
      <w:r>
        <w:rPr>
          <w:sz w:val="28"/>
          <w:lang w:eastAsia="ru-RU"/>
        </w:rPr>
        <w:t>«О мерах по реализации государственной политики в области образования и науки», № </w:t>
      </w:r>
      <w:r>
        <w:rPr>
          <w:sz w:val="28"/>
        </w:rPr>
        <w:t xml:space="preserve">600 </w:t>
      </w:r>
      <w:r>
        <w:rPr>
          <w:sz w:val="28"/>
          <w:lang w:eastAsia="ru-RU"/>
        </w:rPr>
        <w:t>«О мерах по обеспечению граждан Российской Федерации доступным и комфортным жильем и повышению качества жилищно-коммунальных услуг», № </w:t>
      </w:r>
      <w:r>
        <w:rPr>
          <w:sz w:val="28"/>
        </w:rPr>
        <w:t xml:space="preserve">601 </w:t>
      </w:r>
      <w:r>
        <w:rPr>
          <w:sz w:val="28"/>
          <w:lang w:eastAsia="ru-RU"/>
        </w:rPr>
        <w:t>«Об основных направлениях совершенствования системы государственного управления», № </w:t>
      </w:r>
      <w:r>
        <w:rPr>
          <w:sz w:val="28"/>
        </w:rPr>
        <w:t xml:space="preserve">602 </w:t>
      </w:r>
      <w:r>
        <w:rPr>
          <w:sz w:val="28"/>
          <w:lang w:eastAsia="ru-RU"/>
        </w:rPr>
        <w:t>«Обеспечении межнационального согласия»</w:t>
      </w:r>
      <w:r>
        <w:rPr>
          <w:sz w:val="28"/>
        </w:rPr>
        <w:t xml:space="preserve">, № 606 </w:t>
      </w:r>
      <w:r>
        <w:rPr>
          <w:sz w:val="28"/>
          <w:lang w:eastAsia="ru-RU"/>
        </w:rPr>
        <w:t>«О мерах по реализации демографической политики Российской Федерации»</w:t>
      </w:r>
      <w:r>
        <w:rPr>
          <w:sz w:val="28"/>
        </w:rPr>
        <w:t xml:space="preserve">, от 7 мая 2018 года № 204 «О национальных целях и стратегических задачах развития Российской Федерации на период до 2024 года», </w:t>
      </w:r>
      <w:r>
        <w:rPr>
          <w:sz w:val="28"/>
          <w:szCs w:val="28"/>
        </w:rPr>
        <w:t>Стратегии социально-экономического развития Северо-Кавказского федерального округа до 2025 года, Стратегии социально-экономического развития Ставропольского края до 2025 года, Схеме территориального планирова</w:t>
        <w:softHyphen/>
        <w:t>ния Ставропольского края.</w:t>
      </w:r>
    </w:p>
    <w:p>
      <w:pPr>
        <w:pStyle w:val="Style27"/>
        <w:spacing w:lineRule="auto" w:line="240"/>
        <w:rPr>
          <w:rFonts w:eastAsia="Times New Roman"/>
          <w:szCs w:val="24"/>
          <w:lang w:eastAsia="ru-RU"/>
        </w:rPr>
      </w:pPr>
      <w:r>
        <w:rPr>
          <w:rFonts w:eastAsia="Times New Roman"/>
          <w:szCs w:val="24"/>
          <w:lang w:eastAsia="ru-RU"/>
        </w:rPr>
        <w:t>В Стратегии учтены положения:</w:t>
      </w:r>
    </w:p>
    <w:p>
      <w:pPr>
        <w:pStyle w:val="Style27"/>
        <w:spacing w:lineRule="auto" w:line="240"/>
        <w:rPr>
          <w:rFonts w:eastAsia="Times New Roman"/>
          <w:szCs w:val="24"/>
          <w:lang w:eastAsia="ru-RU"/>
        </w:rPr>
      </w:pPr>
      <w:r>
        <w:rPr>
          <w:rFonts w:eastAsia="Times New Roman"/>
          <w:szCs w:val="24"/>
          <w:lang w:eastAsia="ru-RU"/>
        </w:rPr>
        <w:t>Стратегии социально-экономического развития Северо-Кавказского федерального округа до 2025 года, утвержденной распоряжением Правительства Российской Федерации от 6 сентября 2010 г. №1485-р;</w:t>
      </w:r>
    </w:p>
    <w:p>
      <w:pPr>
        <w:pStyle w:val="Style27"/>
        <w:spacing w:lineRule="auto" w:line="240"/>
        <w:rPr>
          <w:rFonts w:eastAsia="Times New Roman"/>
          <w:szCs w:val="24"/>
          <w:lang w:eastAsia="ru-RU"/>
        </w:rPr>
      </w:pPr>
      <w:r>
        <w:rPr>
          <w:rFonts w:eastAsia="Times New Roman"/>
          <w:szCs w:val="24"/>
          <w:lang w:eastAsia="ru-RU"/>
        </w:rPr>
        <w:t>Стратегии социально-экономического развития Ставропольского края до 2020 года и на период до 2025 года, утвержденной распоряжением Правительства Ставропольского края от 15 июля 2009 года № 221-рп.</w:t>
      </w:r>
    </w:p>
    <w:p>
      <w:pPr>
        <w:pStyle w:val="Style27"/>
        <w:spacing w:lineRule="auto" w:line="240"/>
        <w:rPr>
          <w:rFonts w:eastAsia="Times New Roman"/>
          <w:szCs w:val="24"/>
          <w:lang w:eastAsia="ru-RU"/>
        </w:rPr>
      </w:pPr>
      <w:r>
        <w:rPr>
          <w:rFonts w:eastAsia="Times New Roman"/>
          <w:szCs w:val="24"/>
          <w:lang w:eastAsia="ru-RU"/>
        </w:rPr>
        <w:t>Стратегии развития санаторно-курортного комплекса Российской Федерации, утвержденной распоряжением Правительства Российской Федерации от 26 ноября 2018 г. № 2581-р;</w:t>
      </w:r>
    </w:p>
    <w:p>
      <w:pPr>
        <w:pStyle w:val="Style27"/>
        <w:spacing w:lineRule="auto" w:line="240"/>
        <w:rPr>
          <w:rFonts w:eastAsia="Times New Roman"/>
          <w:szCs w:val="24"/>
          <w:lang w:eastAsia="ru-RU"/>
        </w:rPr>
      </w:pPr>
      <w:r>
        <w:rPr>
          <w:rFonts w:eastAsia="Times New Roman"/>
          <w:szCs w:val="24"/>
          <w:lang w:eastAsia="ru-RU"/>
        </w:rPr>
        <w:t>Стратегии развития туризма в Российской Федерации на период до 2020 года, утвержденной распоряжением Правительства Российской Федерации от 31 мая 2014 г. № 941-р;</w:t>
      </w:r>
    </w:p>
    <w:p>
      <w:pPr>
        <w:pStyle w:val="Style27"/>
        <w:spacing w:lineRule="auto" w:line="240"/>
        <w:rPr>
          <w:rFonts w:eastAsia="Times New Roman"/>
          <w:szCs w:val="24"/>
          <w:lang w:eastAsia="ru-RU"/>
        </w:rPr>
      </w:pPr>
      <w:r>
        <w:rPr>
          <w:rFonts w:eastAsia="Times New Roman"/>
          <w:szCs w:val="24"/>
          <w:lang w:eastAsia="ru-RU"/>
        </w:rPr>
        <w:t>Стратегии развития государственной политики Российской Федерации в отношении российского казачества до 2020 года, утвержденной Президентом Российской Федерации от 15.09.2012 № Пр-2789;</w:t>
      </w:r>
    </w:p>
    <w:p>
      <w:pPr>
        <w:pStyle w:val="Style27"/>
        <w:spacing w:lineRule="auto" w:line="240"/>
        <w:rPr>
          <w:rFonts w:eastAsia="Times New Roman"/>
          <w:szCs w:val="24"/>
          <w:lang w:eastAsia="ru-RU"/>
        </w:rPr>
      </w:pPr>
      <w:r>
        <w:rPr>
          <w:rFonts w:eastAsia="Times New Roman"/>
          <w:szCs w:val="24"/>
          <w:lang w:eastAsia="ru-RU"/>
        </w:rPr>
        <w:t>Стратегии инновационного развития Российской Федерации на период до 2020 года, утвержденной распоряжением Правительства Российской Федерации от 8 декабря 2011 г. № 2227-р;</w:t>
      </w:r>
    </w:p>
    <w:p>
      <w:pPr>
        <w:pStyle w:val="Style27"/>
        <w:spacing w:lineRule="auto" w:line="240"/>
        <w:rPr>
          <w:rFonts w:eastAsia="Times New Roman"/>
          <w:szCs w:val="24"/>
          <w:lang w:eastAsia="ru-RU"/>
        </w:rPr>
      </w:pPr>
      <w:r>
        <w:rPr>
          <w:rFonts w:eastAsia="Times New Roman"/>
          <w:szCs w:val="24"/>
          <w:lang w:eastAsia="ru-RU"/>
        </w:rPr>
        <w:t>Стратегии развития малого и среднего предпринимательства в Российской Федерации на период до 2030 года, утвержденной распоряжением Правительства Российской Федерации от 2 июня 2016 г. № 1083-р;</w:t>
      </w:r>
    </w:p>
    <w:p>
      <w:pPr>
        <w:pStyle w:val="Standard"/>
        <w:rPr>
          <w:sz w:val="28"/>
        </w:rPr>
      </w:pPr>
      <w:r>
        <w:rPr>
          <w:sz w:val="28"/>
          <w:lang w:eastAsia="ru-RU"/>
        </w:rPr>
        <w:t>Паспортов Национальных проектов «Демография», «Здравоохранение», «Образование», «Жилье и городская среда», «Экология», «Безопасные и качественные автомобильные дороги», «Производительность труда и поддержка</w:t>
      </w:r>
      <w:r>
        <w:rPr>
          <w:sz w:val="28"/>
        </w:rPr>
        <w:t xml:space="preserve"> занятости», «Наука», «Цифровая экономика», «Культура», «Малое и среднее предпринимательство и поддержка индивидуальной предпринимательской инициативы».</w:t>
      </w:r>
    </w:p>
    <w:p>
      <w:pPr>
        <w:pStyle w:val="Standard"/>
        <w:rPr>
          <w:sz w:val="28"/>
        </w:rPr>
      </w:pPr>
      <w:r>
        <w:rPr>
          <w:sz w:val="28"/>
        </w:rPr>
        <w:t>Сформулированные методологические подходы к разработке муниципальной стратегии в условиях перехода России к новой экономике, позволили определить место и роль города-курорта Железноводска в Ставропольском крае и в системе агломерации Кавказских Минеральных Вод. Стратегия развития города-курорта Железноводска Ставропольского края до 2035 года как документ стратегического планирования, определяет приоритеты, цели и задачи муниципального управления и социально-экономического развития города-курорта Железноводска Ставропольского края на долгосрочный период.</w:t>
      </w:r>
    </w:p>
    <w:p>
      <w:pPr>
        <w:pStyle w:val="Standard"/>
        <w:rPr>
          <w:sz w:val="28"/>
        </w:rPr>
      </w:pPr>
      <w:r>
        <w:rPr>
          <w:sz w:val="28"/>
        </w:rPr>
        <w:t>Стратегический замысел состоит в том, что максимально полное использование уникальных гидроминеральных ресурсов и природно-ландшафтного рельефа обеспечит развитие города Железноводска как курорта, экологически чистого города парков с развитой индустрией туризма и инфраструктурой развлечений и создаст основу для формирования туристско-рекреационного кластера, оказывающего мультипликативный эффект на развитие города.</w:t>
      </w:r>
    </w:p>
    <w:p>
      <w:pPr>
        <w:pStyle w:val="Style27"/>
        <w:spacing w:lineRule="auto" w:line="240"/>
        <w:rPr/>
      </w:pPr>
      <w:r>
        <w:rPr/>
        <w:t>Стратегия является документом целеполагания, базой системы стратегического планирования города. Положения Стратегии в дальнейшем раскрываются и конкретизируются, на ее основе разрабатываются схема территориального планирования города, план мероприятий по реализации Стратегии, муниципальные программы города.</w:t>
      </w:r>
    </w:p>
    <w:p>
      <w:pPr>
        <w:pStyle w:val="Standard"/>
        <w:rPr>
          <w:sz w:val="28"/>
        </w:rPr>
      </w:pPr>
      <w:r>
        <w:rPr>
          <w:sz w:val="28"/>
        </w:rPr>
      </w:r>
    </w:p>
    <w:p>
      <w:pPr>
        <w:pStyle w:val="Normal"/>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r>
        <w:br w:type="page"/>
      </w:r>
    </w:p>
    <w:p>
      <w:pPr>
        <w:pStyle w:val="3"/>
        <w:rPr/>
      </w:pPr>
      <w:bookmarkStart w:id="2" w:name="_Toc11337734"/>
      <w:bookmarkEnd w:id="2"/>
      <w:r>
        <w:rPr/>
        <w:t>1. СТРАТЕГИЧЕСКИЙ АНАЛИЗ СОЦИАЛЬНО-ЭКОНОМИЧЕСКОГО РАЗВИТИЯ ГОРОДА-КУРОРТА ЖЕЛЕЗНОВОДСКА СТАВРОПОЛЬСКОГО КРАЯ</w:t>
      </w:r>
    </w:p>
    <w:p>
      <w:pPr>
        <w:pStyle w:val="Style27"/>
        <w:rPr>
          <w:lang w:eastAsia="zh-CN"/>
        </w:rPr>
      </w:pPr>
      <w:r>
        <w:rPr>
          <w:lang w:eastAsia="zh-CN"/>
        </w:rPr>
      </w:r>
    </w:p>
    <w:p>
      <w:pPr>
        <w:pStyle w:val="3"/>
        <w:rPr/>
      </w:pPr>
      <w:bookmarkStart w:id="3" w:name="_Toc11337735"/>
      <w:bookmarkEnd w:id="3"/>
      <w:r>
        <w:rPr/>
        <w:t>1.1 Краткая характеристика города-курорта Железноводска Ставропольского края</w:t>
      </w:r>
    </w:p>
    <w:p>
      <w:pPr>
        <w:pStyle w:val="Normal"/>
        <w:spacing w:lineRule="auto" w:line="240" w:before="0" w:after="0"/>
        <w:ind w:firstLine="567"/>
        <w:jc w:val="center"/>
        <w:rPr>
          <w:rFonts w:ascii="Times New Roman" w:hAnsi="Times New Roman" w:cs="Times New Roman"/>
          <w:b/>
          <w:b/>
          <w:bCs/>
          <w:sz w:val="28"/>
          <w:szCs w:val="28"/>
        </w:rPr>
      </w:pPr>
      <w:r>
        <w:rPr>
          <w:rFonts w:cs="Times New Roman" w:ascii="Times New Roman" w:hAnsi="Times New Roman"/>
          <w:b/>
          <w:bCs/>
          <w:sz w:val="28"/>
          <w:szCs w:val="28"/>
        </w:rPr>
      </w:r>
    </w:p>
    <w:p>
      <w:pPr>
        <w:pStyle w:val="3"/>
        <w:rPr>
          <w:b w:val="false"/>
          <w:b w:val="false"/>
        </w:rPr>
      </w:pPr>
      <w:bookmarkStart w:id="4" w:name="_Toc11337736"/>
      <w:bookmarkEnd w:id="4"/>
      <w:r>
        <w:rPr>
          <w:b w:val="false"/>
        </w:rPr>
        <w:t>1.1.1 Географическое положение</w:t>
      </w:r>
    </w:p>
    <w:p>
      <w:pPr>
        <w:pStyle w:val="Normal"/>
        <w:spacing w:lineRule="auto" w:line="240" w:before="0" w:after="0"/>
        <w:ind w:firstLine="567"/>
        <w:jc w:val="center"/>
        <w:rPr>
          <w:rFonts w:ascii="Times New Roman" w:hAnsi="Times New Roman" w:cs="Times New Roman"/>
          <w:b/>
          <w:b/>
          <w:bCs/>
          <w:sz w:val="28"/>
          <w:szCs w:val="28"/>
        </w:rPr>
      </w:pPr>
      <w:r>
        <w:rPr>
          <w:rFonts w:cs="Times New Roman" w:ascii="Times New Roman" w:hAnsi="Times New Roman"/>
          <w:b/>
          <w:bCs/>
          <w:sz w:val="28"/>
          <w:szCs w:val="28"/>
        </w:rPr>
      </w:r>
    </w:p>
    <w:p>
      <w:pPr>
        <w:pStyle w:val="12"/>
        <w:spacing w:before="0" w:after="0"/>
        <w:ind w:firstLine="709"/>
        <w:jc w:val="both"/>
        <w:rPr>
          <w:sz w:val="28"/>
          <w:szCs w:val="28"/>
          <w:lang w:eastAsia="zh-CN"/>
        </w:rPr>
      </w:pPr>
      <w:r>
        <w:rPr>
          <w:sz w:val="28"/>
          <w:szCs w:val="28"/>
          <w:lang w:eastAsia="zh-CN"/>
        </w:rPr>
        <w:t xml:space="preserve">Город-курорт Железноводск, основанный в 1810 году, является административно - территориальной единицей Ставропольского края. Город располагается на территории особо охраняемого эколого-курортного региона - Кавказские Минеральные Воды, созданного в соответствии с Указом Президента Российской Федерации от 27 марта 1992 года N 309 "Об особо охраняемом эколого-курортном регионе Российской Федерации - Кавказские Минеральные Воды" и является курортом федерального значения в соответствии с  постановлением Правительства Российской Федерации от 17 января 2006 г. №14 «О признании курортов Ессентуки, Железноводск, Кисловодск и Пятигорск, расположенных в Ставропольском крае, курортами федерального значения и об утверждении положений об этих курортах». </w:t>
      </w:r>
    </w:p>
    <w:p>
      <w:pPr>
        <w:pStyle w:val="12"/>
        <w:spacing w:before="0" w:after="0"/>
        <w:ind w:firstLine="709"/>
        <w:jc w:val="both"/>
        <w:rPr>
          <w:sz w:val="28"/>
          <w:szCs w:val="28"/>
          <w:lang w:eastAsia="zh-CN"/>
        </w:rPr>
      </w:pPr>
      <w:r>
        <w:rPr>
          <w:sz w:val="28"/>
          <w:szCs w:val="28"/>
          <w:lang w:eastAsia="zh-CN"/>
        </w:rPr>
        <w:t xml:space="preserve">Железноводск находится на территории Ставропольского края в самой живописной местности особо охраняемого эколого-курортного региона Кавказских Минеральных Вод. </w:t>
      </w:r>
    </w:p>
    <w:p>
      <w:pPr>
        <w:pStyle w:val="12"/>
        <w:spacing w:before="0" w:after="0"/>
        <w:ind w:firstLine="709"/>
        <w:jc w:val="both"/>
        <w:rPr>
          <w:sz w:val="28"/>
          <w:szCs w:val="28"/>
        </w:rPr>
      </w:pPr>
      <w:r>
        <w:drawing>
          <wp:anchor behindDoc="0" distT="0" distB="0" distL="0" distR="0" simplePos="0" locked="0" layoutInCell="1" allowOverlap="1" relativeHeight="2">
            <wp:simplePos x="0" y="0"/>
            <wp:positionH relativeFrom="column">
              <wp:posOffset>5715</wp:posOffset>
            </wp:positionH>
            <wp:positionV relativeFrom="paragraph">
              <wp:posOffset>962025</wp:posOffset>
            </wp:positionV>
            <wp:extent cx="6172200" cy="3105785"/>
            <wp:effectExtent l="0" t="0" r="0" b="0"/>
            <wp:wrapTopAndBottom/>
            <wp:docPr id="1"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1" descr=""/>
                    <pic:cNvPicPr>
                      <a:picLocks noChangeAspect="1" noChangeArrowheads="1"/>
                    </pic:cNvPicPr>
                  </pic:nvPicPr>
                  <pic:blipFill>
                    <a:blip r:embed="rId2"/>
                    <a:stretch>
                      <a:fillRect/>
                    </a:stretch>
                  </pic:blipFill>
                  <pic:spPr bwMode="auto">
                    <a:xfrm>
                      <a:off x="0" y="0"/>
                      <a:ext cx="6172200" cy="3105785"/>
                    </a:xfrm>
                    <a:prstGeom prst="rect">
                      <a:avLst/>
                    </a:prstGeom>
                    <a:noFill/>
                    <a:ln w="9525">
                      <a:noFill/>
                      <a:miter lim="800000"/>
                      <a:headEnd/>
                      <a:tailEnd/>
                    </a:ln>
                  </pic:spPr>
                </pic:pic>
              </a:graphicData>
            </a:graphic>
          </wp:anchor>
        </w:drawing>
      </w:r>
      <w:r>
        <w:rPr>
          <w:sz w:val="28"/>
          <w:szCs w:val="28"/>
          <w:lang w:eastAsia="zh-CN"/>
        </w:rPr>
        <w:t>П</w:t>
      </w:r>
      <w:r>
        <w:rPr>
          <w:sz w:val="28"/>
          <w:szCs w:val="28"/>
          <w:lang w:eastAsia="zh-CN"/>
        </w:rPr>
        <w:t>лощадь города – 9313 га (0,1 % территории Ставропольского края). В состав территории города входят населенные пункты, не являющиеся поселениями: поселок Иноземцево, микрорайон Бештау, жилые районы - Капельница и Розы Люксембург.</w:t>
      </w:r>
    </w:p>
    <w:p>
      <w:pPr>
        <w:pStyle w:val="Normal"/>
        <w:spacing w:lineRule="auto" w:line="240" w:before="0" w:after="0"/>
        <w:ind w:firstLine="709"/>
        <w:jc w:val="center"/>
        <w:rPr>
          <w:rFonts w:ascii="Times New Roman" w:hAnsi="Times New Roman" w:cs="Times New Roman"/>
          <w:b/>
          <w:b/>
          <w:sz w:val="24"/>
          <w:szCs w:val="28"/>
        </w:rPr>
      </w:pPr>
      <w:r>
        <w:rPr>
          <w:rFonts w:cs="Times New Roman" w:ascii="Times New Roman" w:hAnsi="Times New Roman"/>
          <w:b/>
          <w:sz w:val="24"/>
          <w:szCs w:val="28"/>
        </w:rPr>
        <w:t>Рис. 1 – Карта города</w:t>
      </w:r>
    </w:p>
    <w:p>
      <w:pPr>
        <w:pStyle w:val="Normal"/>
        <w:tabs>
          <w:tab w:val="left" w:pos="1119" w:leader="none"/>
        </w:tabs>
        <w:spacing w:lineRule="auto" w:line="240" w:before="0" w:after="0"/>
        <w:ind w:firstLine="709"/>
        <w:jc w:val="center"/>
        <w:rPr>
          <w:rFonts w:ascii="Times New Roman" w:hAnsi="Times New Roman" w:cs="Times New Roman"/>
          <w:b/>
          <w:b/>
          <w:sz w:val="24"/>
          <w:szCs w:val="28"/>
        </w:rPr>
      </w:pPr>
      <w:r>
        <w:rPr>
          <w:rFonts w:cs="Times New Roman" w:ascii="Times New Roman" w:hAnsi="Times New Roman"/>
          <w:b/>
          <w:sz w:val="24"/>
          <w:szCs w:val="28"/>
        </w:rPr>
      </w:r>
    </w:p>
    <w:p>
      <w:pPr>
        <w:pStyle w:val="Normal"/>
        <w:tabs>
          <w:tab w:val="left" w:pos="1119"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color w:val="000000"/>
          <w:sz w:val="28"/>
          <w:szCs w:val="28"/>
        </w:rPr>
        <w:t xml:space="preserve">С юга панорама ограничивается отдельным массивом горы Бештау </w:t>
        <w:br/>
        <w:t>(1401 м), на востоке видны круглые синеватые вершины Лысой горы и Машука, на западе громоздятся Острая и Тупая, Медовая, Верблюд и Бык, на севере Развалка, Змейка и Железная (852 м).</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Город Железноводск занимает южный, западный и частично восточный склоны горы Железной. Крутизна нижних частей склонов этой горы 5-15 м, привершинные её части более крутые и прорезаны ложбинами шириной                              100-150 м. Склоны горы залесены. </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Поселок Иноземцево расположен на дне амфитеатра, образованного склонами двух, наиболее крупных в районе Кавказских Минеральных Вод, гор-лакколитов: на западе - гора Бештау (</w:t>
      </w:r>
      <w:r>
        <w:rPr>
          <w:rFonts w:cs="Times New Roman" w:ascii="Times New Roman" w:hAnsi="Times New Roman"/>
          <w:color w:val="000000"/>
          <w:sz w:val="28"/>
          <w:szCs w:val="28"/>
        </w:rPr>
        <w:t>1401 м</w:t>
      </w:r>
      <w:r>
        <w:rPr>
          <w:rFonts w:cs="Times New Roman" w:ascii="Times New Roman" w:hAnsi="Times New Roman"/>
          <w:sz w:val="28"/>
          <w:szCs w:val="28"/>
        </w:rPr>
        <w:t>), на юге – гора Машук (994 м). С востока этот амфитеатр ограничен уступом низкого плато, высотой    80-100 м, представляющим собой высокую террасу реки Подкумок.</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Район города Железноводска расположен в центральной части минераловодского поперечного поднятия, разделяющего Терско-Кумский и Восточно-Кубанский предгорные прогибы. Основная геологическая структура района Кавказских Минеральных Вод – моноклиналь, которая сложена, в основном, из отложений мела палеогена и неогена, и которая прорвана малыми интрузиями граноменит-порфирия (Железная, Развалка, Медовая и др.)</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В геологическом строении территории принимают участие осадочные терригенно–карбонатные мезазойские и кайнозойские отложения. </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Всего на сколах горы Железной насчитывается 19 полей травертинов, мощностью по 3-4 м.</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Постоянные водоносные горизонты в коренных отложениях залегают на значительных глубинах, оказывают большое влияние на качество вод и характер распределения основных минеральных источников, являющихся причиной создания курорта города Железноводска, но на инженерно-геологические особенности территории практически не влияют. С точки зрения влияния на инженерно-строительные особенности местности гораздо большее значение имеет степень и характер обводненности рыхлых пород. По характеру обводнения рыхлых пород район относится к зоне спорадического обводнения. В нем выделяются водоносные горизонты.</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Склоны горы Железная и Бештау представляют собой поросшую лесом местность, по которой течет несколько ручьев, несущих воду к подножью гор. Действуют ручьи преимущественно во время дождей и ливней, а также при таянии снега на дренируемых склонах, некоторое подпитываемые ручьи имеют из грунтов, слагающих склоны.</w:t>
      </w:r>
    </w:p>
    <w:p>
      <w:pPr>
        <w:pStyle w:val="Normal"/>
        <w:spacing w:lineRule="auto" w:line="240" w:before="0" w:after="0"/>
        <w:ind w:firstLine="709"/>
        <w:jc w:val="both"/>
        <w:rPr>
          <w:rFonts w:ascii="Times New Roman" w:hAnsi="Times New Roman" w:eastAsia="Symbol" w:cs="Times New Roman"/>
          <w:sz w:val="28"/>
          <w:szCs w:val="28"/>
        </w:rPr>
      </w:pPr>
      <w:r>
        <w:rPr>
          <w:rFonts w:eastAsia="Symbol" w:cs="Times New Roman" w:ascii="Times New Roman" w:hAnsi="Times New Roman"/>
          <w:sz w:val="28"/>
          <w:szCs w:val="28"/>
        </w:rPr>
      </w:r>
    </w:p>
    <w:p>
      <w:pPr>
        <w:pStyle w:val="Normal"/>
        <w:spacing w:lineRule="auto" w:line="240" w:before="0" w:after="0"/>
        <w:ind w:firstLine="709"/>
        <w:jc w:val="both"/>
        <w:rPr>
          <w:rFonts w:ascii="Times New Roman" w:hAnsi="Times New Roman" w:eastAsia="Symbol" w:cs="Times New Roman"/>
          <w:sz w:val="28"/>
          <w:szCs w:val="28"/>
        </w:rPr>
      </w:pPr>
      <w:r>
        <w:rPr>
          <w:rFonts w:eastAsia="Symbol" w:cs="Times New Roman" w:ascii="Times New Roman" w:hAnsi="Times New Roman"/>
          <w:sz w:val="28"/>
          <w:szCs w:val="28"/>
        </w:rPr>
      </w:r>
    </w:p>
    <w:p>
      <w:pPr>
        <w:pStyle w:val="Normal"/>
        <w:spacing w:lineRule="auto" w:line="240" w:before="0" w:after="0"/>
        <w:ind w:firstLine="709"/>
        <w:jc w:val="both"/>
        <w:rPr>
          <w:rFonts w:ascii="Times New Roman" w:hAnsi="Times New Roman" w:eastAsia="Symbol" w:cs="Times New Roman"/>
          <w:sz w:val="28"/>
          <w:szCs w:val="28"/>
        </w:rPr>
      </w:pPr>
      <w:r>
        <w:rPr>
          <w:rFonts w:eastAsia="Symbol" w:cs="Times New Roman" w:ascii="Times New Roman" w:hAnsi="Times New Roman"/>
          <w:sz w:val="28"/>
          <w:szCs w:val="28"/>
        </w:rPr>
      </w:r>
    </w:p>
    <w:p>
      <w:pPr>
        <w:pStyle w:val="Normal"/>
        <w:spacing w:lineRule="auto" w:line="240" w:before="0" w:after="0"/>
        <w:ind w:firstLine="709"/>
        <w:jc w:val="both"/>
        <w:rPr>
          <w:rFonts w:ascii="Times New Roman" w:hAnsi="Times New Roman" w:eastAsia="Symbol" w:cs="Times New Roman"/>
          <w:sz w:val="28"/>
          <w:szCs w:val="28"/>
        </w:rPr>
      </w:pPr>
      <w:r>
        <w:rPr>
          <w:rFonts w:eastAsia="Symbol" w:cs="Times New Roman" w:ascii="Times New Roman" w:hAnsi="Times New Roman"/>
          <w:sz w:val="28"/>
          <w:szCs w:val="28"/>
        </w:rPr>
      </w:r>
    </w:p>
    <w:p>
      <w:pPr>
        <w:pStyle w:val="Normal"/>
        <w:spacing w:lineRule="auto" w:line="240" w:before="0" w:after="0"/>
        <w:ind w:firstLine="709"/>
        <w:jc w:val="both"/>
        <w:rPr>
          <w:rFonts w:ascii="Times New Roman" w:hAnsi="Times New Roman" w:eastAsia="Symbol" w:cs="Times New Roman"/>
          <w:sz w:val="28"/>
          <w:szCs w:val="28"/>
        </w:rPr>
      </w:pPr>
      <w:r>
        <w:rPr>
          <w:rFonts w:eastAsia="Symbol" w:cs="Times New Roman" w:ascii="Times New Roman" w:hAnsi="Times New Roman"/>
          <w:sz w:val="28"/>
          <w:szCs w:val="28"/>
        </w:rPr>
      </w:r>
    </w:p>
    <w:p>
      <w:pPr>
        <w:pStyle w:val="3"/>
        <w:rPr>
          <w:b w:val="false"/>
          <w:b w:val="false"/>
        </w:rPr>
      </w:pPr>
      <w:bookmarkStart w:id="5" w:name="_Toc11337737"/>
      <w:bookmarkEnd w:id="5"/>
      <w:r>
        <w:rPr>
          <w:b w:val="false"/>
        </w:rPr>
        <w:t>1.1.2 Природные ресурсы и экология</w:t>
      </w:r>
    </w:p>
    <w:p>
      <w:pPr>
        <w:pStyle w:val="Normal"/>
        <w:spacing w:lineRule="auto" w:line="240" w:before="0" w:after="0"/>
        <w:ind w:firstLine="709"/>
        <w:jc w:val="center"/>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240" w:before="0" w:after="0"/>
        <w:ind w:firstLine="709"/>
        <w:jc w:val="both"/>
        <w:rPr>
          <w:rFonts w:ascii="Times New Roman" w:hAnsi="Times New Roman" w:eastAsia="Symbol" w:cs="Times New Roman"/>
          <w:color w:val="008000"/>
          <w:sz w:val="28"/>
          <w:szCs w:val="28"/>
        </w:rPr>
      </w:pPr>
      <w:r>
        <w:rPr>
          <w:rFonts w:eastAsia="Symbol" w:cs="Times New Roman" w:ascii="Times New Roman" w:hAnsi="Times New Roman"/>
          <w:i/>
          <w:sz w:val="28"/>
          <w:szCs w:val="28"/>
        </w:rPr>
        <w:t>Природные ресурсы</w:t>
      </w:r>
    </w:p>
    <w:p>
      <w:pPr>
        <w:pStyle w:val="Normal"/>
        <w:spacing w:lineRule="auto" w:line="240" w:before="0" w:after="0"/>
        <w:ind w:firstLine="709"/>
        <w:jc w:val="both"/>
        <w:rPr>
          <w:rFonts w:ascii="Times New Roman" w:hAnsi="Times New Roman" w:eastAsia="Symbol" w:cs="Times New Roman"/>
          <w:bCs/>
          <w:sz w:val="28"/>
          <w:szCs w:val="28"/>
        </w:rPr>
      </w:pPr>
      <w:r>
        <w:rPr>
          <w:rFonts w:eastAsia="Symbol" w:cs="Times New Roman" w:ascii="Times New Roman" w:hAnsi="Times New Roman"/>
          <w:sz w:val="28"/>
          <w:szCs w:val="28"/>
        </w:rPr>
        <w:t xml:space="preserve">Полезные ископаемые представлены подземными минеральными водами. </w:t>
      </w:r>
      <w:r>
        <w:rPr>
          <w:rFonts w:eastAsia="Symbol" w:cs="Times New Roman" w:ascii="Times New Roman" w:hAnsi="Times New Roman"/>
          <w:bCs/>
          <w:sz w:val="28"/>
          <w:szCs w:val="28"/>
        </w:rPr>
        <w:t xml:space="preserve">В настоящее время в Железноводске 23 источника лечебной минеральной воды, используются 13. </w:t>
      </w:r>
    </w:p>
    <w:p>
      <w:pPr>
        <w:pStyle w:val="Normal"/>
        <w:spacing w:lineRule="auto" w:line="240" w:before="0" w:after="0"/>
        <w:ind w:firstLine="709"/>
        <w:jc w:val="both"/>
        <w:rPr>
          <w:rFonts w:ascii="Times New Roman" w:hAnsi="Times New Roman" w:eastAsia="Symbol" w:cs="Times New Roman"/>
          <w:sz w:val="28"/>
          <w:szCs w:val="28"/>
        </w:rPr>
      </w:pPr>
      <w:r>
        <w:rPr>
          <w:rFonts w:eastAsia="Symbol" w:cs="Times New Roman" w:ascii="Times New Roman" w:hAnsi="Times New Roman"/>
          <w:bCs/>
          <w:sz w:val="28"/>
          <w:szCs w:val="28"/>
        </w:rPr>
        <w:t>Минеральные источники по месту своего расположения распадаются на две главные группы стационарных источников города Железноводска. Представителем первой группы - южной является источник №1, вода которого захвачена буровой, проведенной в забое штольни, непосредственно в трахитах. Другая – восточная группа включает целый ряд источников. Наиболее горячие из них (55</w:t>
      </w:r>
      <w:r>
        <w:rPr>
          <w:rFonts w:eastAsia="Symbol" w:cs="Times New Roman" w:ascii="Times New Roman" w:hAnsi="Times New Roman"/>
          <w:sz w:val="28"/>
          <w:szCs w:val="28"/>
        </w:rPr>
        <w:t>°</w:t>
      </w:r>
      <w:r>
        <w:rPr>
          <w:rFonts w:eastAsia="Symbol" w:cs="Times New Roman" w:ascii="Times New Roman" w:hAnsi="Times New Roman"/>
          <w:bCs/>
          <w:sz w:val="28"/>
          <w:szCs w:val="28"/>
        </w:rPr>
        <w:t xml:space="preserve"> С) источник Славяновский, выведенный буровой скважиной, имеющей глубину 120 метров. Есть еще выход минеральной воды на северном склоне, имеющий название Кегамовского источника, а также на западном, носящий название Владимирского. </w:t>
      </w:r>
    </w:p>
    <w:p>
      <w:pPr>
        <w:pStyle w:val="Normal"/>
        <w:spacing w:lineRule="auto" w:line="240" w:before="0" w:after="0"/>
        <w:ind w:firstLine="709"/>
        <w:jc w:val="both"/>
        <w:rPr>
          <w:rFonts w:ascii="Times New Roman" w:hAnsi="Times New Roman" w:eastAsia="Symbol" w:cs="Times New Roman"/>
          <w:sz w:val="28"/>
          <w:szCs w:val="28"/>
        </w:rPr>
      </w:pPr>
      <w:r>
        <w:rPr>
          <w:rFonts w:eastAsia="Symbol" w:cs="Times New Roman" w:ascii="Times New Roman" w:hAnsi="Times New Roman"/>
          <w:sz w:val="28"/>
          <w:szCs w:val="28"/>
        </w:rPr>
        <w:t>Минеральные воды относятся к Железноводскому типу и характеризуются сульфатно-гидрокарбонатным и кальциево-натриевым составом с минерализацией 2,5-5,0 г/дм, содержанием растворенной углекислоты                           0,2-1,4 г/дм. Температура воды, в зависимости от глубины вскрытия колеблется о т 16°С до 750°С.</w:t>
      </w:r>
    </w:p>
    <w:p>
      <w:pPr>
        <w:pStyle w:val="Normal"/>
        <w:spacing w:lineRule="auto" w:line="240" w:before="0" w:after="0"/>
        <w:ind w:firstLine="709"/>
        <w:jc w:val="both"/>
        <w:rPr>
          <w:rFonts w:ascii="Times New Roman" w:hAnsi="Times New Roman" w:eastAsia="Symbol" w:cs="Times New Roman"/>
          <w:b/>
          <w:b/>
          <w:bCs/>
          <w:sz w:val="28"/>
          <w:szCs w:val="28"/>
        </w:rPr>
      </w:pPr>
      <w:r>
        <w:rPr>
          <w:rFonts w:eastAsia="Symbol" w:cs="Times New Roman" w:ascii="Times New Roman" w:hAnsi="Times New Roman"/>
          <w:sz w:val="28"/>
          <w:szCs w:val="28"/>
        </w:rPr>
        <w:t xml:space="preserve">Эксплуатационные запасы двух типов минеральных вод Железноводского месторождения, прошедших государственную экспертизу, составляют </w:t>
        <w:br/>
        <w:t>2126 м3/сутки.</w:t>
      </w:r>
    </w:p>
    <w:p>
      <w:pPr>
        <w:pStyle w:val="Normal"/>
        <w:spacing w:lineRule="auto" w:line="240" w:before="0" w:after="0"/>
        <w:ind w:firstLine="709"/>
        <w:jc w:val="both"/>
        <w:rPr>
          <w:rFonts w:ascii="Times New Roman" w:hAnsi="Times New Roman" w:eastAsia="Symbol" w:cs="Times New Roman"/>
          <w:sz w:val="28"/>
          <w:szCs w:val="28"/>
        </w:rPr>
      </w:pPr>
      <w:r>
        <w:rPr>
          <w:rFonts w:eastAsia="Symbol" w:cs="Times New Roman" w:ascii="Times New Roman" w:hAnsi="Times New Roman"/>
          <w:i/>
          <w:color w:val="000000"/>
          <w:sz w:val="28"/>
          <w:szCs w:val="28"/>
        </w:rPr>
        <w:t>Климатические ресурсы</w:t>
      </w:r>
    </w:p>
    <w:p>
      <w:pPr>
        <w:pStyle w:val="12"/>
        <w:spacing w:before="0" w:after="0"/>
        <w:ind w:firstLine="709"/>
        <w:jc w:val="both"/>
        <w:rPr>
          <w:sz w:val="28"/>
          <w:szCs w:val="28"/>
        </w:rPr>
      </w:pPr>
      <w:r>
        <w:rPr>
          <w:sz w:val="28"/>
          <w:szCs w:val="28"/>
        </w:rPr>
        <w:t>Климат горно-лесной с выраженным влиянием окружающих ставропольских степей. Важным фактором, влияющим на климат территории, является циркуляция атмосферы. Проникающий сюда арктический воздух сменяется воздушными морскими массами, холодные вторжения из Казахстана - выносами тропического воздуха из Средиземного моря и Ирана.</w:t>
      </w:r>
    </w:p>
    <w:p>
      <w:pPr>
        <w:pStyle w:val="12"/>
        <w:spacing w:before="0" w:after="0"/>
        <w:ind w:firstLine="709"/>
        <w:jc w:val="both"/>
        <w:rPr>
          <w:sz w:val="28"/>
          <w:szCs w:val="28"/>
        </w:rPr>
      </w:pPr>
      <w:r>
        <w:rPr>
          <w:sz w:val="28"/>
          <w:szCs w:val="28"/>
        </w:rPr>
        <w:t>Самый теплый месяц - июль (средняя температура около +21°С, возможно повышение температуры до +37°С). Однако небольшая влажность воздуха и обилие зелени способствуют тому, что жара переносится легко. Зима не холодная, средняя температура в декабре -2°С, в январе около -3°С, в феврале около -4°С, однако в отдельные дни температура может снижаться до -20°С и даже до -25°С. Весна часто холоднее осени, с заморозками, продолжающимися до середины апреля. В начале осени наблюдаются солнечные и сухие дни. В середине октября наступают заморозки, учащаются туманы и увеличивается облачность.</w:t>
      </w:r>
    </w:p>
    <w:p>
      <w:pPr>
        <w:pStyle w:val="12"/>
        <w:spacing w:before="0" w:after="0"/>
        <w:ind w:firstLine="709"/>
        <w:jc w:val="both"/>
        <w:rPr>
          <w:sz w:val="28"/>
          <w:szCs w:val="28"/>
        </w:rPr>
      </w:pPr>
      <w:r>
        <w:rPr>
          <w:sz w:val="28"/>
          <w:szCs w:val="28"/>
        </w:rPr>
        <w:t>Осадков выпадает за год около 600 мм, наибольшее число их бывает в конце весны и начале лета. Относительная влажность в зимние месяцы - 70-80%, в летние - 50-60%.</w:t>
      </w:r>
    </w:p>
    <w:p>
      <w:pPr>
        <w:pStyle w:val="Normal"/>
        <w:spacing w:lineRule="auto" w:line="240" w:before="0" w:after="0"/>
        <w:ind w:firstLine="709"/>
        <w:jc w:val="both"/>
        <w:rPr>
          <w:rFonts w:ascii="Times New Roman" w:hAnsi="Times New Roman" w:eastAsia="Symbol" w:cs="Times New Roman"/>
          <w:sz w:val="28"/>
          <w:szCs w:val="28"/>
        </w:rPr>
      </w:pPr>
      <w:r>
        <w:rPr>
          <w:rFonts w:eastAsia="Symbol" w:cs="Times New Roman" w:ascii="Times New Roman" w:hAnsi="Times New Roman"/>
          <w:sz w:val="28"/>
          <w:szCs w:val="28"/>
        </w:rPr>
        <w:t>Благоприятные особенности низкогорного климата города Железноводска формируются в результате пониженного атмосферного давления, пониженного содержания кислорода в воздухе, повышенного содержания естественной ионизации. Продолжительность солнечного сияния составляет – 1740 часов в год.</w:t>
      </w:r>
    </w:p>
    <w:p>
      <w:pPr>
        <w:pStyle w:val="Normal"/>
        <w:spacing w:lineRule="auto" w:line="240" w:before="0" w:after="0"/>
        <w:ind w:firstLine="709"/>
        <w:jc w:val="both"/>
        <w:rPr>
          <w:rFonts w:ascii="Times New Roman" w:hAnsi="Times New Roman" w:eastAsia="Symbol" w:cs="Times New Roman"/>
          <w:sz w:val="28"/>
          <w:szCs w:val="28"/>
        </w:rPr>
      </w:pPr>
      <w:r>
        <w:rPr>
          <w:rFonts w:eastAsia="Symbol" w:cs="Times New Roman" w:ascii="Times New Roman" w:hAnsi="Times New Roman"/>
          <w:i/>
          <w:color w:val="000000"/>
          <w:sz w:val="28"/>
          <w:szCs w:val="28"/>
        </w:rPr>
        <w:t>Водные ресурсы</w:t>
      </w:r>
    </w:p>
    <w:p>
      <w:pPr>
        <w:pStyle w:val="Normal"/>
        <w:spacing w:lineRule="auto" w:line="240" w:before="0" w:after="0"/>
        <w:ind w:firstLine="709"/>
        <w:jc w:val="both"/>
        <w:rPr>
          <w:rFonts w:ascii="Times New Roman" w:hAnsi="Times New Roman" w:eastAsia="Symbol" w:cs="Times New Roman"/>
          <w:sz w:val="28"/>
          <w:szCs w:val="28"/>
        </w:rPr>
      </w:pPr>
      <w:r>
        <w:rPr>
          <w:rFonts w:cs="Times New Roman" w:ascii="Times New Roman" w:hAnsi="Times New Roman"/>
          <w:sz w:val="28"/>
          <w:szCs w:val="28"/>
        </w:rPr>
        <w:t>В черте города наибольшими водотоками является ручей Кучук, имеющий площадь водосбора 4,98 км</w:t>
      </w:r>
      <w:r>
        <w:rPr>
          <w:rFonts w:cs="Times New Roman" w:ascii="Times New Roman" w:hAnsi="Times New Roman"/>
          <w:sz w:val="28"/>
          <w:szCs w:val="28"/>
          <w:vertAlign w:val="superscript"/>
        </w:rPr>
        <w:t>2</w:t>
      </w:r>
      <w:r>
        <w:rPr>
          <w:rFonts w:cs="Times New Roman" w:ascii="Times New Roman" w:hAnsi="Times New Roman"/>
          <w:sz w:val="28"/>
          <w:szCs w:val="28"/>
        </w:rPr>
        <w:t xml:space="preserve"> и Железная балка с площадью водосбора 2,88 км</w:t>
      </w:r>
      <w:r>
        <w:rPr>
          <w:rFonts w:cs="Times New Roman" w:ascii="Times New Roman" w:hAnsi="Times New Roman"/>
          <w:sz w:val="28"/>
          <w:szCs w:val="28"/>
          <w:vertAlign w:val="superscript"/>
        </w:rPr>
        <w:t>2</w:t>
      </w:r>
      <w:r>
        <w:rPr>
          <w:rFonts w:cs="Times New Roman" w:ascii="Times New Roman" w:hAnsi="Times New Roman"/>
          <w:sz w:val="28"/>
          <w:szCs w:val="28"/>
        </w:rPr>
        <w:t xml:space="preserve">. Наиболее крупными являются реки Джемуха и Кучук. Долины этих рек формируют террасированную поверхность равнинной части территории. Перепады высот на ней достигают 100-130 м. Отмечается до четырех надпойменных террас высотой от 1,5-7,0 м (первая) до 45-80 м (четвертая). Крутизна склонов крупных балок 15-30 </w:t>
      </w:r>
      <w:r>
        <w:rPr>
          <w:rFonts w:eastAsia="Symbol" w:cs="Times New Roman" w:ascii="Times New Roman" w:hAnsi="Times New Roman"/>
          <w:sz w:val="28"/>
          <w:szCs w:val="28"/>
        </w:rPr>
        <w:t>м.</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Глубина залегания грунтовых вод колеблется от долей метра (заболоченные участки) до 10 метров и более. Наиболее высокое положение уровня грунтовых вод связано с понижениями в рельефе. Уклоны потока грунтовых вод этих горизонтов значительные от 0,03-0,06% до 0,15-0,2%, что дает основание относить большую часть территории к дренированной зоне, учитывая еще и высокую проницаемость водо-вмещаемых пород на многих участках. Питание водоносного комплекса происходит за счет атмосферных осадков, утечек из городской сети водо-несущих коммуникаций и поверхностных водотоков, а также разгрузки вод до четвертичных (коренных) отложений. Расходуются грунтовые воды на испарение, ранспирацию, дренаж речной и балочной сетью и подземный отток. Тип режима грунтовых вод антропогенно-климатический. Особенности рельефа территории обусловили распространение на ней склонового и террасового видов режима. </w:t>
      </w:r>
    </w:p>
    <w:p>
      <w:pPr>
        <w:pStyle w:val="Normal"/>
        <w:spacing w:lineRule="auto" w:line="240" w:before="0" w:after="0"/>
        <w:ind w:firstLine="709"/>
        <w:jc w:val="both"/>
        <w:rPr>
          <w:rFonts w:ascii="Times New Roman" w:hAnsi="Times New Roman" w:eastAsia="Symbol" w:cs="Times New Roman"/>
          <w:sz w:val="28"/>
          <w:szCs w:val="28"/>
        </w:rPr>
      </w:pPr>
      <w:r>
        <w:rPr>
          <w:rFonts w:eastAsia="Symbol" w:cs="Times New Roman" w:ascii="Times New Roman" w:hAnsi="Times New Roman"/>
          <w:sz w:val="28"/>
          <w:szCs w:val="28"/>
        </w:rPr>
        <w:t>Также на территории городского округа имеется 6 крупных водоемов:</w:t>
      </w:r>
    </w:p>
    <w:p>
      <w:pPr>
        <w:pStyle w:val="Normal"/>
        <w:spacing w:lineRule="auto" w:line="240" w:before="0" w:after="0"/>
        <w:ind w:firstLine="709"/>
        <w:jc w:val="both"/>
        <w:rPr>
          <w:rFonts w:ascii="Times New Roman" w:hAnsi="Times New Roman" w:eastAsia="Symbol" w:cs="Times New Roman"/>
          <w:sz w:val="28"/>
          <w:szCs w:val="28"/>
        </w:rPr>
      </w:pPr>
      <w:r>
        <w:rPr>
          <w:rFonts w:eastAsia="Symbol" w:cs="Times New Roman" w:ascii="Times New Roman" w:hAnsi="Times New Roman"/>
          <w:sz w:val="28"/>
          <w:szCs w:val="28"/>
        </w:rPr>
        <w:t>Курортное озеро (декоративное) расположено на восточной окраине города-курорта Железноводска. Водная площадь 0,02 кв. км. Озеро благоустроено: берега укреплены выкладкой крупного булыжника.</w:t>
      </w:r>
    </w:p>
    <w:p>
      <w:pPr>
        <w:pStyle w:val="Normal"/>
        <w:spacing w:lineRule="auto" w:line="240" w:before="0" w:after="0"/>
        <w:ind w:firstLine="709"/>
        <w:jc w:val="both"/>
        <w:rPr>
          <w:rFonts w:ascii="Times New Roman" w:hAnsi="Times New Roman" w:eastAsia="Symbol" w:cs="Times New Roman"/>
          <w:sz w:val="28"/>
          <w:szCs w:val="28"/>
        </w:rPr>
      </w:pPr>
      <w:r>
        <w:rPr>
          <w:rFonts w:eastAsia="Symbol" w:cs="Times New Roman" w:ascii="Times New Roman" w:hAnsi="Times New Roman"/>
          <w:sz w:val="28"/>
          <w:szCs w:val="28"/>
        </w:rPr>
        <w:t>Озеро санатория «Дубовая роща» (рекреационное) расположено на территории санатория «Дубовая роща». Водная площадь 0,005 кв. км.</w:t>
      </w:r>
    </w:p>
    <w:p>
      <w:pPr>
        <w:pStyle w:val="Normal"/>
        <w:spacing w:lineRule="auto" w:line="240" w:before="0" w:after="0"/>
        <w:ind w:firstLine="709"/>
        <w:jc w:val="both"/>
        <w:rPr>
          <w:rFonts w:ascii="Times New Roman" w:hAnsi="Times New Roman" w:eastAsia="Symbol" w:cs="Times New Roman"/>
          <w:sz w:val="28"/>
          <w:szCs w:val="28"/>
        </w:rPr>
      </w:pPr>
      <w:r>
        <w:rPr>
          <w:rFonts w:eastAsia="Symbol" w:cs="Times New Roman" w:ascii="Times New Roman" w:hAnsi="Times New Roman"/>
          <w:sz w:val="28"/>
          <w:szCs w:val="28"/>
        </w:rPr>
        <w:t>Городское озеро (декоративное) расположено на западной окраине города-курорта Железноводска в городском парке. Водная площадь 0,01 кв. км.</w:t>
      </w:r>
    </w:p>
    <w:p>
      <w:pPr>
        <w:pStyle w:val="Normal"/>
        <w:tabs>
          <w:tab w:val="left" w:pos="720" w:leader="none"/>
        </w:tabs>
        <w:spacing w:lineRule="auto" w:line="240" w:before="0" w:after="0"/>
        <w:ind w:firstLine="709"/>
        <w:jc w:val="both"/>
        <w:rPr>
          <w:rFonts w:ascii="Times New Roman" w:hAnsi="Times New Roman" w:eastAsia="Symbol" w:cs="Times New Roman"/>
          <w:sz w:val="28"/>
          <w:szCs w:val="28"/>
        </w:rPr>
      </w:pPr>
      <w:r>
        <w:rPr>
          <w:rFonts w:eastAsia="Symbol" w:cs="Times New Roman" w:ascii="Times New Roman" w:hAnsi="Times New Roman"/>
          <w:sz w:val="28"/>
          <w:szCs w:val="28"/>
        </w:rPr>
        <w:t>Озеро Старый Каррас (декоративное) расположено в пос. Иноземцево в районе улиц Пионерская и Озерная.</w:t>
      </w:r>
    </w:p>
    <w:p>
      <w:pPr>
        <w:pStyle w:val="Normal"/>
        <w:tabs>
          <w:tab w:val="left" w:pos="720" w:leader="none"/>
        </w:tabs>
        <w:spacing w:lineRule="auto" w:line="240" w:before="0" w:after="0"/>
        <w:ind w:firstLine="709"/>
        <w:jc w:val="both"/>
        <w:rPr>
          <w:rFonts w:ascii="Times New Roman" w:hAnsi="Times New Roman" w:eastAsia="Symbol" w:cs="Times New Roman"/>
          <w:sz w:val="28"/>
          <w:szCs w:val="28"/>
        </w:rPr>
      </w:pPr>
      <w:r>
        <w:rPr>
          <w:rFonts w:eastAsia="Symbol" w:cs="Times New Roman" w:ascii="Times New Roman" w:hAnsi="Times New Roman"/>
          <w:sz w:val="28"/>
          <w:szCs w:val="28"/>
        </w:rPr>
        <w:t>Озеро Капка (памятник природы краевого значения) расположено в пос. Капельница</w:t>
      </w:r>
    </w:p>
    <w:p>
      <w:pPr>
        <w:pStyle w:val="Normal"/>
        <w:spacing w:lineRule="auto" w:line="240" w:before="0" w:after="0"/>
        <w:ind w:firstLine="709"/>
        <w:jc w:val="both"/>
        <w:rPr>
          <w:rFonts w:ascii="Times New Roman" w:hAnsi="Times New Roman" w:eastAsia="Symbol" w:cs="Times New Roman"/>
          <w:sz w:val="28"/>
          <w:szCs w:val="28"/>
        </w:rPr>
      </w:pPr>
      <w:r>
        <w:rPr>
          <w:rFonts w:eastAsia="Symbol" w:cs="Times New Roman" w:ascii="Times New Roman" w:hAnsi="Times New Roman"/>
          <w:sz w:val="28"/>
          <w:szCs w:val="28"/>
        </w:rPr>
        <w:t>Озеро Каррас (декоративное) расположено в пос. Иноземцево в районе улиц Проспект Свободы. Водная площадь 0,344 кв. км.</w:t>
      </w:r>
    </w:p>
    <w:p>
      <w:pPr>
        <w:pStyle w:val="Normal"/>
        <w:spacing w:lineRule="auto" w:line="240" w:before="0" w:after="0"/>
        <w:ind w:firstLine="709"/>
        <w:jc w:val="both"/>
        <w:rPr>
          <w:rFonts w:ascii="Times New Roman" w:hAnsi="Times New Roman" w:eastAsia="Symbol" w:cs="Times New Roman"/>
          <w:sz w:val="28"/>
          <w:szCs w:val="28"/>
        </w:rPr>
      </w:pPr>
      <w:r>
        <w:rPr>
          <w:rFonts w:eastAsia="Symbol" w:cs="Times New Roman" w:ascii="Times New Roman" w:hAnsi="Times New Roman"/>
          <w:sz w:val="28"/>
          <w:szCs w:val="28"/>
        </w:rPr>
        <w:t>Основные экологические проблемы города, связанные с водой – это сброс без очистки ливневых сточных вод в две реки (Джемуха, Кучук).</w:t>
      </w:r>
    </w:p>
    <w:p>
      <w:pPr>
        <w:pStyle w:val="Normal"/>
        <w:spacing w:lineRule="auto" w:line="240" w:before="0" w:after="0"/>
        <w:ind w:firstLine="709"/>
        <w:jc w:val="both"/>
        <w:rPr>
          <w:rFonts w:ascii="Times New Roman" w:hAnsi="Times New Roman" w:eastAsia="Symbol" w:cs="Times New Roman"/>
          <w:sz w:val="28"/>
          <w:szCs w:val="28"/>
        </w:rPr>
      </w:pPr>
      <w:r>
        <w:rPr>
          <w:rFonts w:cs="Times New Roman" w:ascii="Times New Roman" w:hAnsi="Times New Roman"/>
          <w:i/>
          <w:sz w:val="28"/>
        </w:rPr>
        <w:t>Лесные и земельные ресурсы</w:t>
      </w:r>
    </w:p>
    <w:p>
      <w:pPr>
        <w:pStyle w:val="NormalWeb"/>
        <w:spacing w:before="0" w:after="0"/>
        <w:ind w:firstLine="709"/>
        <w:jc w:val="both"/>
        <w:rPr>
          <w:color w:val="000000"/>
          <w:sz w:val="28"/>
          <w:szCs w:val="28"/>
        </w:rPr>
      </w:pPr>
      <w:r>
        <w:rPr>
          <w:color w:val="000000"/>
          <w:sz w:val="28"/>
          <w:szCs w:val="28"/>
        </w:rPr>
        <w:t>Площадь зеленых насаждений в городе составляет 4247 га, Железноводск – единственный город Кавказских Минеральных Вод, обладающий природным лесом. Железноводский лесопарк - единственный на Кавказских Минеральных Водах парк естественного происхождения. Это часть лесных богатств Бештаугорского лесничества. Основные древесные породы парка: ясень, дуб, граб, каштан, липа, тополь, бук, бересклет, кизил. Среди кустарников несколько видов шиповника, боярышника, терн, барбарис, малина. Травянистый покров составляют растения степного, лесного и субальпийского поясов. Каталог учтенных растений этого района включает 1350 видов, среди них 125 лекарственных растений, 25 - витаминсодержащих, 150 видов, употребляемых в медицине.</w:t>
      </w:r>
    </w:p>
    <w:p>
      <w:pPr>
        <w:pStyle w:val="Normal"/>
        <w:spacing w:lineRule="auto" w:line="240" w:before="0" w:after="0"/>
        <w:ind w:firstLine="709"/>
        <w:jc w:val="both"/>
        <w:rPr>
          <w:rFonts w:ascii="Times New Roman" w:hAnsi="Times New Roman" w:eastAsia="Symbol" w:cs="Times New Roman"/>
          <w:color w:val="000000"/>
          <w:sz w:val="28"/>
          <w:szCs w:val="28"/>
        </w:rPr>
      </w:pPr>
      <w:r>
        <w:rPr>
          <w:rFonts w:eastAsia="Symbol" w:cs="Times New Roman" w:ascii="Times New Roman" w:hAnsi="Times New Roman"/>
          <w:color w:val="000000"/>
          <w:sz w:val="28"/>
          <w:szCs w:val="28"/>
        </w:rPr>
        <w:t>Леса Железноводска имеют рекреационное значение вблизи маршрутов терренкура с твердым покрытием (шириной 4-6 м) и туристских троп шириной 1-2 м. Несмотря на крутые склоны (40°), данные леса отличаются высоким видовым разнообразием и возрастной группой (100-150 лет). Известно, что при крутизне склонов свыше 25° бездорожная рекреация в горных лесах Северного Кавказа не допустима.</w:t>
      </w:r>
    </w:p>
    <w:p>
      <w:pPr>
        <w:pStyle w:val="Normal"/>
        <w:spacing w:lineRule="auto" w:line="240" w:before="0" w:after="0"/>
        <w:rPr>
          <w:rFonts w:ascii="Times New Roman" w:hAnsi="Times New Roman" w:eastAsia="Symbol" w:cs="Times New Roman"/>
          <w:color w:val="000000" w:themeColor="text1"/>
          <w:sz w:val="28"/>
          <w:szCs w:val="28"/>
        </w:rPr>
      </w:pPr>
      <w:r>
        <w:rPr>
          <w:rFonts w:eastAsia="Symbol" w:cs="Times New Roman" w:ascii="Times New Roman" w:hAnsi="Times New Roman"/>
          <w:color w:val="000000" w:themeColor="text1"/>
          <w:sz w:val="28"/>
          <w:szCs w:val="28"/>
        </w:rPr>
      </w:r>
    </w:p>
    <w:p>
      <w:pPr>
        <w:pStyle w:val="3"/>
        <w:rPr>
          <w:rFonts w:eastAsia="Symbol"/>
        </w:rPr>
      </w:pPr>
      <w:bookmarkStart w:id="6" w:name="_Toc11337738"/>
      <w:bookmarkEnd w:id="6"/>
      <w:r>
        <w:rPr>
          <w:rFonts w:eastAsia="Symbol"/>
        </w:rPr>
        <w:t>1.2 Конкурентные преимущества и потенциал города-курорта Железноводска</w:t>
      </w:r>
    </w:p>
    <w:p>
      <w:pPr>
        <w:pStyle w:val="Normal"/>
        <w:spacing w:lineRule="auto" w:line="240" w:before="0" w:after="0"/>
        <w:jc w:val="center"/>
        <w:rPr>
          <w:rFonts w:ascii="Times New Roman" w:hAnsi="Times New Roman" w:eastAsia="Symbol" w:cs="Times New Roman"/>
          <w:color w:val="000000" w:themeColor="text1"/>
          <w:sz w:val="28"/>
          <w:szCs w:val="28"/>
        </w:rPr>
      </w:pPr>
      <w:r>
        <w:rPr>
          <w:rFonts w:eastAsia="Symbol" w:cs="Times New Roman" w:ascii="Times New Roman" w:hAnsi="Times New Roman"/>
          <w:color w:val="000000" w:themeColor="text1"/>
          <w:sz w:val="28"/>
          <w:szCs w:val="28"/>
        </w:rPr>
      </w:r>
    </w:p>
    <w:p>
      <w:pPr>
        <w:pStyle w:val="3"/>
        <w:rPr>
          <w:rFonts w:eastAsia="Symbol"/>
          <w:b w:val="false"/>
          <w:b w:val="false"/>
        </w:rPr>
      </w:pPr>
      <w:bookmarkStart w:id="7" w:name="_Toc11337739"/>
      <w:bookmarkEnd w:id="7"/>
      <w:r>
        <w:rPr>
          <w:rFonts w:eastAsia="Symbol"/>
          <w:b w:val="false"/>
        </w:rPr>
        <w:t>1.2.1 Анализ экономического потенциала</w:t>
      </w:r>
    </w:p>
    <w:p>
      <w:pPr>
        <w:pStyle w:val="Normal"/>
        <w:spacing w:lineRule="auto" w:line="240" w:before="0" w:after="0"/>
        <w:jc w:val="center"/>
        <w:rPr>
          <w:rFonts w:ascii="Times New Roman" w:hAnsi="Times New Roman" w:eastAsia="Symbol" w:cs="Times New Roman"/>
          <w:color w:val="000000" w:themeColor="text1"/>
          <w:sz w:val="28"/>
          <w:szCs w:val="28"/>
        </w:rPr>
      </w:pPr>
      <w:r>
        <w:rPr>
          <w:rFonts w:eastAsia="Symbol" w:cs="Times New Roman" w:ascii="Times New Roman" w:hAnsi="Times New Roman"/>
          <w:color w:val="000000" w:themeColor="text1"/>
          <w:sz w:val="28"/>
          <w:szCs w:val="28"/>
        </w:rPr>
      </w:r>
    </w:p>
    <w:p>
      <w:pPr>
        <w:pStyle w:val="Standard"/>
        <w:rPr>
          <w:sz w:val="28"/>
          <w:szCs w:val="28"/>
        </w:rPr>
      </w:pPr>
      <w:r>
        <w:rPr>
          <w:sz w:val="28"/>
          <w:szCs w:val="28"/>
        </w:rPr>
        <w:t xml:space="preserve">Динамика развития экономики город-курорта Железноводска определяется его рекреационной специализацией. </w:t>
      </w:r>
      <w:r>
        <w:rPr>
          <w:rFonts w:eastAsia="Symbol"/>
          <w:color w:val="000000"/>
          <w:sz w:val="28"/>
          <w:szCs w:val="28"/>
        </w:rPr>
        <w:t xml:space="preserve">Промышленность города ориентирована на развитие имеющегося производственного потенциала и оказание санаторно-курортных услуг отдыхающим с преобладанием предприятий пищевой промышленности, которые целиком подчинены нуждам курорта и призваны удовлетворить потребности в выпускаемой продукции не только жителей города, но и многочисленных отдыхающих курорта. </w:t>
      </w:r>
      <w:r>
        <w:rPr>
          <w:sz w:val="28"/>
          <w:szCs w:val="28"/>
        </w:rPr>
        <w:t xml:space="preserve"> </w:t>
      </w:r>
    </w:p>
    <w:p>
      <w:pPr>
        <w:pStyle w:val="Standard"/>
        <w:rPr>
          <w:sz w:val="28"/>
          <w:szCs w:val="28"/>
        </w:rPr>
      </w:pPr>
      <w:r>
        <w:rPr>
          <w:sz w:val="28"/>
          <w:szCs w:val="28"/>
        </w:rPr>
        <w:t>Структура экономики по отгрузке товаров, выполнению работ и услуг также говорит о ведущем положении таких отраслей, как здравоохранение (в том числе санаторно-курортный сектор), розничная торговля, общественное питание и строительство (рис. 2).</w:t>
      </w:r>
    </w:p>
    <w:p>
      <w:pPr>
        <w:pStyle w:val="Standard"/>
        <w:rPr>
          <w:sz w:val="28"/>
          <w:szCs w:val="28"/>
        </w:rPr>
      </w:pPr>
      <w:r>
        <w:rPr>
          <w:sz w:val="28"/>
          <w:szCs w:val="28"/>
        </w:rPr>
      </w:r>
    </w:p>
    <w:p>
      <w:pPr>
        <w:pStyle w:val="Standard"/>
        <w:rPr>
          <w:sz w:val="28"/>
          <w:szCs w:val="28"/>
        </w:rPr>
      </w:pPr>
      <w:r>
        <w:rPr/>
        <w:drawing>
          <wp:inline distT="0" distB="0" distL="0" distR="0">
            <wp:extent cx="5629275" cy="2228850"/>
            <wp:effectExtent l="0" t="0" r="0" b="0"/>
            <wp:docPr id="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
              </a:graphicData>
            </a:graphic>
          </wp:inline>
        </w:drawing>
      </w:r>
    </w:p>
    <w:p>
      <w:pPr>
        <w:pStyle w:val="Standard"/>
        <w:jc w:val="center"/>
        <w:rPr>
          <w:rFonts w:eastAsia="Symbol"/>
          <w:b/>
          <w:b/>
          <w:color w:val="000000" w:themeColor="text1"/>
          <w:szCs w:val="28"/>
        </w:rPr>
      </w:pPr>
      <w:r>
        <w:rPr>
          <w:rFonts w:eastAsia="Symbol"/>
          <w:b/>
          <w:color w:val="000000" w:themeColor="text1"/>
          <w:szCs w:val="28"/>
        </w:rPr>
        <w:t>Рис. 2 – Структура экономики города (отгружено товаров собственного производства, выполнено работ и услуг собственными силами по хозяйственным видам экономической деятельности по крупным и средним организациям), 2018 год</w:t>
      </w:r>
    </w:p>
    <w:p>
      <w:pPr>
        <w:pStyle w:val="Standard"/>
        <w:jc w:val="center"/>
        <w:rPr>
          <w:rFonts w:eastAsia="Symbol"/>
          <w:b/>
          <w:b/>
          <w:i/>
          <w:i/>
          <w:sz w:val="28"/>
          <w:szCs w:val="28"/>
        </w:rPr>
      </w:pPr>
      <w:r>
        <w:rPr>
          <w:rFonts w:eastAsia="Symbol"/>
          <w:b/>
          <w:i/>
          <w:sz w:val="28"/>
          <w:szCs w:val="28"/>
        </w:rPr>
        <w:t>Санаторно-курортный комплекс</w:t>
      </w:r>
    </w:p>
    <w:p>
      <w:pPr>
        <w:pStyle w:val="Standard"/>
        <w:jc w:val="center"/>
        <w:rPr>
          <w:rFonts w:eastAsia="Symbol"/>
          <w:b/>
          <w:b/>
          <w:i/>
          <w:i/>
          <w:color w:val="000000"/>
          <w:sz w:val="28"/>
          <w:szCs w:val="28"/>
        </w:rPr>
      </w:pPr>
      <w:r>
        <w:rPr>
          <w:rFonts w:eastAsia="Symbol"/>
          <w:b/>
          <w:i/>
          <w:color w:val="000000"/>
          <w:sz w:val="28"/>
          <w:szCs w:val="28"/>
        </w:rPr>
      </w:r>
    </w:p>
    <w:p>
      <w:pPr>
        <w:pStyle w:val="23"/>
        <w:ind w:firstLine="709"/>
        <w:jc w:val="both"/>
        <w:rPr>
          <w:rFonts w:ascii="Times New Roman" w:hAnsi="Times New Roman" w:eastAsia="Symbol" w:cs="Times New Roman"/>
          <w:b w:val="false"/>
          <w:b w:val="false"/>
          <w:sz w:val="28"/>
          <w:szCs w:val="28"/>
        </w:rPr>
      </w:pPr>
      <w:r>
        <w:rPr>
          <w:rFonts w:eastAsia="Symbol" w:cs="Times New Roman" w:ascii="Times New Roman" w:hAnsi="Times New Roman"/>
          <w:b w:val="false"/>
          <w:bCs/>
          <w:sz w:val="28"/>
          <w:szCs w:val="28"/>
        </w:rPr>
        <w:t xml:space="preserve">На 01 января 2019 г. санаторно-курортный комплекс </w:t>
      </w:r>
      <w:r>
        <w:rPr>
          <w:rFonts w:eastAsia="Symbol" w:cs="Times New Roman" w:ascii="Times New Roman" w:hAnsi="Times New Roman"/>
          <w:b w:val="false"/>
          <w:sz w:val="28"/>
          <w:szCs w:val="28"/>
        </w:rPr>
        <w:t>города-курорта</w:t>
      </w:r>
      <w:r>
        <w:rPr>
          <w:rFonts w:eastAsia="Symbol" w:cs="Times New Roman" w:ascii="Times New Roman" w:hAnsi="Times New Roman"/>
          <w:sz w:val="28"/>
          <w:szCs w:val="28"/>
        </w:rPr>
        <w:t xml:space="preserve"> </w:t>
      </w:r>
      <w:r>
        <w:rPr>
          <w:rFonts w:eastAsia="Symbol" w:cs="Times New Roman" w:ascii="Times New Roman" w:hAnsi="Times New Roman"/>
          <w:b w:val="false"/>
          <w:bCs/>
          <w:sz w:val="28"/>
          <w:szCs w:val="28"/>
        </w:rPr>
        <w:t>Железноводска был представлен 23 здравницей</w:t>
      </w:r>
      <w:r>
        <w:rPr>
          <w:rFonts w:eastAsia="Symbol" w:cs="Times New Roman" w:ascii="Times New Roman" w:hAnsi="Times New Roman"/>
          <w:b w:val="false"/>
          <w:sz w:val="28"/>
          <w:szCs w:val="28"/>
        </w:rPr>
        <w:t xml:space="preserve"> на 5637 мест. </w:t>
      </w:r>
      <w:r>
        <w:rPr>
          <w:rFonts w:eastAsia="Symbol" w:cs="Times New Roman" w:ascii="Times New Roman" w:hAnsi="Times New Roman"/>
          <w:b w:val="false"/>
          <w:color w:val="000000"/>
          <w:sz w:val="28"/>
          <w:szCs w:val="28"/>
        </w:rPr>
        <w:t xml:space="preserve">В 2018 году в городе-курорте Железноводске функционировало 23 санатория на 5591 мест. </w:t>
      </w:r>
      <w:r>
        <w:rPr>
          <w:rFonts w:eastAsia="Symbol" w:cs="Times New Roman" w:ascii="Times New Roman" w:hAnsi="Times New Roman"/>
          <w:b w:val="false"/>
          <w:sz w:val="28"/>
          <w:szCs w:val="28"/>
        </w:rPr>
        <w:t xml:space="preserve">Здравницы города-курорта Железноводска приняли на отдых и оздоровление: в 2014 году — 94,1 тыс. человек, в 2015 году — 97,9 тыс. человек, в 2016 году - 96,6 тыс. человек, в 2017 году — 96,7 тыс. человек, в 2018 году — 99,7 тыс. человек или больше, чем за 2017 год на 3 тыс. человек. </w:t>
      </w:r>
    </w:p>
    <w:p>
      <w:pPr>
        <w:pStyle w:val="23"/>
        <w:ind w:firstLine="709"/>
        <w:jc w:val="both"/>
        <w:rPr>
          <w:rFonts w:ascii="Times New Roman" w:hAnsi="Times New Roman" w:eastAsia="Symbol" w:cs="Times New Roman"/>
          <w:b w:val="false"/>
          <w:b w:val="false"/>
          <w:sz w:val="28"/>
          <w:szCs w:val="28"/>
        </w:rPr>
      </w:pPr>
      <w:r>
        <w:rPr>
          <w:rFonts w:eastAsia="Symbol" w:cs="Times New Roman" w:ascii="Times New Roman" w:hAnsi="Times New Roman"/>
          <w:b w:val="false"/>
          <w:sz w:val="28"/>
          <w:szCs w:val="28"/>
        </w:rPr>
      </w:r>
    </w:p>
    <w:p>
      <w:pPr>
        <w:pStyle w:val="23"/>
        <w:ind w:firstLine="709"/>
        <w:jc w:val="both"/>
        <w:rPr>
          <w:rFonts w:ascii="Times New Roman" w:hAnsi="Times New Roman" w:eastAsia="Symbol" w:cs="Times New Roman"/>
          <w:b w:val="false"/>
          <w:b w:val="false"/>
          <w:sz w:val="28"/>
          <w:szCs w:val="28"/>
        </w:rPr>
      </w:pPr>
      <w:r>
        <w:rPr/>
        <w:drawing>
          <wp:inline distT="0" distB="0" distL="0" distR="0">
            <wp:extent cx="5486400" cy="3200400"/>
            <wp:effectExtent l="0" t="0" r="0" b="0"/>
            <wp:docPr id="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p>
    <w:p>
      <w:pPr>
        <w:pStyle w:val="23"/>
        <w:ind w:firstLine="709"/>
        <w:jc w:val="center"/>
        <w:rPr>
          <w:rFonts w:ascii="Times New Roman" w:hAnsi="Times New Roman" w:cs="Times New Roman"/>
          <w:sz w:val="24"/>
        </w:rPr>
      </w:pPr>
      <w:r>
        <w:rPr>
          <w:rFonts w:cs="Times New Roman" w:ascii="Times New Roman" w:hAnsi="Times New Roman"/>
          <w:sz w:val="24"/>
        </w:rPr>
        <w:t>Рис. 3 – Уровень загрузки санаторно-курортного и гостиничного комплекса города-курорта Железноводска</w:t>
      </w:r>
    </w:p>
    <w:p>
      <w:pPr>
        <w:pStyle w:val="23"/>
        <w:ind w:firstLine="709"/>
        <w:jc w:val="center"/>
        <w:rPr>
          <w:rFonts w:ascii="Times New Roman" w:hAnsi="Times New Roman" w:cs="Times New Roman"/>
          <w:sz w:val="24"/>
        </w:rPr>
      </w:pPr>
      <w:r>
        <w:rPr>
          <w:rFonts w:cs="Times New Roman" w:ascii="Times New Roman" w:hAnsi="Times New Roman"/>
          <w:sz w:val="24"/>
        </w:rPr>
      </w:r>
    </w:p>
    <w:p>
      <w:pPr>
        <w:pStyle w:val="Normal"/>
        <w:spacing w:lineRule="auto" w:line="240" w:before="0" w:after="0"/>
        <w:ind w:firstLine="709"/>
        <w:jc w:val="both"/>
        <w:rPr>
          <w:rFonts w:ascii="Times New Roman" w:hAnsi="Times New Roman" w:cs="Times New Roman"/>
        </w:rPr>
      </w:pPr>
      <w:r>
        <w:rPr>
          <w:rFonts w:eastAsia="Symbol" w:cs="Times New Roman" w:ascii="Times New Roman" w:hAnsi="Times New Roman"/>
          <w:sz w:val="28"/>
          <w:szCs w:val="28"/>
        </w:rPr>
        <w:t xml:space="preserve">Наиболее крупными собственниками здравниц города являются профессиональные союзы и ведомства, хотя в существующей практике выделяются и другие формы. </w:t>
      </w:r>
      <w:r>
        <w:rPr>
          <w:rFonts w:eastAsia="Symbol" w:cs="Times New Roman" w:ascii="Times New Roman" w:hAnsi="Times New Roman"/>
          <w:sz w:val="28"/>
        </w:rPr>
        <w:t>В 2018 году ведомственные здравницы приняли 62,8 тыс. человек, здравницы ФНПР – 36,9 тыс. человек. В 2017 году соответственно 57,3 тыс. человек и 39,4 тыс. человек.</w:t>
      </w:r>
    </w:p>
    <w:p>
      <w:pPr>
        <w:pStyle w:val="Normal"/>
        <w:spacing w:lineRule="auto" w:line="240" w:before="0" w:after="0"/>
        <w:ind w:firstLine="709"/>
        <w:jc w:val="both"/>
        <w:rPr>
          <w:rFonts w:ascii="Times New Roman" w:hAnsi="Times New Roman" w:eastAsia="Symbol" w:cs="Times New Roman"/>
          <w:bCs/>
          <w:sz w:val="28"/>
          <w:szCs w:val="28"/>
        </w:rPr>
      </w:pPr>
      <w:r>
        <w:rPr>
          <w:rFonts w:eastAsia="Symbol" w:cs="Times New Roman" w:ascii="Times New Roman" w:hAnsi="Times New Roman"/>
          <w:bCs/>
          <w:sz w:val="28"/>
          <w:szCs w:val="28"/>
        </w:rPr>
        <w:t>Превалирующая часть санаториев имеет довольно большую вместимость в диапазоне от 100 до 433 мест.</w:t>
      </w:r>
      <w:r>
        <w:rPr>
          <w:rFonts w:eastAsia="Symbol" w:cs="Times New Roman" w:ascii="Times New Roman" w:hAnsi="Times New Roman"/>
          <w:sz w:val="28"/>
          <w:szCs w:val="28"/>
        </w:rPr>
        <w:t xml:space="preserve"> </w:t>
      </w:r>
    </w:p>
    <w:p>
      <w:pPr>
        <w:pStyle w:val="Normal"/>
        <w:spacing w:lineRule="auto" w:line="240" w:before="0" w:after="0"/>
        <w:ind w:firstLine="709"/>
        <w:jc w:val="both"/>
        <w:rPr>
          <w:rFonts w:ascii="Times New Roman" w:hAnsi="Times New Roman" w:cs="Times New Roman"/>
        </w:rPr>
      </w:pPr>
      <w:r>
        <w:rPr>
          <w:rFonts w:eastAsia="Symbol" w:cs="Times New Roman" w:ascii="Times New Roman" w:hAnsi="Times New Roman"/>
          <w:bCs/>
          <w:sz w:val="28"/>
          <w:szCs w:val="28"/>
        </w:rPr>
        <w:t xml:space="preserve">Анализ процента заполняемости номерного фонда свидетельствует о наличии круглогодичного устойчивого спроса на санаторно-курортные услуги. Так, заполняемость здравниц в 2014 году в целом по городу составила 117,9%, в 2015 году — </w:t>
      </w:r>
      <w:r>
        <w:rPr>
          <w:rFonts w:eastAsia="Symbol" w:cs="Times New Roman" w:ascii="Times New Roman" w:hAnsi="Times New Roman"/>
          <w:sz w:val="28"/>
          <w:szCs w:val="28"/>
        </w:rPr>
        <w:t xml:space="preserve">122,3 %, в 2016 году- 118,0 %, в 2017 году — 118,9 %, </w:t>
      </w:r>
      <w:r>
        <w:rPr>
          <w:rFonts w:eastAsia="Symbol" w:cs="Times New Roman" w:ascii="Times New Roman" w:hAnsi="Times New Roman"/>
          <w:bCs/>
          <w:sz w:val="28"/>
          <w:szCs w:val="28"/>
        </w:rPr>
        <w:t xml:space="preserve">в 2018 году — </w:t>
      </w:r>
      <w:r>
        <w:rPr>
          <w:rFonts w:eastAsia="Symbol" w:cs="Times New Roman" w:ascii="Times New Roman" w:hAnsi="Times New Roman"/>
          <w:sz w:val="28"/>
          <w:szCs w:val="28"/>
        </w:rPr>
        <w:t>121,7 %.</w:t>
      </w:r>
      <w:r>
        <w:rPr>
          <w:rFonts w:eastAsia="Symbol" w:cs="Times New Roman" w:ascii="Times New Roman" w:hAnsi="Times New Roman"/>
          <w:bCs/>
          <w:sz w:val="28"/>
          <w:szCs w:val="28"/>
        </w:rPr>
        <w:t xml:space="preserve">  При этом спрос на услуги конкретных санаториев определяется не столько ценовыми параметрами, сколько сложившимся имиджем санаторно-курортного учреждения, качеством предоставляемых услуг и наличием дополнительных услуг, таких как бары, тренажерные залы, теннисные корты, бильярдные, бассейны, сауны, детские комнаты и т.д. </w:t>
      </w:r>
    </w:p>
    <w:p>
      <w:pPr>
        <w:pStyle w:val="Normal"/>
        <w:spacing w:lineRule="auto" w:line="240" w:before="0" w:after="0"/>
        <w:ind w:firstLine="709"/>
        <w:jc w:val="both"/>
        <w:rPr>
          <w:rFonts w:ascii="Times New Roman" w:hAnsi="Times New Roman" w:eastAsia="Symbol" w:cs="Times New Roman"/>
          <w:sz w:val="28"/>
        </w:rPr>
      </w:pPr>
      <w:r>
        <w:rPr>
          <w:rFonts w:eastAsia="Symbol" w:cs="Times New Roman" w:ascii="Times New Roman" w:hAnsi="Times New Roman"/>
          <w:bCs/>
          <w:sz w:val="28"/>
          <w:szCs w:val="28"/>
        </w:rPr>
        <w:t>Отмечается более низкая наполняемость детских санаториев, что обусловлено сменой потребительских предпочтений в пользу семейного отдыха.</w:t>
      </w:r>
    </w:p>
    <w:p>
      <w:pPr>
        <w:pStyle w:val="Normal"/>
        <w:spacing w:lineRule="auto" w:line="240" w:before="0" w:after="0"/>
        <w:ind w:firstLine="709"/>
        <w:jc w:val="both"/>
        <w:rPr>
          <w:rFonts w:ascii="Times New Roman" w:hAnsi="Times New Roman" w:cs="Times New Roman"/>
        </w:rPr>
      </w:pPr>
      <w:r>
        <w:rPr>
          <w:rFonts w:eastAsia="Symbol" w:cs="Times New Roman" w:ascii="Times New Roman" w:hAnsi="Times New Roman"/>
          <w:sz w:val="28"/>
        </w:rPr>
        <w:t>В 2014 году санаторно-курортными учреждениями от основной деятельности получено 2 134 млн. рублей доходов, в 2018 году доходы здравниц составили 2 709 млн. рублей.</w:t>
      </w:r>
    </w:p>
    <w:p>
      <w:pPr>
        <w:pStyle w:val="Normal"/>
        <w:spacing w:lineRule="auto" w:line="240" w:before="0" w:after="0"/>
        <w:ind w:firstLine="709"/>
        <w:jc w:val="both"/>
        <w:rPr>
          <w:rFonts w:ascii="Times New Roman" w:hAnsi="Times New Roman" w:eastAsia="Symbol" w:cs="Times New Roman"/>
          <w:sz w:val="28"/>
        </w:rPr>
      </w:pPr>
      <w:r>
        <w:rPr>
          <w:rFonts w:eastAsia="Symbol" w:cs="Times New Roman" w:ascii="Times New Roman" w:hAnsi="Times New Roman"/>
          <w:sz w:val="28"/>
        </w:rPr>
        <w:t>Немаловажным аспектом развития курорта является содержание и развитие гидроминеральной базы. Именно уникальные гидроминеральные ресурсы, обеспечивающие многопрофильность и высокую эффективность лечения, являются основой лечебно-профилактической и бальнеологической отрасли Железноводска.</w:t>
      </w:r>
    </w:p>
    <w:p>
      <w:pPr>
        <w:pStyle w:val="Normal"/>
        <w:spacing w:lineRule="auto" w:line="240" w:before="0" w:after="0"/>
        <w:ind w:firstLine="709"/>
        <w:jc w:val="both"/>
        <w:rPr>
          <w:rFonts w:ascii="Times New Roman" w:hAnsi="Times New Roman" w:eastAsia="Symbol" w:cs="Times New Roman"/>
          <w:sz w:val="28"/>
        </w:rPr>
      </w:pPr>
      <w:r>
        <w:rPr>
          <w:rFonts w:eastAsia="Symbol" w:cs="Times New Roman" w:ascii="Times New Roman" w:hAnsi="Times New Roman"/>
          <w:sz w:val="28"/>
        </w:rPr>
        <w:t>На курорте функционирует 13 питьевых бюветов, из которых 8 являются внутриведомственными, а 5 - имеют общекурортное значение. Три из них расположены в лечебном парке и являются федеральной собственностью в хозяйственном ведении санатория имени Г.К.Орджоникидзе. Четвертый бювет, расположенный в районе санатория «Дубрава», находится в ведении данного санатория. Пятый бювет (Бювет-книжка), введённый в эксплуатацию в 2019 году, находится в ведении АО «Кавминкурортресурсы» и расположен на каскадной лестнице.</w:t>
      </w:r>
    </w:p>
    <w:p>
      <w:pPr>
        <w:pStyle w:val="Normal"/>
        <w:spacing w:lineRule="auto" w:line="240" w:before="0" w:after="0"/>
        <w:ind w:firstLine="709"/>
        <w:jc w:val="both"/>
        <w:rPr>
          <w:rFonts w:ascii="Times New Roman" w:hAnsi="Times New Roman" w:eastAsia="Symbol" w:cs="Times New Roman"/>
          <w:sz w:val="28"/>
        </w:rPr>
      </w:pPr>
      <w:r>
        <w:rPr>
          <w:rFonts w:eastAsia="Symbol" w:cs="Times New Roman" w:ascii="Times New Roman" w:hAnsi="Times New Roman"/>
          <w:sz w:val="28"/>
        </w:rPr>
        <w:t xml:space="preserve">Летняя питьевая галерея Славяновского источника не функционирует уже более 15 лет, хотя потребность в ней в летний сезон весьма высока. </w:t>
      </w:r>
    </w:p>
    <w:p>
      <w:pPr>
        <w:pStyle w:val="Normal"/>
        <w:spacing w:lineRule="auto" w:line="240" w:before="0" w:after="0"/>
        <w:ind w:firstLine="709"/>
        <w:jc w:val="both"/>
        <w:rPr>
          <w:rFonts w:ascii="Times New Roman" w:hAnsi="Times New Roman" w:cs="Times New Roman"/>
        </w:rPr>
      </w:pPr>
      <w:r>
        <w:rPr>
          <w:rFonts w:eastAsia="Symbol" w:cs="Times New Roman" w:ascii="Times New Roman" w:hAnsi="Times New Roman"/>
          <w:i/>
          <w:sz w:val="28"/>
          <w:szCs w:val="28"/>
        </w:rPr>
        <w:t>Туристский потенциал</w:t>
      </w:r>
      <w:r>
        <w:rPr>
          <w:rFonts w:eastAsia="Symbol" w:cs="Times New Roman" w:ascii="Times New Roman" w:hAnsi="Times New Roman"/>
          <w:b/>
          <w:i/>
          <w:sz w:val="28"/>
          <w:szCs w:val="28"/>
        </w:rPr>
        <w:t>.</w:t>
      </w:r>
      <w:r>
        <w:rPr>
          <w:rFonts w:eastAsia="Symbol" w:cs="Times New Roman" w:ascii="Times New Roman" w:hAnsi="Times New Roman"/>
          <w:sz w:val="28"/>
          <w:szCs w:val="28"/>
        </w:rPr>
        <w:t xml:space="preserve"> По состоянию на 01 января 2019 г. в городе-курорте Железноводске осуществляли свою деятельность 16 туристических компаний, реализующих стратегию продвижения и популяризации туристического бренда города-курорта Железноводска по его туристическим маршрутам. </w:t>
      </w:r>
    </w:p>
    <w:p>
      <w:pPr>
        <w:pStyle w:val="Normal"/>
        <w:spacing w:lineRule="auto" w:line="240" w:before="0" w:after="0"/>
        <w:ind w:firstLine="709"/>
        <w:jc w:val="both"/>
        <w:rPr>
          <w:rFonts w:ascii="Times New Roman" w:hAnsi="Times New Roman" w:cs="Times New Roman"/>
        </w:rPr>
      </w:pPr>
      <w:r>
        <w:rPr>
          <w:rFonts w:eastAsia="Symbol" w:cs="Times New Roman" w:ascii="Times New Roman" w:hAnsi="Times New Roman"/>
          <w:sz w:val="28"/>
          <w:szCs w:val="28"/>
        </w:rPr>
        <w:t xml:space="preserve">На территории города функционирует 13 гостиниц, которые в 2018 году приняли 22 тыс. человек. </w:t>
      </w:r>
    </w:p>
    <w:p>
      <w:pPr>
        <w:pStyle w:val="Normal"/>
        <w:spacing w:lineRule="auto" w:line="240" w:before="0" w:after="0"/>
        <w:ind w:firstLine="709"/>
        <w:jc w:val="both"/>
        <w:rPr>
          <w:rFonts w:ascii="Times New Roman" w:hAnsi="Times New Roman" w:eastAsia="Symbol" w:cs="Times New Roman"/>
          <w:sz w:val="28"/>
          <w:szCs w:val="28"/>
        </w:rPr>
      </w:pPr>
      <w:r>
        <w:rPr>
          <w:rFonts w:eastAsia="Symbol" w:cs="Times New Roman" w:ascii="Times New Roman" w:hAnsi="Times New Roman"/>
          <w:sz w:val="28"/>
          <w:szCs w:val="28"/>
        </w:rPr>
        <w:t>Имеющаяся гостиничная база используется не полностью: коэффициент загрузки составляет 28,2 %. Из двенадцати гостиниц города две муниципальные и десять частные (Таблица 1).</w:t>
      </w:r>
    </w:p>
    <w:p>
      <w:pPr>
        <w:pStyle w:val="Normal"/>
        <w:spacing w:lineRule="auto" w:line="240" w:before="0" w:after="0"/>
        <w:ind w:firstLine="709"/>
        <w:jc w:val="both"/>
        <w:rPr>
          <w:rFonts w:ascii="Times New Roman" w:hAnsi="Times New Roman" w:eastAsia="Symbol" w:cs="Times New Roman"/>
          <w:sz w:val="28"/>
          <w:szCs w:val="28"/>
        </w:rPr>
      </w:pPr>
      <w:r>
        <w:rPr>
          <w:rFonts w:eastAsia="Symbol" w:cs="Times New Roman" w:ascii="Times New Roman" w:hAnsi="Times New Roman"/>
          <w:sz w:val="28"/>
          <w:szCs w:val="28"/>
        </w:rPr>
      </w:r>
    </w:p>
    <w:p>
      <w:pPr>
        <w:pStyle w:val="Normal"/>
        <w:spacing w:lineRule="auto" w:line="240" w:before="0" w:after="0"/>
        <w:ind w:firstLine="709"/>
        <w:jc w:val="right"/>
        <w:rPr>
          <w:rFonts w:ascii="Times New Roman" w:hAnsi="Times New Roman" w:eastAsia="Symbol" w:cs="Times New Roman"/>
          <w:b/>
          <w:b/>
          <w:sz w:val="24"/>
        </w:rPr>
      </w:pPr>
      <w:r>
        <w:rPr>
          <w:rFonts w:eastAsia="Symbol" w:cs="Times New Roman" w:ascii="Times New Roman" w:hAnsi="Times New Roman"/>
          <w:b/>
          <w:sz w:val="24"/>
        </w:rPr>
        <w:t>Таблица 1</w:t>
      </w:r>
    </w:p>
    <w:p>
      <w:pPr>
        <w:pStyle w:val="Normal"/>
        <w:spacing w:lineRule="auto" w:line="240" w:before="0" w:after="0"/>
        <w:jc w:val="center"/>
        <w:rPr>
          <w:rFonts w:ascii="Times New Roman" w:hAnsi="Times New Roman" w:eastAsia="Symbol" w:cs="Times New Roman"/>
          <w:b/>
          <w:b/>
          <w:sz w:val="24"/>
        </w:rPr>
      </w:pPr>
      <w:r>
        <w:rPr>
          <w:rFonts w:eastAsia="Symbol" w:cs="Times New Roman" w:ascii="Times New Roman" w:hAnsi="Times New Roman"/>
          <w:b/>
          <w:sz w:val="24"/>
        </w:rPr>
        <w:t>Характеристика гостиниц города-курорта Железноводска</w:t>
      </w:r>
    </w:p>
    <w:tbl>
      <w:tblPr>
        <w:tblW w:w="9579" w:type="dxa"/>
        <w:jc w:val="left"/>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54" w:type="dxa"/>
          <w:bottom w:w="55" w:type="dxa"/>
          <w:right w:w="55" w:type="dxa"/>
        </w:tblCellMar>
        <w:tblLook w:noVBand="0" w:val="0000" w:noHBand="0" w:lastColumn="0" w:firstColumn="0" w:lastRow="0" w:firstRow="0"/>
      </w:tblPr>
      <w:tblGrid>
        <w:gridCol w:w="649"/>
        <w:gridCol w:w="4677"/>
        <w:gridCol w:w="1702"/>
        <w:gridCol w:w="2550"/>
      </w:tblGrid>
      <w:tr>
        <w:trPr>
          <w:trHeight w:val="567" w:hRule="atLeast"/>
        </w:trPr>
        <w:tc>
          <w:tcPr>
            <w:tcW w:w="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Style26"/>
              <w:suppressAutoHyphens w:val="false"/>
              <w:spacing w:before="0" w:after="0"/>
              <w:contextualSpacing/>
              <w:jc w:val="center"/>
              <w:rPr/>
            </w:pPr>
            <w:r>
              <w:rPr/>
              <w:t>№</w:t>
            </w:r>
          </w:p>
          <w:p>
            <w:pPr>
              <w:pStyle w:val="Style26"/>
              <w:suppressAutoHyphens w:val="false"/>
              <w:spacing w:before="0" w:after="0"/>
              <w:contextualSpacing/>
              <w:jc w:val="center"/>
              <w:rPr/>
            </w:pPr>
            <w:r>
              <w:rPr/>
              <w:t>п/п</w:t>
            </w:r>
          </w:p>
        </w:tc>
        <w:tc>
          <w:tcPr>
            <w:tcW w:w="4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Style26"/>
              <w:suppressAutoHyphens w:val="false"/>
              <w:spacing w:before="0" w:after="0"/>
              <w:contextualSpacing/>
              <w:jc w:val="center"/>
              <w:rPr/>
            </w:pPr>
            <w:r>
              <w:rPr/>
              <w:t>Наименование</w:t>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Style26"/>
              <w:suppressAutoHyphens w:val="false"/>
              <w:spacing w:before="0" w:after="0"/>
              <w:contextualSpacing/>
              <w:jc w:val="center"/>
              <w:rPr/>
            </w:pPr>
            <w:r>
              <w:rPr/>
              <w:t>Форма</w:t>
            </w:r>
          </w:p>
          <w:p>
            <w:pPr>
              <w:pStyle w:val="Style26"/>
              <w:suppressAutoHyphens w:val="false"/>
              <w:spacing w:before="0" w:after="0"/>
              <w:contextualSpacing/>
              <w:jc w:val="center"/>
              <w:rPr/>
            </w:pPr>
            <w:r>
              <w:rPr/>
              <w:t>собственности</w:t>
            </w:r>
          </w:p>
        </w:tc>
        <w:tc>
          <w:tcPr>
            <w:tcW w:w="2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Style26"/>
              <w:suppressAutoHyphens w:val="false"/>
              <w:spacing w:before="0" w:after="0"/>
              <w:contextualSpacing/>
              <w:jc w:val="center"/>
              <w:rPr/>
            </w:pPr>
            <w:r>
              <w:rPr/>
              <w:t>Коечная</w:t>
            </w:r>
          </w:p>
          <w:p>
            <w:pPr>
              <w:pStyle w:val="Style26"/>
              <w:suppressAutoHyphens w:val="false"/>
              <w:spacing w:before="0" w:after="0"/>
              <w:contextualSpacing/>
              <w:jc w:val="center"/>
              <w:rPr/>
            </w:pPr>
            <w:r>
              <w:rPr/>
              <w:t>емкость</w:t>
            </w:r>
          </w:p>
        </w:tc>
      </w:tr>
      <w:tr>
        <w:trPr/>
        <w:tc>
          <w:tcPr>
            <w:tcW w:w="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contextualSpacing/>
              <w:jc w:val="center"/>
              <w:rPr>
                <w:rFonts w:ascii="Times New Roman" w:hAnsi="Times New Roman" w:eastAsia="Symbol" w:cs="Times New Roman"/>
              </w:rPr>
            </w:pPr>
            <w:r>
              <w:rPr>
                <w:rFonts w:eastAsia="Symbol" w:cs="Times New Roman" w:ascii="Times New Roman" w:hAnsi="Times New Roman"/>
              </w:rPr>
              <w:t>1.</w:t>
            </w:r>
          </w:p>
        </w:tc>
        <w:tc>
          <w:tcPr>
            <w:tcW w:w="4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contextualSpacing/>
              <w:jc w:val="center"/>
              <w:rPr>
                <w:rFonts w:ascii="Times New Roman" w:hAnsi="Times New Roman" w:eastAsia="Symbol" w:cs="Times New Roman"/>
              </w:rPr>
            </w:pPr>
            <w:r>
              <w:rPr>
                <w:rFonts w:eastAsia="Symbol" w:cs="Times New Roman" w:ascii="Times New Roman" w:hAnsi="Times New Roman"/>
              </w:rPr>
              <w:t>«Гостиница «Жемчужина Кавказа» (МУП)</w:t>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contextualSpacing/>
              <w:jc w:val="center"/>
              <w:rPr>
                <w:rFonts w:ascii="Times New Roman" w:hAnsi="Times New Roman" w:eastAsia="Symbol" w:cs="Times New Roman"/>
              </w:rPr>
            </w:pPr>
            <w:r>
              <w:rPr>
                <w:rFonts w:eastAsia="Symbol" w:cs="Times New Roman" w:ascii="Times New Roman" w:hAnsi="Times New Roman"/>
              </w:rPr>
              <w:t>муниципальная</w:t>
            </w:r>
          </w:p>
        </w:tc>
        <w:tc>
          <w:tcPr>
            <w:tcW w:w="2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contextualSpacing/>
              <w:jc w:val="center"/>
              <w:rPr>
                <w:rFonts w:ascii="Times New Roman" w:hAnsi="Times New Roman" w:eastAsia="Symbol" w:cs="Times New Roman"/>
              </w:rPr>
            </w:pPr>
            <w:r>
              <w:rPr>
                <w:rFonts w:eastAsia="Symbol" w:cs="Times New Roman" w:ascii="Times New Roman" w:hAnsi="Times New Roman"/>
              </w:rPr>
              <w:t>97</w:t>
            </w:r>
          </w:p>
        </w:tc>
      </w:tr>
      <w:tr>
        <w:trPr/>
        <w:tc>
          <w:tcPr>
            <w:tcW w:w="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contextualSpacing/>
              <w:jc w:val="center"/>
              <w:rPr>
                <w:rFonts w:ascii="Times New Roman" w:hAnsi="Times New Roman" w:eastAsia="Symbol" w:cs="Times New Roman"/>
              </w:rPr>
            </w:pPr>
            <w:r>
              <w:rPr>
                <w:rFonts w:eastAsia="Symbol" w:cs="Times New Roman" w:ascii="Times New Roman" w:hAnsi="Times New Roman"/>
              </w:rPr>
              <w:t>2.</w:t>
            </w:r>
          </w:p>
        </w:tc>
        <w:tc>
          <w:tcPr>
            <w:tcW w:w="4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contextualSpacing/>
              <w:jc w:val="center"/>
              <w:rPr>
                <w:rFonts w:ascii="Times New Roman" w:hAnsi="Times New Roman" w:eastAsia="Symbol" w:cs="Times New Roman"/>
              </w:rPr>
            </w:pPr>
            <w:r>
              <w:rPr>
                <w:rFonts w:eastAsia="Symbol" w:cs="Times New Roman" w:ascii="Times New Roman" w:hAnsi="Times New Roman"/>
              </w:rPr>
              <w:t>Гостиница «Спорт» МУ «Спортивно-оздоровительный комплекс «Железноводск»</w:t>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contextualSpacing/>
              <w:jc w:val="center"/>
              <w:rPr>
                <w:rFonts w:ascii="Times New Roman" w:hAnsi="Times New Roman" w:eastAsia="Symbol" w:cs="Times New Roman"/>
              </w:rPr>
            </w:pPr>
            <w:r>
              <w:rPr>
                <w:rFonts w:eastAsia="Symbol" w:cs="Times New Roman" w:ascii="Times New Roman" w:hAnsi="Times New Roman"/>
              </w:rPr>
              <w:t>муниципальная</w:t>
            </w:r>
          </w:p>
        </w:tc>
        <w:tc>
          <w:tcPr>
            <w:tcW w:w="2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contextualSpacing/>
              <w:jc w:val="center"/>
              <w:rPr>
                <w:rFonts w:ascii="Times New Roman" w:hAnsi="Times New Roman" w:eastAsia="Symbol" w:cs="Times New Roman"/>
              </w:rPr>
            </w:pPr>
            <w:r>
              <w:rPr>
                <w:rFonts w:eastAsia="Symbol" w:cs="Times New Roman" w:ascii="Times New Roman" w:hAnsi="Times New Roman"/>
              </w:rPr>
              <w:t>30</w:t>
            </w:r>
          </w:p>
        </w:tc>
      </w:tr>
      <w:tr>
        <w:trPr/>
        <w:tc>
          <w:tcPr>
            <w:tcW w:w="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jc w:val="center"/>
              <w:rPr>
                <w:rFonts w:ascii="Times New Roman" w:hAnsi="Times New Roman" w:eastAsia="Symbol" w:cs="Times New Roman"/>
              </w:rPr>
            </w:pPr>
            <w:r>
              <w:rPr>
                <w:rFonts w:eastAsia="Symbol" w:cs="Times New Roman" w:ascii="Times New Roman" w:hAnsi="Times New Roman"/>
              </w:rPr>
              <w:t>3.</w:t>
            </w:r>
          </w:p>
        </w:tc>
        <w:tc>
          <w:tcPr>
            <w:tcW w:w="4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jc w:val="center"/>
              <w:rPr>
                <w:rFonts w:ascii="Times New Roman" w:hAnsi="Times New Roman" w:eastAsia="Symbol" w:cs="Times New Roman"/>
              </w:rPr>
            </w:pPr>
            <w:r>
              <w:rPr>
                <w:rFonts w:eastAsia="Symbol" w:cs="Times New Roman" w:ascii="Times New Roman" w:hAnsi="Times New Roman"/>
              </w:rPr>
              <w:t>Гостиница «Маск»</w:t>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jc w:val="center"/>
              <w:rPr>
                <w:rFonts w:ascii="Times New Roman" w:hAnsi="Times New Roman" w:eastAsia="Symbol" w:cs="Times New Roman"/>
              </w:rPr>
            </w:pPr>
            <w:r>
              <w:rPr>
                <w:rFonts w:eastAsia="Symbol" w:cs="Times New Roman" w:ascii="Times New Roman" w:hAnsi="Times New Roman"/>
              </w:rPr>
              <w:t>частная</w:t>
            </w:r>
          </w:p>
        </w:tc>
        <w:tc>
          <w:tcPr>
            <w:tcW w:w="2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jc w:val="center"/>
              <w:rPr>
                <w:rFonts w:ascii="Times New Roman" w:hAnsi="Times New Roman" w:eastAsia="Symbol" w:cs="Times New Roman"/>
              </w:rPr>
            </w:pPr>
            <w:r>
              <w:rPr>
                <w:rFonts w:eastAsia="Symbol" w:cs="Times New Roman" w:ascii="Times New Roman" w:hAnsi="Times New Roman"/>
              </w:rPr>
              <w:t>131</w:t>
            </w:r>
          </w:p>
        </w:tc>
      </w:tr>
      <w:tr>
        <w:trPr/>
        <w:tc>
          <w:tcPr>
            <w:tcW w:w="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jc w:val="center"/>
              <w:rPr>
                <w:rFonts w:ascii="Times New Roman" w:hAnsi="Times New Roman" w:eastAsia="Symbol" w:cs="Times New Roman"/>
              </w:rPr>
            </w:pPr>
            <w:r>
              <w:rPr>
                <w:rFonts w:eastAsia="Symbol" w:cs="Times New Roman" w:ascii="Times New Roman" w:hAnsi="Times New Roman"/>
              </w:rPr>
              <w:t>4.</w:t>
            </w:r>
          </w:p>
        </w:tc>
        <w:tc>
          <w:tcPr>
            <w:tcW w:w="4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jc w:val="center"/>
              <w:rPr>
                <w:rFonts w:ascii="Times New Roman" w:hAnsi="Times New Roman" w:eastAsia="Symbol" w:cs="Times New Roman"/>
              </w:rPr>
            </w:pPr>
            <w:r>
              <w:rPr>
                <w:rFonts w:eastAsia="Symbol" w:cs="Times New Roman" w:ascii="Times New Roman" w:hAnsi="Times New Roman"/>
              </w:rPr>
              <w:t>Апар-отель «Славяновский исток»</w:t>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jc w:val="center"/>
              <w:rPr>
                <w:rFonts w:ascii="Times New Roman" w:hAnsi="Times New Roman" w:eastAsia="Symbol" w:cs="Times New Roman"/>
              </w:rPr>
            </w:pPr>
            <w:r>
              <w:rPr>
                <w:rFonts w:eastAsia="Symbol" w:cs="Times New Roman" w:ascii="Times New Roman" w:hAnsi="Times New Roman"/>
              </w:rPr>
              <w:t>частная</w:t>
            </w:r>
          </w:p>
        </w:tc>
        <w:tc>
          <w:tcPr>
            <w:tcW w:w="2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jc w:val="center"/>
              <w:rPr>
                <w:rFonts w:ascii="Times New Roman" w:hAnsi="Times New Roman" w:eastAsia="Symbol" w:cs="Times New Roman"/>
              </w:rPr>
            </w:pPr>
            <w:r>
              <w:rPr>
                <w:rFonts w:eastAsia="Symbol" w:cs="Times New Roman" w:ascii="Times New Roman" w:hAnsi="Times New Roman"/>
              </w:rPr>
              <w:t>152</w:t>
            </w:r>
          </w:p>
        </w:tc>
      </w:tr>
      <w:tr>
        <w:trPr>
          <w:trHeight w:val="252" w:hRule="atLeast"/>
        </w:trPr>
        <w:tc>
          <w:tcPr>
            <w:tcW w:w="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jc w:val="center"/>
              <w:rPr>
                <w:rFonts w:ascii="Times New Roman" w:hAnsi="Times New Roman" w:eastAsia="Symbol" w:cs="Times New Roman"/>
              </w:rPr>
            </w:pPr>
            <w:r>
              <w:rPr>
                <w:rFonts w:eastAsia="Symbol" w:cs="Times New Roman" w:ascii="Times New Roman" w:hAnsi="Times New Roman"/>
              </w:rPr>
              <w:t>5.</w:t>
            </w:r>
          </w:p>
        </w:tc>
        <w:tc>
          <w:tcPr>
            <w:tcW w:w="4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jc w:val="center"/>
              <w:rPr>
                <w:rFonts w:ascii="Times New Roman" w:hAnsi="Times New Roman" w:eastAsia="Symbol" w:cs="Times New Roman"/>
              </w:rPr>
            </w:pPr>
            <w:r>
              <w:rPr>
                <w:rFonts w:eastAsia="Symbol" w:cs="Times New Roman" w:ascii="Times New Roman" w:hAnsi="Times New Roman"/>
              </w:rPr>
              <w:t>Eco Hotel «Green House»</w:t>
            </w:r>
          </w:p>
          <w:p>
            <w:pPr>
              <w:pStyle w:val="Normal"/>
              <w:spacing w:lineRule="auto" w:line="240" w:before="0" w:after="0"/>
              <w:ind w:firstLine="709"/>
              <w:jc w:val="center"/>
              <w:rPr>
                <w:rFonts w:ascii="Times New Roman" w:hAnsi="Times New Roman" w:eastAsia="Symbol" w:cs="Times New Roman"/>
              </w:rPr>
            </w:pPr>
            <w:r>
              <w:rPr>
                <w:rFonts w:eastAsia="Symbol" w:cs="Times New Roman" w:ascii="Times New Roman" w:hAnsi="Times New Roman"/>
              </w:rP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jc w:val="center"/>
              <w:rPr>
                <w:rFonts w:ascii="Times New Roman" w:hAnsi="Times New Roman" w:eastAsia="Symbol" w:cs="Times New Roman"/>
              </w:rPr>
            </w:pPr>
            <w:r>
              <w:rPr>
                <w:rFonts w:eastAsia="Symbol" w:cs="Times New Roman" w:ascii="Times New Roman" w:hAnsi="Times New Roman"/>
              </w:rPr>
              <w:t>частная</w:t>
            </w:r>
          </w:p>
        </w:tc>
        <w:tc>
          <w:tcPr>
            <w:tcW w:w="2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jc w:val="center"/>
              <w:rPr>
                <w:rFonts w:ascii="Times New Roman" w:hAnsi="Times New Roman" w:eastAsia="Symbol" w:cs="Times New Roman"/>
              </w:rPr>
            </w:pPr>
            <w:r>
              <w:rPr>
                <w:rFonts w:eastAsia="Symbol" w:cs="Times New Roman" w:ascii="Times New Roman" w:hAnsi="Times New Roman"/>
              </w:rPr>
              <w:t>37</w:t>
            </w:r>
          </w:p>
        </w:tc>
      </w:tr>
      <w:tr>
        <w:trPr/>
        <w:tc>
          <w:tcPr>
            <w:tcW w:w="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jc w:val="center"/>
              <w:rPr>
                <w:rFonts w:ascii="Times New Roman" w:hAnsi="Times New Roman" w:eastAsia="Symbol" w:cs="Times New Roman"/>
              </w:rPr>
            </w:pPr>
            <w:r>
              <w:rPr>
                <w:rFonts w:eastAsia="Symbol" w:cs="Times New Roman" w:ascii="Times New Roman" w:hAnsi="Times New Roman"/>
              </w:rPr>
              <w:t>6.</w:t>
            </w:r>
          </w:p>
        </w:tc>
        <w:tc>
          <w:tcPr>
            <w:tcW w:w="4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jc w:val="center"/>
              <w:rPr>
                <w:rFonts w:ascii="Times New Roman" w:hAnsi="Times New Roman" w:eastAsia="Symbol" w:cs="Times New Roman"/>
              </w:rPr>
            </w:pPr>
            <w:r>
              <w:rPr>
                <w:rFonts w:eastAsia="Symbol" w:cs="Times New Roman" w:ascii="Times New Roman" w:hAnsi="Times New Roman"/>
              </w:rPr>
              <w:t>Спа-отель «Рафаэль»</w:t>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jc w:val="center"/>
              <w:rPr>
                <w:rFonts w:ascii="Times New Roman" w:hAnsi="Times New Roman" w:eastAsia="Symbol" w:cs="Times New Roman"/>
              </w:rPr>
            </w:pPr>
            <w:r>
              <w:rPr>
                <w:rFonts w:eastAsia="Symbol" w:cs="Times New Roman" w:ascii="Times New Roman" w:hAnsi="Times New Roman"/>
              </w:rPr>
              <w:t>частная</w:t>
            </w:r>
          </w:p>
        </w:tc>
        <w:tc>
          <w:tcPr>
            <w:tcW w:w="2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jc w:val="center"/>
              <w:rPr>
                <w:rFonts w:ascii="Times New Roman" w:hAnsi="Times New Roman" w:eastAsia="Symbol" w:cs="Times New Roman"/>
              </w:rPr>
            </w:pPr>
            <w:r>
              <w:rPr>
                <w:rFonts w:eastAsia="Symbol" w:cs="Times New Roman" w:ascii="Times New Roman" w:hAnsi="Times New Roman"/>
              </w:rPr>
              <w:t>80</w:t>
            </w:r>
          </w:p>
        </w:tc>
      </w:tr>
      <w:tr>
        <w:trPr/>
        <w:tc>
          <w:tcPr>
            <w:tcW w:w="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jc w:val="center"/>
              <w:rPr>
                <w:rFonts w:ascii="Times New Roman" w:hAnsi="Times New Roman" w:eastAsia="Symbol" w:cs="Times New Roman"/>
              </w:rPr>
            </w:pPr>
            <w:r>
              <w:rPr>
                <w:rFonts w:eastAsia="Symbol" w:cs="Times New Roman" w:ascii="Times New Roman" w:hAnsi="Times New Roman"/>
              </w:rPr>
              <w:t>7.</w:t>
            </w:r>
          </w:p>
        </w:tc>
        <w:tc>
          <w:tcPr>
            <w:tcW w:w="4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jc w:val="center"/>
              <w:rPr>
                <w:rFonts w:ascii="Times New Roman" w:hAnsi="Times New Roman" w:eastAsia="Symbol" w:cs="Times New Roman"/>
              </w:rPr>
            </w:pPr>
            <w:r>
              <w:rPr>
                <w:rFonts w:eastAsia="Symbol" w:cs="Times New Roman" w:ascii="Times New Roman" w:hAnsi="Times New Roman"/>
              </w:rPr>
              <w:t>Спа-отель "Княжна Мэри"</w:t>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jc w:val="center"/>
              <w:rPr>
                <w:rFonts w:ascii="Times New Roman" w:hAnsi="Times New Roman" w:eastAsia="Symbol" w:cs="Times New Roman"/>
              </w:rPr>
            </w:pPr>
            <w:r>
              <w:rPr>
                <w:rFonts w:eastAsia="Symbol" w:cs="Times New Roman" w:ascii="Times New Roman" w:hAnsi="Times New Roman"/>
              </w:rPr>
              <w:t>частная</w:t>
            </w:r>
          </w:p>
        </w:tc>
        <w:tc>
          <w:tcPr>
            <w:tcW w:w="2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jc w:val="center"/>
              <w:rPr>
                <w:rFonts w:ascii="Times New Roman" w:hAnsi="Times New Roman" w:eastAsia="Symbol" w:cs="Times New Roman"/>
              </w:rPr>
            </w:pPr>
            <w:r>
              <w:rPr>
                <w:rFonts w:eastAsia="Symbol" w:cs="Times New Roman" w:ascii="Times New Roman" w:hAnsi="Times New Roman"/>
              </w:rPr>
              <w:t>26</w:t>
            </w:r>
          </w:p>
        </w:tc>
      </w:tr>
      <w:tr>
        <w:trPr/>
        <w:tc>
          <w:tcPr>
            <w:tcW w:w="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jc w:val="center"/>
              <w:rPr>
                <w:rFonts w:ascii="Times New Roman" w:hAnsi="Times New Roman" w:eastAsia="Symbol" w:cs="Times New Roman"/>
              </w:rPr>
            </w:pPr>
            <w:r>
              <w:rPr>
                <w:rFonts w:eastAsia="Symbol" w:cs="Times New Roman" w:ascii="Times New Roman" w:hAnsi="Times New Roman"/>
              </w:rPr>
              <w:t>8.</w:t>
            </w:r>
          </w:p>
        </w:tc>
        <w:tc>
          <w:tcPr>
            <w:tcW w:w="4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jc w:val="center"/>
              <w:rPr>
                <w:rFonts w:ascii="Times New Roman" w:hAnsi="Times New Roman" w:eastAsia="Symbol" w:cs="Times New Roman"/>
              </w:rPr>
            </w:pPr>
            <w:r>
              <w:rPr>
                <w:rFonts w:eastAsia="Symbol" w:cs="Times New Roman" w:ascii="Times New Roman" w:hAnsi="Times New Roman"/>
              </w:rPr>
              <w:t>Гостевой дом "Райский уголок"</w:t>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jc w:val="center"/>
              <w:rPr>
                <w:rFonts w:ascii="Times New Roman" w:hAnsi="Times New Roman" w:eastAsia="Symbol" w:cs="Times New Roman"/>
              </w:rPr>
            </w:pPr>
            <w:r>
              <w:rPr>
                <w:rFonts w:eastAsia="Symbol" w:cs="Times New Roman" w:ascii="Times New Roman" w:hAnsi="Times New Roman"/>
              </w:rPr>
              <w:t>частная</w:t>
            </w:r>
          </w:p>
        </w:tc>
        <w:tc>
          <w:tcPr>
            <w:tcW w:w="2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jc w:val="center"/>
              <w:rPr>
                <w:rFonts w:ascii="Times New Roman" w:hAnsi="Times New Roman" w:eastAsia="Symbol" w:cs="Times New Roman"/>
              </w:rPr>
            </w:pPr>
            <w:r>
              <w:rPr>
                <w:rFonts w:eastAsia="Symbol" w:cs="Times New Roman" w:ascii="Times New Roman" w:hAnsi="Times New Roman"/>
              </w:rPr>
              <w:t>20</w:t>
            </w:r>
          </w:p>
        </w:tc>
      </w:tr>
      <w:tr>
        <w:trPr/>
        <w:tc>
          <w:tcPr>
            <w:tcW w:w="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jc w:val="center"/>
              <w:rPr>
                <w:rFonts w:ascii="Times New Roman" w:hAnsi="Times New Roman" w:eastAsia="Symbol" w:cs="Times New Roman"/>
              </w:rPr>
            </w:pPr>
            <w:r>
              <w:rPr>
                <w:rFonts w:eastAsia="Symbol" w:cs="Times New Roman" w:ascii="Times New Roman" w:hAnsi="Times New Roman"/>
              </w:rPr>
              <w:t>9.</w:t>
            </w:r>
          </w:p>
        </w:tc>
        <w:tc>
          <w:tcPr>
            <w:tcW w:w="4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jc w:val="center"/>
              <w:rPr>
                <w:rFonts w:ascii="Times New Roman" w:hAnsi="Times New Roman" w:eastAsia="Symbol" w:cs="Times New Roman"/>
              </w:rPr>
            </w:pPr>
            <w:r>
              <w:rPr>
                <w:rFonts w:eastAsia="Symbol" w:cs="Times New Roman" w:ascii="Times New Roman" w:hAnsi="Times New Roman"/>
              </w:rPr>
              <w:t>Спа-отель "Аура"</w:t>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jc w:val="center"/>
              <w:rPr>
                <w:rFonts w:ascii="Times New Roman" w:hAnsi="Times New Roman" w:eastAsia="Symbol" w:cs="Times New Roman"/>
              </w:rPr>
            </w:pPr>
            <w:r>
              <w:rPr>
                <w:rFonts w:eastAsia="Symbol" w:cs="Times New Roman" w:ascii="Times New Roman" w:hAnsi="Times New Roman"/>
              </w:rPr>
              <w:t>частная</w:t>
            </w:r>
          </w:p>
        </w:tc>
        <w:tc>
          <w:tcPr>
            <w:tcW w:w="2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jc w:val="center"/>
              <w:rPr>
                <w:rFonts w:ascii="Times New Roman" w:hAnsi="Times New Roman" w:eastAsia="Symbol" w:cs="Times New Roman"/>
              </w:rPr>
            </w:pPr>
            <w:r>
              <w:rPr>
                <w:rFonts w:eastAsia="Symbol" w:cs="Times New Roman" w:ascii="Times New Roman" w:hAnsi="Times New Roman"/>
              </w:rPr>
              <w:t>18</w:t>
            </w:r>
          </w:p>
        </w:tc>
      </w:tr>
      <w:tr>
        <w:trPr/>
        <w:tc>
          <w:tcPr>
            <w:tcW w:w="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jc w:val="center"/>
              <w:rPr>
                <w:rFonts w:ascii="Times New Roman" w:hAnsi="Times New Roman" w:eastAsia="Symbol" w:cs="Times New Roman"/>
              </w:rPr>
            </w:pPr>
            <w:r>
              <w:rPr>
                <w:rFonts w:eastAsia="Symbol" w:cs="Times New Roman" w:ascii="Times New Roman" w:hAnsi="Times New Roman"/>
              </w:rPr>
              <w:t>10.</w:t>
            </w:r>
          </w:p>
        </w:tc>
        <w:tc>
          <w:tcPr>
            <w:tcW w:w="4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jc w:val="center"/>
              <w:rPr>
                <w:rFonts w:ascii="Times New Roman" w:hAnsi="Times New Roman" w:eastAsia="Symbol" w:cs="Times New Roman"/>
              </w:rPr>
            </w:pPr>
            <w:r>
              <w:rPr>
                <w:rFonts w:eastAsia="Symbol" w:cs="Times New Roman" w:ascii="Times New Roman" w:hAnsi="Times New Roman"/>
              </w:rPr>
              <w:t>Ресторанно-гостиничный комплекс «Избушка Лесника»</w:t>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jc w:val="center"/>
              <w:rPr>
                <w:rFonts w:ascii="Times New Roman" w:hAnsi="Times New Roman" w:eastAsia="Symbol" w:cs="Times New Roman"/>
              </w:rPr>
            </w:pPr>
            <w:r>
              <w:rPr>
                <w:rFonts w:eastAsia="Symbol" w:cs="Times New Roman" w:ascii="Times New Roman" w:hAnsi="Times New Roman"/>
              </w:rPr>
              <w:t>частная</w:t>
            </w:r>
          </w:p>
        </w:tc>
        <w:tc>
          <w:tcPr>
            <w:tcW w:w="2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jc w:val="center"/>
              <w:rPr>
                <w:rFonts w:ascii="Times New Roman" w:hAnsi="Times New Roman" w:eastAsia="Symbol" w:cs="Times New Roman"/>
              </w:rPr>
            </w:pPr>
            <w:r>
              <w:rPr>
                <w:rFonts w:eastAsia="Symbol" w:cs="Times New Roman" w:ascii="Times New Roman" w:hAnsi="Times New Roman"/>
              </w:rPr>
              <w:t>10</w:t>
            </w:r>
          </w:p>
        </w:tc>
      </w:tr>
      <w:tr>
        <w:trPr/>
        <w:tc>
          <w:tcPr>
            <w:tcW w:w="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jc w:val="center"/>
              <w:rPr>
                <w:rFonts w:ascii="Times New Roman" w:hAnsi="Times New Roman" w:eastAsia="Symbol" w:cs="Times New Roman"/>
              </w:rPr>
            </w:pPr>
            <w:r>
              <w:rPr>
                <w:rFonts w:eastAsia="Symbol" w:cs="Times New Roman" w:ascii="Times New Roman" w:hAnsi="Times New Roman"/>
              </w:rPr>
              <w:t>11.</w:t>
            </w:r>
          </w:p>
        </w:tc>
        <w:tc>
          <w:tcPr>
            <w:tcW w:w="4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jc w:val="center"/>
              <w:rPr>
                <w:rFonts w:ascii="Times New Roman" w:hAnsi="Times New Roman" w:eastAsia="Symbol" w:cs="Times New Roman"/>
              </w:rPr>
            </w:pPr>
            <w:r>
              <w:rPr>
                <w:rFonts w:eastAsia="Symbol" w:cs="Times New Roman" w:ascii="Times New Roman" w:hAnsi="Times New Roman"/>
              </w:rPr>
              <w:t>Гостевой дом "Статус"</w:t>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jc w:val="center"/>
              <w:rPr>
                <w:rFonts w:ascii="Times New Roman" w:hAnsi="Times New Roman" w:eastAsia="Symbol" w:cs="Times New Roman"/>
              </w:rPr>
            </w:pPr>
            <w:r>
              <w:rPr>
                <w:rFonts w:eastAsia="Symbol" w:cs="Times New Roman" w:ascii="Times New Roman" w:hAnsi="Times New Roman"/>
              </w:rPr>
              <w:t>частная</w:t>
            </w:r>
          </w:p>
        </w:tc>
        <w:tc>
          <w:tcPr>
            <w:tcW w:w="2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jc w:val="center"/>
              <w:rPr>
                <w:rFonts w:ascii="Times New Roman" w:hAnsi="Times New Roman" w:eastAsia="Symbol" w:cs="Times New Roman"/>
              </w:rPr>
            </w:pPr>
            <w:r>
              <w:rPr>
                <w:rFonts w:eastAsia="Symbol" w:cs="Times New Roman" w:ascii="Times New Roman" w:hAnsi="Times New Roman"/>
              </w:rPr>
              <w:t>18</w:t>
            </w:r>
          </w:p>
        </w:tc>
      </w:tr>
      <w:tr>
        <w:trPr>
          <w:trHeight w:val="15" w:hRule="atLeast"/>
        </w:trPr>
        <w:tc>
          <w:tcPr>
            <w:tcW w:w="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jc w:val="center"/>
              <w:rPr>
                <w:rFonts w:ascii="Times New Roman" w:hAnsi="Times New Roman" w:eastAsia="Symbol" w:cs="Times New Roman"/>
              </w:rPr>
            </w:pPr>
            <w:r>
              <w:rPr>
                <w:rFonts w:eastAsia="Symbol" w:cs="Times New Roman" w:ascii="Times New Roman" w:hAnsi="Times New Roman"/>
              </w:rPr>
              <w:t>12.</w:t>
            </w:r>
          </w:p>
        </w:tc>
        <w:tc>
          <w:tcPr>
            <w:tcW w:w="4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jc w:val="center"/>
              <w:rPr>
                <w:rFonts w:ascii="Times New Roman" w:hAnsi="Times New Roman" w:eastAsia="Symbol" w:cs="Times New Roman"/>
              </w:rPr>
            </w:pPr>
            <w:r>
              <w:rPr>
                <w:rFonts w:eastAsia="Symbol" w:cs="Times New Roman" w:ascii="Times New Roman" w:hAnsi="Times New Roman"/>
              </w:rPr>
              <w:t>Гостиничный комплекс "Сосновый бор"</w:t>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jc w:val="center"/>
              <w:rPr>
                <w:rFonts w:ascii="Times New Roman" w:hAnsi="Times New Roman" w:eastAsia="Symbol" w:cs="Times New Roman"/>
              </w:rPr>
            </w:pPr>
            <w:r>
              <w:rPr>
                <w:rFonts w:eastAsia="Symbol" w:cs="Times New Roman" w:ascii="Times New Roman" w:hAnsi="Times New Roman"/>
              </w:rPr>
              <w:t>частная</w:t>
            </w:r>
          </w:p>
        </w:tc>
        <w:tc>
          <w:tcPr>
            <w:tcW w:w="2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jc w:val="center"/>
              <w:rPr>
                <w:rFonts w:ascii="Times New Roman" w:hAnsi="Times New Roman" w:eastAsia="Symbol" w:cs="Times New Roman"/>
              </w:rPr>
            </w:pPr>
            <w:r>
              <w:rPr>
                <w:rFonts w:eastAsia="Symbol" w:cs="Times New Roman" w:ascii="Times New Roman" w:hAnsi="Times New Roman"/>
              </w:rPr>
              <w:t>3</w:t>
            </w:r>
          </w:p>
        </w:tc>
      </w:tr>
      <w:tr>
        <w:trPr>
          <w:trHeight w:val="15" w:hRule="atLeast"/>
        </w:trPr>
        <w:tc>
          <w:tcPr>
            <w:tcW w:w="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jc w:val="center"/>
              <w:rPr>
                <w:rFonts w:ascii="Times New Roman" w:hAnsi="Times New Roman" w:eastAsia="Symbol" w:cs="Times New Roman"/>
              </w:rPr>
            </w:pPr>
            <w:r>
              <w:rPr>
                <w:rFonts w:eastAsia="Symbol" w:cs="Times New Roman" w:ascii="Times New Roman" w:hAnsi="Times New Roman"/>
              </w:rPr>
              <w:t>13.</w:t>
            </w:r>
          </w:p>
        </w:tc>
        <w:tc>
          <w:tcPr>
            <w:tcW w:w="4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Style22"/>
              <w:jc w:val="center"/>
              <w:rPr>
                <w:rFonts w:eastAsia="Symbol"/>
              </w:rPr>
            </w:pPr>
            <w:r>
              <w:rPr>
                <w:rFonts w:eastAsia="Symbol"/>
              </w:rPr>
              <w:t>Мини-отель "Марфуга"</w:t>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jc w:val="center"/>
              <w:rPr>
                <w:rFonts w:ascii="Times New Roman" w:hAnsi="Times New Roman" w:eastAsia="Symbol" w:cs="Times New Roman"/>
              </w:rPr>
            </w:pPr>
            <w:r>
              <w:rPr>
                <w:rFonts w:eastAsia="Symbol" w:cs="Times New Roman" w:ascii="Times New Roman" w:hAnsi="Times New Roman"/>
              </w:rPr>
              <w:t>частная</w:t>
            </w:r>
          </w:p>
        </w:tc>
        <w:tc>
          <w:tcPr>
            <w:tcW w:w="2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4" w:type="dxa"/>
            </w:tcMar>
          </w:tcPr>
          <w:p>
            <w:pPr>
              <w:pStyle w:val="Normal"/>
              <w:spacing w:lineRule="auto" w:line="240" w:before="0" w:after="0"/>
              <w:jc w:val="center"/>
              <w:rPr>
                <w:rFonts w:ascii="Times New Roman" w:hAnsi="Times New Roman" w:eastAsia="Symbol" w:cs="Times New Roman"/>
              </w:rPr>
            </w:pPr>
            <w:r>
              <w:rPr>
                <w:rFonts w:eastAsia="Symbol" w:cs="Times New Roman" w:ascii="Times New Roman" w:hAnsi="Times New Roman"/>
              </w:rPr>
              <w:t>16</w:t>
            </w:r>
          </w:p>
        </w:tc>
      </w:tr>
    </w:tbl>
    <w:p>
      <w:pPr>
        <w:pStyle w:val="Normal"/>
        <w:spacing w:lineRule="auto" w:line="240" w:before="0" w:after="0"/>
        <w:ind w:firstLine="709"/>
        <w:rPr>
          <w:rFonts w:ascii="Times New Roman" w:hAnsi="Times New Roman" w:eastAsia="Symbol" w:cs="Times New Roman"/>
          <w:sz w:val="28"/>
          <w:szCs w:val="28"/>
        </w:rPr>
      </w:pPr>
      <w:r>
        <w:rPr>
          <w:rFonts w:eastAsia="Symbol" w:cs="Times New Roman" w:ascii="Times New Roman" w:hAnsi="Times New Roman"/>
          <w:sz w:val="28"/>
          <w:szCs w:val="28"/>
        </w:rPr>
      </w:r>
    </w:p>
    <w:p>
      <w:pPr>
        <w:pStyle w:val="Normal"/>
        <w:tabs>
          <w:tab w:val="left" w:pos="5340" w:leader="none"/>
        </w:tabs>
        <w:spacing w:lineRule="auto" w:line="240" w:before="0" w:after="0"/>
        <w:ind w:firstLine="709"/>
        <w:jc w:val="both"/>
        <w:rPr>
          <w:rFonts w:ascii="Times New Roman" w:hAnsi="Times New Roman" w:cs="Times New Roman"/>
          <w:sz w:val="28"/>
          <w:szCs w:val="28"/>
        </w:rPr>
      </w:pPr>
      <w:r>
        <w:rPr>
          <w:rFonts w:eastAsia="Symbol" w:cs="Times New Roman" w:ascii="Times New Roman" w:hAnsi="Times New Roman"/>
          <w:sz w:val="28"/>
          <w:szCs w:val="28"/>
        </w:rPr>
        <w:t>Анализ наполняемости гостиниц позволяет сделать вывод о том, что предпочтения отдаются отдыху в частных мини-отелях, несмотря на отсутствие дифференциации в цене в муниципальных и частных гостиницах.</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Туризм является одной из ведущих и наиболее динамичных отраслей экономики и за быстрые темпы он признан экономическим феноменом столетия. Он выступает своеобразным стабилизатором социально-экономического развития. Для развития туризма в городе Железноводске имеются природные рекреационные, исторические, культурные, паломнические туристические объекты.</w:t>
      </w:r>
    </w:p>
    <w:p>
      <w:pPr>
        <w:pStyle w:val="NormalWeb1"/>
        <w:spacing w:lineRule="auto" w:line="240" w:before="0" w:after="0"/>
        <w:ind w:firstLine="709"/>
        <w:jc w:val="both"/>
        <w:rPr>
          <w:sz w:val="28"/>
          <w:szCs w:val="28"/>
        </w:rPr>
      </w:pPr>
      <w:r>
        <w:rPr>
          <w:sz w:val="28"/>
          <w:szCs w:val="28"/>
        </w:rPr>
        <w:t xml:space="preserve">В последнее время требования современного туриста значительно изменились. Путешествия становятся короче, сокращается время пребывания, но количество поездок увеличивается до 3-4 в год. Повышается интерес к организации отдыха в выходные дни. </w:t>
      </w:r>
    </w:p>
    <w:p>
      <w:pPr>
        <w:pStyle w:val="NormalWeb1"/>
        <w:spacing w:lineRule="auto" w:line="240" w:before="0" w:after="0"/>
        <w:ind w:firstLine="709"/>
        <w:jc w:val="both"/>
        <w:rPr>
          <w:sz w:val="28"/>
          <w:szCs w:val="28"/>
        </w:rPr>
      </w:pPr>
      <w:r>
        <w:rPr>
          <w:sz w:val="28"/>
          <w:szCs w:val="28"/>
        </w:rPr>
        <w:t xml:space="preserve">Город обладает всеми ресурсами и потенциалом для развития данного направления туризма. Большое количество природных объектов, достопримечательных мест позволяют спланировать свой отдых на небольшой период времени. Наиболее известным и посещаемым местом является курортный парк города. </w:t>
      </w:r>
    </w:p>
    <w:p>
      <w:pPr>
        <w:pStyle w:val="NormalWeb1"/>
        <w:spacing w:lineRule="auto" w:line="240" w:before="0" w:after="0"/>
        <w:ind w:firstLine="709"/>
        <w:jc w:val="both"/>
        <w:rPr>
          <w:rFonts w:eastAsia="Symbol"/>
          <w:sz w:val="28"/>
          <w:szCs w:val="28"/>
        </w:rPr>
      </w:pPr>
      <w:r>
        <w:rPr>
          <w:sz w:val="28"/>
          <w:szCs w:val="28"/>
        </w:rPr>
        <w:t xml:space="preserve">Жители края и соседних республик стремятся посетить город в выходные дни. Излюбленными местами жителей и гостей края являются источники минеральных вод. </w:t>
      </w:r>
    </w:p>
    <w:p>
      <w:pPr>
        <w:pStyle w:val="NormalWeb1"/>
        <w:tabs>
          <w:tab w:val="left" w:pos="5340" w:leader="none"/>
        </w:tabs>
        <w:spacing w:lineRule="auto" w:line="240" w:before="0" w:after="0"/>
        <w:ind w:firstLine="709"/>
        <w:jc w:val="both"/>
        <w:rPr>
          <w:rFonts w:eastAsia="Symbol"/>
          <w:sz w:val="28"/>
          <w:szCs w:val="28"/>
        </w:rPr>
      </w:pPr>
      <w:r>
        <w:rPr>
          <w:rFonts w:eastAsia="Symbol"/>
          <w:sz w:val="28"/>
          <w:szCs w:val="28"/>
        </w:rPr>
        <w:t>В целях осуществления культурно-познавательного туризма в городе-курорте Железноводске реализуется стратегия продвижения и популяризации туристического бренда города-курорта Железноводска по туристическим маршрутам (</w:t>
      </w:r>
      <w:r>
        <w:rPr>
          <w:rFonts w:eastAsia="Symbol"/>
          <w:bCs/>
          <w:color w:val="000000"/>
          <w:sz w:val="28"/>
          <w:szCs w:val="28"/>
        </w:rPr>
        <w:t xml:space="preserve">вокруг горы Железной, на вершину горы Железной, на вершину горы Тупой, на вершину горы Бештау, вокруг горы Развалки, к гроту «Вечной  мерзлоты», </w:t>
      </w:r>
      <w:r>
        <w:rPr>
          <w:rFonts w:eastAsia="Symbol"/>
          <w:color w:val="000000"/>
          <w:sz w:val="28"/>
          <w:szCs w:val="28"/>
        </w:rPr>
        <w:t>Привокзальная площадь, гора Железная, Ванны Островского, Подворье Карповых, Лермонтовский сквер, Площадка у Лермонтовского источника, Старая площадка Железноводской группы, Осколок горы Железной, Верхняя площадка Каскадной лестницы).</w:t>
      </w:r>
    </w:p>
    <w:p>
      <w:pPr>
        <w:pStyle w:val="Normal"/>
        <w:tabs>
          <w:tab w:val="left" w:pos="5340" w:leader="none"/>
        </w:tabs>
        <w:spacing w:lineRule="auto" w:line="240" w:before="0" w:after="0"/>
        <w:ind w:firstLine="709"/>
        <w:jc w:val="both"/>
        <w:rPr>
          <w:rFonts w:ascii="Times New Roman" w:hAnsi="Times New Roman" w:eastAsia="Symbol" w:cs="Times New Roman"/>
          <w:sz w:val="28"/>
          <w:szCs w:val="28"/>
        </w:rPr>
      </w:pPr>
      <w:r>
        <w:rPr>
          <w:rFonts w:eastAsia="Symbol" w:cs="Times New Roman" w:ascii="Times New Roman" w:hAnsi="Times New Roman"/>
          <w:sz w:val="28"/>
          <w:szCs w:val="28"/>
        </w:rPr>
        <w:t>Город имеет сложившуюся инфраструктуру туризма и отдыха. Среди наиболее привлекательных объектов туристского показа: питьевые бюветы, курортный парк, питьевая галерея Смирновского источника, Музыкантская беседка, Дворец Эмира Бухарского, здание бывших «Новых ванн», домик мадам А.И.Рошке, Баталинская пещера-«Капельница», участок «Вечной мерзлоты» на горе «Развалка».</w:t>
      </w:r>
    </w:p>
    <w:p>
      <w:pPr>
        <w:pStyle w:val="Normal"/>
        <w:tabs>
          <w:tab w:val="left" w:pos="5340" w:leader="none"/>
        </w:tabs>
        <w:spacing w:lineRule="auto" w:line="240" w:before="0" w:after="0"/>
        <w:ind w:firstLine="709"/>
        <w:jc w:val="both"/>
        <w:rPr>
          <w:rFonts w:ascii="Times New Roman" w:hAnsi="Times New Roman" w:cs="Times New Roman"/>
          <w:sz w:val="28"/>
          <w:szCs w:val="28"/>
        </w:rPr>
      </w:pPr>
      <w:r>
        <w:rPr>
          <w:rFonts w:eastAsia="Symbol" w:cs="Times New Roman" w:ascii="Times New Roman" w:hAnsi="Times New Roman"/>
          <w:sz w:val="28"/>
          <w:szCs w:val="28"/>
        </w:rPr>
        <w:t>Общедоступными учреждениями отдыха в городе являются Городской Дворец культуры, краеведческий музей и Пушкинская галерея.</w:t>
      </w:r>
    </w:p>
    <w:p>
      <w:pPr>
        <w:pStyle w:val="NormalWeb1"/>
        <w:spacing w:lineRule="auto" w:line="240" w:before="0" w:after="0"/>
        <w:ind w:firstLine="709"/>
        <w:jc w:val="both"/>
        <w:rPr>
          <w:sz w:val="28"/>
          <w:szCs w:val="28"/>
        </w:rPr>
      </w:pPr>
      <w:r>
        <w:rPr>
          <w:sz w:val="28"/>
          <w:szCs w:val="28"/>
        </w:rPr>
        <w:t>На территории города функционирует развлекательный комплекс «Город Солнца», который состоит из парковой зоны отдыха, аквапарка с открытым бассейном, водными горками, зонами приема воздушных и солнечных ванн, развлекательной зоны.</w:t>
      </w:r>
    </w:p>
    <w:p>
      <w:pPr>
        <w:pStyle w:val="Normal"/>
        <w:spacing w:lineRule="auto" w:line="240" w:before="0" w:after="0"/>
        <w:ind w:left="0" w:firstLine="1134"/>
        <w:jc w:val="both"/>
        <w:rPr>
          <w:rFonts w:ascii="Times New Roman" w:hAnsi="Times New Roman" w:cs="Times New Roman"/>
          <w:sz w:val="28"/>
          <w:szCs w:val="28"/>
        </w:rPr>
      </w:pPr>
      <w:r>
        <w:rPr>
          <w:rFonts w:cs="Times New Roman" w:ascii="Times New Roman" w:hAnsi="Times New Roman"/>
          <w:sz w:val="28"/>
          <w:szCs w:val="28"/>
        </w:rPr>
        <w:t>Ежегодно в городе Железноводске проводятся:</w:t>
      </w:r>
    </w:p>
    <w:p>
      <w:pPr>
        <w:pStyle w:val="Normal"/>
        <w:spacing w:lineRule="auto" w:line="240" w:before="0" w:after="0"/>
        <w:ind w:firstLine="709"/>
        <w:jc w:val="both"/>
        <w:rPr>
          <w:rFonts w:ascii="Times New Roman" w:hAnsi="Times New Roman" w:eastAsia="Symbol" w:cs="Times New Roman"/>
          <w:sz w:val="28"/>
          <w:szCs w:val="28"/>
        </w:rPr>
      </w:pPr>
      <w:r>
        <w:rPr>
          <w:rFonts w:cs="Times New Roman" w:ascii="Times New Roman" w:hAnsi="Times New Roman"/>
          <w:sz w:val="28"/>
          <w:szCs w:val="28"/>
        </w:rPr>
        <w:t xml:space="preserve">соревнования по экстремальным видам спорта (автородео, мотофристайл), </w:t>
      </w:r>
    </w:p>
    <w:p>
      <w:pPr>
        <w:pStyle w:val="Normal"/>
        <w:tabs>
          <w:tab w:val="left" w:pos="5340" w:leader="none"/>
        </w:tabs>
        <w:spacing w:lineRule="auto" w:line="240" w:before="0" w:after="0"/>
        <w:ind w:firstLine="709"/>
        <w:jc w:val="both"/>
        <w:rPr>
          <w:rFonts w:ascii="Times New Roman" w:hAnsi="Times New Roman" w:eastAsia="Symbol" w:cs="Times New Roman"/>
          <w:sz w:val="28"/>
          <w:szCs w:val="28"/>
        </w:rPr>
      </w:pPr>
      <w:r>
        <w:rPr>
          <w:rFonts w:eastAsia="Symbol" w:cs="Times New Roman" w:ascii="Times New Roman" w:hAnsi="Times New Roman"/>
          <w:sz w:val="28"/>
          <w:szCs w:val="28"/>
        </w:rPr>
        <w:t xml:space="preserve">всероссийские соревнования по </w:t>
      </w:r>
      <w:r>
        <w:rPr>
          <w:rFonts w:eastAsia="Symbol" w:cs="Times New Roman" w:ascii="Times New Roman" w:hAnsi="Times New Roman"/>
          <w:sz w:val="28"/>
          <w:szCs w:val="28"/>
          <w:lang w:val="en-US"/>
        </w:rPr>
        <w:t>IPO</w:t>
      </w:r>
      <w:r>
        <w:rPr>
          <w:rFonts w:eastAsia="Symbol" w:cs="Times New Roman" w:ascii="Times New Roman" w:hAnsi="Times New Roman"/>
          <w:sz w:val="28"/>
          <w:szCs w:val="28"/>
        </w:rPr>
        <w:t>, чемпионаты и первенства России и Кубки Ставропольского края по спортивному ориентированию, горному бегу.</w:t>
      </w:r>
    </w:p>
    <w:p>
      <w:pPr>
        <w:pStyle w:val="Normal"/>
        <w:tabs>
          <w:tab w:val="left" w:pos="5340" w:leader="none"/>
        </w:tabs>
        <w:spacing w:lineRule="auto" w:line="240" w:before="0" w:after="0"/>
        <w:ind w:firstLine="709"/>
        <w:jc w:val="both"/>
        <w:rPr>
          <w:rFonts w:ascii="Times New Roman" w:hAnsi="Times New Roman" w:eastAsia="Symbol" w:cs="Times New Roman"/>
          <w:i/>
          <w:i/>
          <w:color w:val="000000"/>
          <w:sz w:val="28"/>
          <w:szCs w:val="28"/>
        </w:rPr>
      </w:pPr>
      <w:r>
        <w:rPr>
          <w:rFonts w:eastAsia="Symbol" w:cs="Times New Roman" w:ascii="Times New Roman" w:hAnsi="Times New Roman"/>
          <w:sz w:val="28"/>
          <w:szCs w:val="28"/>
        </w:rPr>
        <w:t>На территории города-курорта находятся озера с оборудованными пляжными зонами и сопутствующей инфраструктурой отдыха (кафе, пункт проката водного и пляжного оборудования, торговые точки).</w:t>
      </w:r>
    </w:p>
    <w:p>
      <w:pPr>
        <w:pStyle w:val="Standard"/>
        <w:ind w:hanging="0"/>
        <w:rPr>
          <w:rFonts w:eastAsia="Symbol"/>
          <w:i/>
          <w:i/>
          <w:color w:val="000000"/>
          <w:sz w:val="28"/>
          <w:szCs w:val="28"/>
        </w:rPr>
      </w:pPr>
      <w:r>
        <w:rPr>
          <w:rFonts w:eastAsia="Symbol"/>
          <w:i/>
          <w:color w:val="000000"/>
          <w:sz w:val="28"/>
          <w:szCs w:val="28"/>
        </w:rPr>
      </w:r>
    </w:p>
    <w:p>
      <w:pPr>
        <w:pStyle w:val="Standard"/>
        <w:jc w:val="center"/>
        <w:rPr>
          <w:rFonts w:eastAsia="Symbol"/>
          <w:b/>
          <w:b/>
          <w:i/>
          <w:i/>
          <w:color w:val="000000"/>
          <w:sz w:val="28"/>
          <w:szCs w:val="28"/>
        </w:rPr>
      </w:pPr>
      <w:r>
        <w:rPr>
          <w:rFonts w:eastAsia="Symbol"/>
          <w:b/>
          <w:i/>
          <w:color w:val="000000"/>
          <w:sz w:val="28"/>
          <w:szCs w:val="28"/>
        </w:rPr>
        <w:t>Промышленность</w:t>
      </w:r>
    </w:p>
    <w:p>
      <w:pPr>
        <w:pStyle w:val="Standard"/>
        <w:jc w:val="center"/>
        <w:rPr>
          <w:sz w:val="28"/>
          <w:szCs w:val="28"/>
        </w:rPr>
      </w:pPr>
      <w:r>
        <w:rPr>
          <w:sz w:val="28"/>
          <w:szCs w:val="28"/>
        </w:rPr>
      </w:r>
    </w:p>
    <w:p>
      <w:pPr>
        <w:pStyle w:val="Standard"/>
        <w:rPr>
          <w:sz w:val="28"/>
          <w:szCs w:val="28"/>
        </w:rPr>
      </w:pPr>
      <w:r>
        <w:rPr>
          <w:sz w:val="28"/>
          <w:szCs w:val="28"/>
        </w:rPr>
        <w:t>Промышленность города ориентирована на обслуживание потребностей курорта. В городе преобладают предприятия пищевой промышленности, которые целиком подчинены нуждам курорта и призваны удовлетворить потребности в выпускаемой продукции не только жителей города, но и многочисленных отдыхающих курорта. С целью уменьшения вредного влияния на природные и лечебные факторы курорта, большинство предприятий сосредоточены за пределами курортной зоны в поселке Иноземцево.</w:t>
      </w:r>
    </w:p>
    <w:p>
      <w:pPr>
        <w:pStyle w:val="Standard"/>
        <w:rPr>
          <w:sz w:val="28"/>
          <w:szCs w:val="28"/>
        </w:rPr>
      </w:pPr>
      <w:r>
        <w:rPr>
          <w:sz w:val="28"/>
          <w:szCs w:val="28"/>
        </w:rPr>
        <w:t>Производственный сектор экономики города-курорта Железноводска представлен в основном предприятиями пищевой промышленности. В городе функционируют предприятия, производящие продукты питания первой необходимости - молочную и кисломолочную продукцию, колбасные изделия и мясные полуфабрикаты. При этом наибольший удельный вес в объеме выпускаемой продукции занимают заводы, осуществляющие промышленный розлив минеральной воды.</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На территории города-курорта Железноводска действует четыре организации, осуществляющие розлив минеральных вод. В общекраевом объеме розлива минеральных вод их доля составляет около 10,0 процента (68,0 млн. полулитров). </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Наибольший удельный вес в промышленном розливе минеральной воды в городе занимает ООО «Элита-Минерал групп» (более 50 %). Предприятие оснащено современным уникальным оборудованием. Производство включает линии по розливу минеральной воды, линию по розливу питьевой воды в ПЭТ бутылки емкостью 0,5 л., 1,0 л., 1,5 и 2,0 л., линию розлива и упаковки газированных сладких напитков, на которой производится продукт по классической немецкой компании «SINALKO». Продукция предприятия неоднократно отмечена наградами на выставках различного уровня, предприятие занимается внешнеэкономической деятельностью, поставляет свою продукцию на экспорт.</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Продукция предприятий успешно демонстрируется на различных отраслевых краевых, российских и международных выставках и ярмарках, неоднократно отмечалась наградами и дипломами за высокое качество.</w:t>
      </w:r>
    </w:p>
    <w:p>
      <w:pPr>
        <w:pStyle w:val="Style28"/>
        <w:rPr>
          <w:rFonts w:eastAsia="Symbol"/>
        </w:rPr>
      </w:pPr>
      <w:r>
        <w:rPr/>
        <w:t xml:space="preserve">Неблагоприятным фактором, сдерживающим использование производственного потенциала предприятий в полном объеме, является сложность </w:t>
      </w:r>
      <w:r>
        <w:rPr>
          <w:rFonts w:eastAsia="Symbol"/>
        </w:rPr>
        <w:t>вхождения предприятий в крупные торговые сети, осуществляющие свою деятельность как на территории Ставропольского края, так и за его пределами.</w:t>
      </w:r>
    </w:p>
    <w:p>
      <w:pPr>
        <w:pStyle w:val="Standard"/>
        <w:rPr>
          <w:sz w:val="28"/>
          <w:szCs w:val="28"/>
        </w:rPr>
      </w:pPr>
      <w:r>
        <w:rPr>
          <w:sz w:val="28"/>
          <w:szCs w:val="28"/>
        </w:rPr>
        <w:t xml:space="preserve">Обрабатывающие производства города в совокупности демонстрировали рост, в период с 2010 по 2013 годы объемы производства выросли на 36,9 % и составили 1059,8 тыс. руб., но с 2014 года предприятия города демонстрирует обратную динамику (рис. 4). </w:t>
      </w:r>
    </w:p>
    <w:p>
      <w:pPr>
        <w:pStyle w:val="Standard"/>
        <w:rPr>
          <w:sz w:val="28"/>
          <w:szCs w:val="28"/>
        </w:rPr>
      </w:pPr>
      <w:r>
        <w:rPr>
          <w:sz w:val="28"/>
          <w:szCs w:val="28"/>
        </w:rPr>
      </w:r>
    </w:p>
    <w:p>
      <w:pPr>
        <w:pStyle w:val="Standard"/>
        <w:rPr>
          <w:sz w:val="28"/>
          <w:szCs w:val="28"/>
          <w:lang w:val="en-US"/>
        </w:rPr>
      </w:pPr>
      <w:r>
        <w:rPr/>
        <w:drawing>
          <wp:inline distT="0" distB="0" distL="0" distR="0">
            <wp:extent cx="5486400" cy="3028950"/>
            <wp:effectExtent l="0" t="0" r="0" b="0"/>
            <wp:docPr id="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pPr>
        <w:pStyle w:val="Standard"/>
        <w:jc w:val="center"/>
        <w:rPr>
          <w:rFonts w:eastAsia="Symbol"/>
          <w:b/>
          <w:b/>
          <w:color w:val="000000" w:themeColor="text1"/>
          <w:szCs w:val="28"/>
        </w:rPr>
      </w:pPr>
      <w:r>
        <w:rPr>
          <w:rFonts w:eastAsia="Symbol"/>
          <w:b/>
          <w:color w:val="000000" w:themeColor="text1"/>
          <w:szCs w:val="28"/>
        </w:rPr>
        <w:t xml:space="preserve">Рис. 4 – объем отгруженных товаров собственного производства, выполненных работ и услуг по виду экономической деятельности «обрабатывающие производства» в городе-курорте Железноводске </w:t>
      </w:r>
    </w:p>
    <w:p>
      <w:pPr>
        <w:pStyle w:val="Standard"/>
        <w:rPr>
          <w:sz w:val="28"/>
          <w:szCs w:val="28"/>
        </w:rPr>
      </w:pPr>
      <w:r>
        <w:rPr>
          <w:sz w:val="28"/>
          <w:szCs w:val="28"/>
        </w:rPr>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Неблагоприятными факторами, повлиявшими на снижение объемов розлива минеральной воды, начиная с 2014 года и сдерживающими использование производственного потенциала в полном объеме, является рост отпускных цен на воду, удорожание энергоресурсов, сырья, транспортных расходов, реорганизацией и техническим перевооружением ООО «ТЭСТИ», в связи с чем в 2018 году произошла полная остановка производства.</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Основной причиной снижения объемов розлива минеральных вод также стало прекращение розлива минеральной воды типа «Ессентуки № 4» и «Ессентуки № 17» из Нагутского месторождения по решению Арбитражного суда Ставропольского края от 08 декабря 2017 года, который признал товары, содержащие на этикетках информацию о том, что «Ессентуки № 17» и «Ессентуки № 4» производятся из скважин № 47 и № 49 Нагутского месторождения, контрафактными, и обязал прекратить использование наименования места происхождения товара «Ессентуки №17» и «Ессентуки №4» при производстве минеральной воды из Нагутского месторождения.</w:t>
      </w:r>
    </w:p>
    <w:p>
      <w:pPr>
        <w:pStyle w:val="Standard"/>
        <w:rPr>
          <w:sz w:val="28"/>
          <w:szCs w:val="28"/>
        </w:rPr>
      </w:pPr>
      <w:r>
        <w:rPr>
          <w:sz w:val="28"/>
          <w:szCs w:val="28"/>
        </w:rPr>
      </w:r>
    </w:p>
    <w:p>
      <w:pPr>
        <w:pStyle w:val="Standard"/>
        <w:jc w:val="center"/>
        <w:rPr>
          <w:b/>
          <w:b/>
          <w:i/>
          <w:i/>
          <w:sz w:val="28"/>
          <w:szCs w:val="28"/>
        </w:rPr>
      </w:pPr>
      <w:r>
        <w:rPr>
          <w:b/>
          <w:i/>
          <w:sz w:val="28"/>
          <w:szCs w:val="28"/>
        </w:rPr>
        <w:t>Потребительский рынок</w:t>
      </w:r>
    </w:p>
    <w:p>
      <w:pPr>
        <w:pStyle w:val="Standard"/>
        <w:jc w:val="center"/>
        <w:rPr>
          <w:b/>
          <w:b/>
          <w:i/>
          <w:i/>
          <w:sz w:val="28"/>
          <w:szCs w:val="28"/>
        </w:rPr>
      </w:pPr>
      <w:r>
        <w:rPr>
          <w:b/>
          <w:i/>
          <w:sz w:val="28"/>
          <w:szCs w:val="28"/>
        </w:rPr>
      </w:r>
    </w:p>
    <w:p>
      <w:pPr>
        <w:pStyle w:val="Normal"/>
        <w:spacing w:lineRule="auto" w:line="240" w:before="0" w:after="0"/>
        <w:ind w:right="0" w:firstLine="720"/>
        <w:jc w:val="both"/>
        <w:rPr>
          <w:sz w:val="28"/>
          <w:szCs w:val="28"/>
        </w:rPr>
      </w:pPr>
      <w:r>
        <w:rPr>
          <w:rStyle w:val="FontStyle12"/>
          <w:sz w:val="28"/>
          <w:szCs w:val="28"/>
        </w:rPr>
        <w:t>Потребительский рынок города-курорта Железноводска функционирует как составная часть единого социально-экономического комплекса городского округа.</w:t>
      </w:r>
    </w:p>
    <w:p>
      <w:pPr>
        <w:pStyle w:val="Normal"/>
        <w:spacing w:lineRule="auto" w:line="240" w:before="0" w:after="0"/>
        <w:ind w:right="0" w:firstLine="720"/>
        <w:jc w:val="both"/>
        <w:rPr>
          <w:sz w:val="28"/>
          <w:szCs w:val="28"/>
        </w:rPr>
      </w:pPr>
      <w:r>
        <w:rPr>
          <w:rStyle w:val="FontStyle12"/>
          <w:sz w:val="28"/>
          <w:szCs w:val="28"/>
        </w:rPr>
        <w:t>Численность занятых в отрасли торговли составляла в 2016 году                      6900 человек, в 2017 году – 6930 человек, что выше уровня 2016 года на                             0,4 %, в 2018 году – 6970 человек, что выше уровня 2017 года на 0,6 %.</w:t>
      </w:r>
    </w:p>
    <w:p>
      <w:pPr>
        <w:pStyle w:val="Normal"/>
        <w:spacing w:lineRule="auto" w:line="240" w:before="0" w:after="0"/>
        <w:ind w:right="0" w:firstLine="720"/>
        <w:jc w:val="both"/>
        <w:rPr>
          <w:sz w:val="28"/>
          <w:szCs w:val="28"/>
        </w:rPr>
      </w:pPr>
      <w:r>
        <w:rPr>
          <w:rStyle w:val="FontStyle12"/>
          <w:sz w:val="28"/>
          <w:szCs w:val="28"/>
        </w:rPr>
        <w:t>Среднемесячная заработная плата работающих в отрасли торговли в                    2016 году составляла 24,9 тыс. рублей, что выше уровня 2015 года на 5,0 %,                         в 2017 году – 26,4 тыс. рублей, что выше уровня 2016 года на 6,0 %,                                              в 2018 года – 28,1 тыс. рублей, что выше уровня 2017 года на 6,4%.</w:t>
      </w:r>
    </w:p>
    <w:p>
      <w:pPr>
        <w:pStyle w:val="Normal"/>
        <w:spacing w:lineRule="auto" w:line="240" w:before="0" w:after="0"/>
        <w:ind w:right="0" w:firstLine="708"/>
        <w:jc w:val="both"/>
        <w:rPr>
          <w:rFonts w:ascii="Times New Roman" w:hAnsi="Times New Roman" w:cs="Times New Roman"/>
          <w:sz w:val="28"/>
          <w:szCs w:val="28"/>
        </w:rPr>
      </w:pPr>
      <w:r>
        <w:rPr>
          <w:rFonts w:cs="Times New Roman" w:ascii="Times New Roman" w:hAnsi="Times New Roman"/>
          <w:sz w:val="28"/>
          <w:szCs w:val="28"/>
        </w:rPr>
        <w:t>Оборот розничной торговли крупных и средних предприятий всех видов экономической деятельности за период 2016-2018 годы увеличивался в среднем на 116,0 %.</w:t>
      </w:r>
    </w:p>
    <w:p>
      <w:pPr>
        <w:pStyle w:val="Normal"/>
        <w:spacing w:lineRule="auto" w:line="240" w:before="0" w:after="0"/>
        <w:ind w:right="0" w:firstLine="708"/>
        <w:jc w:val="both"/>
        <w:rPr>
          <w:rFonts w:ascii="Times New Roman" w:hAnsi="Times New Roman" w:cs="Times New Roman"/>
          <w:sz w:val="28"/>
          <w:szCs w:val="28"/>
        </w:rPr>
      </w:pPr>
      <w:r>
        <w:rPr>
          <w:rFonts w:cs="Times New Roman" w:ascii="Times New Roman" w:hAnsi="Times New Roman"/>
          <w:sz w:val="28"/>
          <w:szCs w:val="28"/>
        </w:rPr>
        <w:t>По темпу роста оборота розничной торговли крупных и средних предприятий всех видов экономической деятельности город-курорт Железноводск в 2018 году занимал 2 место в Ставропольском крае среди                              17 городских округов.</w:t>
      </w:r>
    </w:p>
    <w:p>
      <w:pPr>
        <w:pStyle w:val="BodyTextIndent2"/>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Оборот общественного питания крупных и средних предприятий всех видов экономической деятельности за период 2016-2018 года увеличивался в среднем на 112 %. По темпу роста оборота общественного питания крупных и средних предприятий всех видов экономической деятельности город-курорт Железноводск в 2018 году занимал 3 место в Ставропольском крае среди городских округов. </w:t>
      </w:r>
    </w:p>
    <w:p>
      <w:pPr>
        <w:pStyle w:val="BodyTextIndent2"/>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Объём инвестиций в розничную торговлю города-курорта Железноводска за период 2016-2018 год составил 126,2 млн. рублей.</w:t>
      </w:r>
    </w:p>
    <w:p>
      <w:pPr>
        <w:pStyle w:val="Normal"/>
        <w:spacing w:lineRule="auto" w:line="240" w:before="0" w:after="0"/>
        <w:ind w:firstLine="720"/>
        <w:contextualSpacing/>
        <w:jc w:val="both"/>
        <w:rPr>
          <w:rFonts w:ascii="Times New Roman" w:hAnsi="Times New Roman" w:cs="Times New Roman"/>
          <w:sz w:val="28"/>
          <w:szCs w:val="28"/>
        </w:rPr>
      </w:pPr>
      <w:r>
        <w:rPr>
          <w:rFonts w:cs="Times New Roman" w:ascii="Times New Roman" w:hAnsi="Times New Roman"/>
          <w:sz w:val="28"/>
          <w:szCs w:val="28"/>
        </w:rPr>
        <w:t>За период 2016-2018 годы на территории города-курорта Железноводска за счет строительства и реконструкции было введено в эксплуатацию 9 объектов торговли, общей площадью 5,9 тыс. кв. метров, 1 объект общественного питания на 150 посадочных мест, создано 75 новых рабочих мест.</w:t>
      </w:r>
    </w:p>
    <w:p>
      <w:pPr>
        <w:pStyle w:val="Normal"/>
        <w:tabs>
          <w:tab w:val="left" w:pos="5245" w:leader="none"/>
        </w:tabs>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По состоянию на 01.01.2019 г. на территории города-курорта Железноводска осуществляли торговую деятельность 144 хозяйствующих субъекта в 256 объектах розничной торговли общей площадью 44,4 тыс. кв. метров,</w:t>
      </w:r>
      <w:r>
        <w:rPr>
          <w:rFonts w:cs="Times New Roman" w:ascii="Times New Roman" w:hAnsi="Times New Roman"/>
          <w:i/>
          <w:sz w:val="28"/>
          <w:szCs w:val="28"/>
        </w:rPr>
        <w:t xml:space="preserve"> </w:t>
      </w:r>
      <w:r>
        <w:rPr>
          <w:rFonts w:cs="Times New Roman" w:ascii="Times New Roman" w:hAnsi="Times New Roman"/>
          <w:sz w:val="28"/>
          <w:szCs w:val="28"/>
        </w:rPr>
        <w:t>оказывались услуги общественного питания в 47 объектах</w:t>
      </w:r>
      <w:r>
        <w:rPr>
          <w:rFonts w:cs="Times New Roman" w:ascii="Times New Roman" w:hAnsi="Times New Roman"/>
          <w:i/>
          <w:sz w:val="28"/>
          <w:szCs w:val="28"/>
        </w:rPr>
        <w:t xml:space="preserve"> </w:t>
      </w:r>
      <w:r>
        <w:rPr>
          <w:rFonts w:cs="Times New Roman" w:ascii="Times New Roman" w:hAnsi="Times New Roman"/>
          <w:sz w:val="28"/>
          <w:szCs w:val="28"/>
        </w:rPr>
        <w:t>на 2564 посадочных места.</w:t>
      </w:r>
    </w:p>
    <w:p>
      <w:pPr>
        <w:pStyle w:val="Normal"/>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В 2016 году фактическая обеспеченность населения города-курорта Железноводска площадью стационарных торговых объектов на 1 тыс. человек составляла 818,2 кв. метра, в 2017 году - 745,7 кв. метра, в 2018 году -                            751,9 кв. метра. </w:t>
      </w:r>
    </w:p>
    <w:p>
      <w:pPr>
        <w:pStyle w:val="Normal"/>
        <w:spacing w:lineRule="auto" w:line="240" w:before="0" w:after="0"/>
        <w:ind w:firstLine="708"/>
        <w:jc w:val="both"/>
        <w:rPr>
          <w:rFonts w:ascii="Times New Roman" w:hAnsi="Times New Roman" w:cs="Times New Roman"/>
          <w:i/>
          <w:i/>
          <w:sz w:val="28"/>
          <w:szCs w:val="28"/>
        </w:rPr>
      </w:pPr>
      <w:r>
        <w:rPr>
          <w:rFonts w:cs="Times New Roman" w:ascii="Times New Roman" w:hAnsi="Times New Roman"/>
          <w:sz w:val="28"/>
          <w:szCs w:val="28"/>
        </w:rPr>
        <w:t>На территории города-курорта Железноводска определено 224 места для размещения нестационарных торговых объектов: 137 мест для размещения нестационарных торговых объектов по продаже продовольственных и непродовольственных товаров и 78 мест для размещения нестационарных торговых объектов по продаже сезонного ассортимента товаров (прохладительные безалкогольные напитки, мороженое, бахчевые культуры, хвойные деревья, цветы), 9 мест для оказания услуг населению (ремонт обуви, изготовление ключей, бытовые услуги, прокат детских аттракционов).</w:t>
      </w:r>
    </w:p>
    <w:p>
      <w:pPr>
        <w:pStyle w:val="ListParagraph"/>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В 9 объектах розничной торговли различных форматов проводится оперативный мониторинг цен на фиксированный набор продуктов. Цены на продукты питания в городе-курорте Железноводске находятся на уровне среднекраевых. </w:t>
      </w:r>
    </w:p>
    <w:p>
      <w:pPr>
        <w:pStyle w:val="Normal"/>
        <w:tabs>
          <w:tab w:val="left" w:pos="5245"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Продукция товаропроизводителей Ставропольского края представлена в объектах торговли, расположенных на территории города-курорта Железноводска, доля продукции товаропроизводителей Ставропольского края составляет: по хлебу и хлебобулочным изделиям – 93 процента, молоку и молочной продукции – 55 процентов, муке пшеничной, макаронным изделиям – 30 процентов, колбасным изделиям – 70 процентов, безалкогольным напиткам, минеральной воде – 80 процентов. </w:t>
      </w:r>
    </w:p>
    <w:p>
      <w:pPr>
        <w:pStyle w:val="Normal"/>
        <w:spacing w:lineRule="auto" w:line="240" w:before="0" w:after="0"/>
        <w:jc w:val="both"/>
        <w:rPr>
          <w:i/>
          <w:i/>
          <w:sz w:val="28"/>
          <w:szCs w:val="28"/>
        </w:rPr>
      </w:pPr>
      <w:r>
        <w:rPr>
          <w:rFonts w:cs="Times New Roman" w:ascii="Times New Roman" w:hAnsi="Times New Roman"/>
          <w:sz w:val="28"/>
          <w:szCs w:val="28"/>
        </w:rPr>
        <w:tab/>
        <w:t xml:space="preserve">За период 2016 - 2018 годов на территории города-курорта Железноводска организовано и проведено 22 ярмарки, на которых реализована 221 тонна продукции на сумму 16,6 млн. рублей. </w:t>
      </w:r>
    </w:p>
    <w:p>
      <w:pPr>
        <w:pStyle w:val="Style51"/>
        <w:widowControl/>
        <w:spacing w:lineRule="auto" w:line="240"/>
        <w:ind w:hanging="0"/>
        <w:jc w:val="both"/>
        <w:rPr>
          <w:rFonts w:ascii="Times New Roman" w:hAnsi="Times New Roman" w:eastAsia="Times New Roman" w:cs="Times New Roman"/>
          <w:sz w:val="28"/>
          <w:szCs w:val="28"/>
          <w:lang w:eastAsia="ru-RU"/>
        </w:rPr>
      </w:pPr>
      <w:r>
        <w:rPr>
          <w:rStyle w:val="FontStyle11"/>
          <w:color w:val="00000A"/>
          <w:sz w:val="28"/>
          <w:szCs w:val="28"/>
        </w:rPr>
        <w:tab/>
        <w:t xml:space="preserve">В городе-курорте Железноводске Ставропольского края создана </w:t>
      </w:r>
      <w:r>
        <w:rPr>
          <w:rStyle w:val="FontStyle11"/>
          <w:sz w:val="28"/>
          <w:szCs w:val="28"/>
        </w:rPr>
        <w:t>рабочая группа</w:t>
      </w:r>
      <w:r>
        <w:rPr>
          <w:rStyle w:val="FontStyle11"/>
          <w:b/>
          <w:sz w:val="28"/>
          <w:szCs w:val="28"/>
        </w:rPr>
        <w:t xml:space="preserve"> </w:t>
      </w:r>
      <w:r>
        <w:rPr>
          <w:rStyle w:val="FontStyle11"/>
          <w:sz w:val="28"/>
          <w:szCs w:val="28"/>
        </w:rPr>
        <w:t xml:space="preserve">по профилактике, выявлению и пресечению правонарушений, связанных с самовольным осуществлением деятельности в сфере торговли на территории города - курорта Железноводска Ставропольского края (далее - рабочая группа). </w:t>
      </w:r>
      <w:r>
        <w:rPr>
          <w:rFonts w:eastAsia="Times New Roman" w:cs="Times New Roman" w:ascii="Times New Roman" w:hAnsi="Times New Roman"/>
          <w:color w:val="00000A"/>
          <w:sz w:val="28"/>
          <w:szCs w:val="28"/>
          <w:lang w:eastAsia="ru-RU"/>
        </w:rPr>
        <w:t>За период 2016-2018 годов рабочей группой было составлено 307 протоколов.</w:t>
      </w:r>
    </w:p>
    <w:p>
      <w:pPr>
        <w:pStyle w:val="Normal"/>
        <w:spacing w:lineRule="auto" w:line="240" w:before="0" w:after="0"/>
        <w:ind w:firstLine="708"/>
        <w:jc w:val="both"/>
        <w:rPr>
          <w:rFonts w:ascii="Times New Roman" w:hAnsi="Times New Roman" w:cs="Times New Roman"/>
          <w:sz w:val="28"/>
          <w:szCs w:val="28"/>
        </w:rPr>
      </w:pPr>
      <w:r>
        <w:rPr>
          <w:rFonts w:cs="Times New Roman" w:ascii="Times New Roman" w:hAnsi="Times New Roman"/>
          <w:sz w:val="28"/>
          <w:szCs w:val="28"/>
        </w:rPr>
        <w:t xml:space="preserve">В настоящее время в городе-курорте Железноводске согласно реестру лицензий розничную продажу алкогольной продукции осуществляют                                   40 организаций в 86 местах осуществления деятельности. </w:t>
      </w:r>
    </w:p>
    <w:p>
      <w:pPr>
        <w:pStyle w:val="Standard"/>
        <w:jc w:val="center"/>
        <w:rPr>
          <w:sz w:val="28"/>
          <w:szCs w:val="28"/>
        </w:rPr>
      </w:pPr>
      <w:r>
        <w:rPr>
          <w:sz w:val="28"/>
          <w:szCs w:val="28"/>
        </w:rPr>
      </w:r>
    </w:p>
    <w:p>
      <w:pPr>
        <w:pStyle w:val="Standard"/>
        <w:jc w:val="center"/>
        <w:rPr>
          <w:b/>
          <w:b/>
          <w:i/>
          <w:i/>
          <w:sz w:val="28"/>
          <w:szCs w:val="28"/>
        </w:rPr>
      </w:pPr>
      <w:r>
        <w:rPr>
          <w:b/>
          <w:i/>
          <w:sz w:val="28"/>
          <w:szCs w:val="28"/>
        </w:rPr>
        <w:t>Инвестиции</w:t>
      </w:r>
    </w:p>
    <w:p>
      <w:pPr>
        <w:pStyle w:val="Standard"/>
        <w:rPr>
          <w:sz w:val="28"/>
          <w:szCs w:val="28"/>
        </w:rPr>
      </w:pPr>
      <w:r>
        <w:rPr>
          <w:sz w:val="28"/>
          <w:szCs w:val="28"/>
        </w:rPr>
      </w:r>
    </w:p>
    <w:p>
      <w:pPr>
        <w:pStyle w:val="Standard"/>
        <w:rPr>
          <w:sz w:val="28"/>
          <w:szCs w:val="28"/>
        </w:rPr>
      </w:pPr>
      <w:r>
        <w:rPr>
          <w:sz w:val="28"/>
          <w:szCs w:val="28"/>
        </w:rPr>
        <w:t>Для инвестиций в основной капитал характерны амплитудные колебания. Это во многом связано со структурой муниципальной экономики, при которой инвестиции в основном были направлены в сферу операций с недвижимым имуществом: жилищное строительство и строительство коммерческой недвижимости малого формата. Макроэкономические колебания и снижение потребительской уверенности сильно повлияли на спрос и предложение на соответствующих рынках.</w:t>
      </w:r>
    </w:p>
    <w:p>
      <w:pPr>
        <w:pStyle w:val="Standard"/>
        <w:rPr>
          <w:rFonts w:eastAsia="Symbol"/>
          <w:sz w:val="28"/>
          <w:szCs w:val="28"/>
        </w:rPr>
      </w:pPr>
      <w:r>
        <w:rPr>
          <w:rFonts w:eastAsia="Symbol"/>
          <w:sz w:val="28"/>
          <w:szCs w:val="28"/>
        </w:rPr>
        <w:t>За 2010 – 2018 годы объем инвестиций в основной капитал составил                12 279,8 млн. рублей (рис. 5).</w:t>
      </w:r>
    </w:p>
    <w:p>
      <w:pPr>
        <w:pStyle w:val="Standard"/>
        <w:rPr>
          <w:sz w:val="28"/>
          <w:szCs w:val="28"/>
        </w:rPr>
      </w:pPr>
      <w:r>
        <w:rPr>
          <w:sz w:val="28"/>
          <w:szCs w:val="28"/>
        </w:rPr>
      </w:r>
    </w:p>
    <w:p>
      <w:pPr>
        <w:pStyle w:val="Standard"/>
        <w:rPr>
          <w:sz w:val="28"/>
          <w:szCs w:val="28"/>
        </w:rPr>
      </w:pPr>
      <w:r>
        <w:rPr/>
        <w:drawing>
          <wp:inline distT="0" distB="0" distL="0" distR="0">
            <wp:extent cx="5486400" cy="3209925"/>
            <wp:effectExtent l="0" t="0" r="0" b="0"/>
            <wp:docPr id="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pStyle w:val="Standard"/>
        <w:jc w:val="center"/>
        <w:rPr>
          <w:rFonts w:eastAsia="Symbol"/>
          <w:b/>
          <w:b/>
          <w:color w:val="000000" w:themeColor="text1"/>
          <w:szCs w:val="28"/>
        </w:rPr>
      </w:pPr>
      <w:r>
        <w:rPr>
          <w:rFonts w:eastAsia="Symbol"/>
          <w:b/>
          <w:color w:val="000000" w:themeColor="text1"/>
          <w:szCs w:val="28"/>
        </w:rPr>
        <w:t>Рисунок 5 – динамика инвестиций в основной капитал в городе-курорте Железноводске, без субъектов малого предпринимательства (2010-2018 гг.)</w:t>
      </w:r>
    </w:p>
    <w:p>
      <w:pPr>
        <w:pStyle w:val="Standard"/>
        <w:rPr>
          <w:sz w:val="28"/>
          <w:szCs w:val="28"/>
        </w:rPr>
      </w:pPr>
      <w:r>
        <w:rPr>
          <w:sz w:val="28"/>
          <w:szCs w:val="28"/>
        </w:rPr>
      </w:r>
    </w:p>
    <w:p>
      <w:pPr>
        <w:pStyle w:val="Standard"/>
        <w:rPr>
          <w:sz w:val="28"/>
          <w:szCs w:val="28"/>
        </w:rPr>
      </w:pPr>
      <w:r>
        <w:rPr>
          <w:sz w:val="28"/>
          <w:szCs w:val="28"/>
        </w:rPr>
        <w:t xml:space="preserve">В 2018 году инвестиции в основной капитал по данным Ставропольстата (без субъектов малого предпринимательства и объема инвестиций, не наблюдаемых прямыми статистическими методами) составили 765,2 млн. рублей, в структуре инвестиций города преобладают бюджетные инвестиции 509,9 млн. рублей (рис. 6). Частные инвестиции занимают менее трети в структуре инвестиций в муниципальную экономику. </w:t>
      </w:r>
    </w:p>
    <w:p>
      <w:pPr>
        <w:pStyle w:val="Standard"/>
        <w:rPr>
          <w:sz w:val="28"/>
          <w:szCs w:val="28"/>
        </w:rPr>
      </w:pPr>
      <w:r>
        <w:rPr>
          <w:sz w:val="28"/>
          <w:szCs w:val="28"/>
        </w:rPr>
      </w:r>
    </w:p>
    <w:p>
      <w:pPr>
        <w:pStyle w:val="Standard"/>
        <w:rPr>
          <w:sz w:val="28"/>
          <w:szCs w:val="28"/>
        </w:rPr>
      </w:pPr>
      <w:r>
        <w:rPr/>
        <w:drawing>
          <wp:inline distT="0" distB="0" distL="0" distR="0">
            <wp:extent cx="5486400" cy="3181350"/>
            <wp:effectExtent l="0" t="0" r="0" b="0"/>
            <wp:docPr id="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pStyle w:val="Standard"/>
        <w:jc w:val="center"/>
        <w:rPr>
          <w:rFonts w:eastAsia="Symbol"/>
          <w:b/>
          <w:b/>
          <w:color w:val="000000" w:themeColor="text1"/>
          <w:szCs w:val="28"/>
        </w:rPr>
      </w:pPr>
      <w:r>
        <w:rPr>
          <w:rFonts w:eastAsia="Symbol"/>
          <w:b/>
          <w:color w:val="000000" w:themeColor="text1"/>
          <w:szCs w:val="28"/>
        </w:rPr>
        <w:t>Рисунок 6 – структура инвестиций в основной капитал в городе-курорте Железноводске 2018 г.</w:t>
      </w:r>
    </w:p>
    <w:p>
      <w:pPr>
        <w:pStyle w:val="Standard"/>
        <w:rPr>
          <w:sz w:val="28"/>
          <w:szCs w:val="28"/>
        </w:rPr>
      </w:pPr>
      <w:r>
        <w:rPr>
          <w:sz w:val="28"/>
          <w:szCs w:val="28"/>
        </w:rPr>
      </w:r>
    </w:p>
    <w:p>
      <w:pPr>
        <w:pStyle w:val="Standard"/>
        <w:rPr>
          <w:sz w:val="28"/>
          <w:szCs w:val="28"/>
        </w:rPr>
      </w:pPr>
      <w:r>
        <w:rPr>
          <w:sz w:val="28"/>
          <w:szCs w:val="28"/>
        </w:rPr>
        <w:t>В общем объеме инвестиций крупных и средних предприятий города более половины направляются в непроизводственную сферу. В отраслевой структуре инвестиций наибольший удельный вес занимают вложения в санаторно-курортный комплекс.</w:t>
      </w:r>
    </w:p>
    <w:p>
      <w:pPr>
        <w:pStyle w:val="Standard"/>
        <w:rPr>
          <w:rFonts w:eastAsia="Symbol"/>
          <w:b/>
          <w:b/>
          <w:bCs/>
          <w:sz w:val="28"/>
          <w:szCs w:val="28"/>
        </w:rPr>
      </w:pPr>
      <w:r>
        <w:rPr>
          <w:rFonts w:eastAsia="Symbol"/>
          <w:sz w:val="28"/>
          <w:szCs w:val="28"/>
        </w:rPr>
        <w:t>В 2013 — 2018 годах на территории города Железноводска было реализовано 12 инвестиционных проектов общей стоимостью более 4,5 млрд. рублей, в том числе бюджетных инвестиций – 2,2 млрд. рублей, в результате реализации данных проектов было создано 305 рабочих мест.</w:t>
      </w:r>
    </w:p>
    <w:p>
      <w:pPr>
        <w:pStyle w:val="Standard"/>
        <w:rPr>
          <w:sz w:val="28"/>
          <w:szCs w:val="28"/>
        </w:rPr>
      </w:pPr>
      <w:r>
        <w:rPr>
          <w:sz w:val="28"/>
          <w:szCs w:val="28"/>
        </w:rPr>
        <w:t xml:space="preserve">в 2013 году был осуществлен ввод в эксплуатацию детского сада в 32-б квартале пос. Иноземцево на 168 мест; </w:t>
      </w:r>
    </w:p>
    <w:p>
      <w:pPr>
        <w:pStyle w:val="Standard"/>
        <w:rPr>
          <w:sz w:val="28"/>
          <w:szCs w:val="28"/>
        </w:rPr>
      </w:pPr>
      <w:r>
        <w:rPr>
          <w:sz w:val="28"/>
          <w:szCs w:val="28"/>
        </w:rPr>
        <w:t xml:space="preserve"> </w:t>
      </w:r>
      <w:r>
        <w:rPr>
          <w:sz w:val="28"/>
          <w:szCs w:val="28"/>
        </w:rPr>
        <w:t>в 2013 году введен комплекс жилых домов со встроено-пристроенными помещениями по ул. Ленина;</w:t>
      </w:r>
    </w:p>
    <w:p>
      <w:pPr>
        <w:pStyle w:val="Standard"/>
        <w:rPr>
          <w:sz w:val="28"/>
          <w:szCs w:val="28"/>
        </w:rPr>
      </w:pPr>
      <w:r>
        <w:rPr>
          <w:sz w:val="28"/>
          <w:szCs w:val="28"/>
        </w:rPr>
        <w:t>в 2013 году завершено строительство санатория «Буковая роща» на 66 койко-мест;</w:t>
      </w:r>
    </w:p>
    <w:p>
      <w:pPr>
        <w:pStyle w:val="Standard"/>
        <w:rPr>
          <w:sz w:val="28"/>
          <w:szCs w:val="28"/>
        </w:rPr>
      </w:pPr>
      <w:r>
        <w:rPr>
          <w:sz w:val="28"/>
          <w:szCs w:val="28"/>
        </w:rPr>
        <w:t>в 2014 году завершено строительство гипермаркета «Лента», общая площадь которого составляет 12 тыс. кв. метров, из них на торговую площадь приходится 7 тыс. кв. метров. Компания «Лента» - одна из крупнейших розничных сетей в России.</w:t>
      </w:r>
    </w:p>
    <w:p>
      <w:pPr>
        <w:pStyle w:val="Standard"/>
        <w:rPr>
          <w:sz w:val="28"/>
          <w:szCs w:val="28"/>
        </w:rPr>
      </w:pPr>
      <w:r>
        <w:rPr>
          <w:sz w:val="28"/>
          <w:szCs w:val="28"/>
        </w:rPr>
        <w:t xml:space="preserve">в 2014 году завершено строительство «Жилого комплекса с административными помещениями, гостиничными номерами и столовой» ЗАО «Прасковейское» в курортной зоне города; </w:t>
      </w:r>
    </w:p>
    <w:p>
      <w:pPr>
        <w:pStyle w:val="Standard"/>
        <w:rPr>
          <w:sz w:val="28"/>
          <w:szCs w:val="28"/>
        </w:rPr>
      </w:pPr>
      <w:r>
        <w:rPr>
          <w:sz w:val="28"/>
          <w:szCs w:val="28"/>
        </w:rPr>
        <w:t>в 2015 году завершено строительство современной гостиницы «Рафаэль» на 60 мест в центральной части города;</w:t>
      </w:r>
    </w:p>
    <w:p>
      <w:pPr>
        <w:pStyle w:val="Standard"/>
        <w:rPr>
          <w:sz w:val="28"/>
          <w:szCs w:val="28"/>
        </w:rPr>
      </w:pPr>
      <w:r>
        <w:rPr>
          <w:sz w:val="28"/>
          <w:szCs w:val="28"/>
        </w:rPr>
        <w:t>в 2016 году введен в эксплуатацию спальный корпус класса «Люкс» этажностью 1-9 на 100 койко-мест, с автомобильной стоянкой, котельной, насосной ФГБУ «Санаторий «Дубовая роща» Главного медицинского Управления делами Президента РФ»;</w:t>
      </w:r>
    </w:p>
    <w:p>
      <w:pPr>
        <w:pStyle w:val="Standard"/>
        <w:rPr>
          <w:sz w:val="28"/>
          <w:szCs w:val="28"/>
        </w:rPr>
      </w:pPr>
      <w:r>
        <w:rPr>
          <w:sz w:val="28"/>
          <w:szCs w:val="28"/>
        </w:rPr>
        <w:t>в 2016 году в поселке Иноземцево завершено строительство гостиничного комплекса «Маск» на 200 мест (103 номера);</w:t>
      </w:r>
    </w:p>
    <w:p>
      <w:pPr>
        <w:pStyle w:val="Standard"/>
        <w:rPr>
          <w:sz w:val="28"/>
          <w:szCs w:val="28"/>
        </w:rPr>
      </w:pPr>
      <w:r>
        <w:rPr>
          <w:sz w:val="28"/>
          <w:szCs w:val="28"/>
        </w:rPr>
        <w:t>в 2016 году реализован инвестиционный проект по строительству промышленной прачечной-химчистки в поселке Иноземцево – самой крупной прачечной на Юге России;</w:t>
      </w:r>
    </w:p>
    <w:p>
      <w:pPr>
        <w:pStyle w:val="Standard"/>
        <w:rPr>
          <w:sz w:val="28"/>
          <w:szCs w:val="28"/>
        </w:rPr>
      </w:pPr>
      <w:r>
        <w:rPr>
          <w:sz w:val="28"/>
          <w:szCs w:val="28"/>
        </w:rPr>
        <w:t>в 2016 году в поселке Иноземцево завершена реализация инвестиционного проекта по строительству «Пивоваренного завода», инициатор ООО «Пятигорский пивоваренный завод»;</w:t>
      </w:r>
    </w:p>
    <w:p>
      <w:pPr>
        <w:pStyle w:val="Standard"/>
        <w:rPr>
          <w:sz w:val="28"/>
          <w:szCs w:val="28"/>
        </w:rPr>
      </w:pPr>
      <w:r>
        <w:rPr>
          <w:sz w:val="28"/>
          <w:szCs w:val="28"/>
        </w:rPr>
        <w:t>в 2018 году завершилась реализация инвестиционного проекта «Реконструкция санаторно-курортного комплекса «Машук Аква-Терм» и создание туристско - рекреационного комплекса Эко-Курорта «Машук Аква-Терм» - Mashuk Aqua Term Eco Natural Kurort»;</w:t>
      </w:r>
    </w:p>
    <w:p>
      <w:pPr>
        <w:pStyle w:val="Standard"/>
        <w:rPr>
          <w:sz w:val="28"/>
          <w:szCs w:val="28"/>
        </w:rPr>
      </w:pPr>
      <w:r>
        <w:rPr>
          <w:sz w:val="28"/>
          <w:szCs w:val="28"/>
        </w:rPr>
        <w:t>в 2018 году завершилась реализация инвестиционного проекта «Организация спортивно-оздоровительной зоны отдыха «Каррас», инициатор ООО «Актион».</w:t>
      </w:r>
    </w:p>
    <w:p>
      <w:pPr>
        <w:pStyle w:val="Standard"/>
        <w:rPr>
          <w:sz w:val="28"/>
          <w:szCs w:val="28"/>
        </w:rPr>
      </w:pPr>
      <w:r>
        <w:rPr>
          <w:sz w:val="28"/>
          <w:szCs w:val="28"/>
        </w:rPr>
        <w:t xml:space="preserve"> </w:t>
      </w:r>
      <w:r>
        <w:rPr>
          <w:sz w:val="28"/>
          <w:szCs w:val="28"/>
        </w:rPr>
        <w:t xml:space="preserve">В стадии реализации находятся 4 проекта, общей стоимостью порядка              4,1 млрд. рублей и планами по созданию 380 рабочих мест, в том числе крупный инвестиционный проект по строительству санатория на 400 мест, стоимость 1,5 млрд. рублей. </w:t>
      </w:r>
    </w:p>
    <w:p>
      <w:pPr>
        <w:pStyle w:val="Standard"/>
        <w:rPr>
          <w:sz w:val="28"/>
          <w:szCs w:val="28"/>
        </w:rPr>
      </w:pPr>
      <w:r>
        <w:rPr>
          <w:sz w:val="28"/>
          <w:szCs w:val="28"/>
        </w:rPr>
      </w:r>
    </w:p>
    <w:p>
      <w:pPr>
        <w:pStyle w:val="Standard"/>
        <w:jc w:val="center"/>
        <w:rPr>
          <w:b/>
          <w:b/>
          <w:i/>
          <w:i/>
          <w:sz w:val="28"/>
          <w:szCs w:val="28"/>
        </w:rPr>
      </w:pPr>
      <w:r>
        <w:rPr>
          <w:b/>
          <w:i/>
          <w:sz w:val="28"/>
          <w:szCs w:val="28"/>
        </w:rPr>
        <w:t>Финансово-бюджетный потенциал.</w:t>
      </w:r>
    </w:p>
    <w:p>
      <w:pPr>
        <w:pStyle w:val="Standard"/>
        <w:rPr>
          <w:sz w:val="28"/>
          <w:szCs w:val="28"/>
          <w:shd w:fill="00FF00" w:val="clear"/>
        </w:rPr>
      </w:pPr>
      <w:r>
        <w:rPr>
          <w:sz w:val="28"/>
          <w:szCs w:val="28"/>
          <w:shd w:fill="00FF00" w:val="clear"/>
        </w:rPr>
      </w:r>
    </w:p>
    <w:p>
      <w:pPr>
        <w:pStyle w:val="Standard"/>
        <w:rPr>
          <w:sz w:val="28"/>
          <w:szCs w:val="28"/>
        </w:rPr>
      </w:pPr>
      <w:r>
        <w:rPr>
          <w:sz w:val="28"/>
          <w:szCs w:val="28"/>
        </w:rPr>
        <w:t>В 2018 году от предприятий и организаций города Железноводска во все уровни бюджетной системы поступило 1 495,2 млн. рублей налоговых платежей, из них в бюджет города –  250,0 млн. рублей, или соответственно в 1,5 раза больше, чем в 2014 году. Доля поступлений налогов в бюджет города от общего объема налоговых платежей предприятий и организаций во все уровни бюджетной системы составила в 2014 году – 17,2 %, в 2018 году –  16,7 %.</w:t>
      </w:r>
    </w:p>
    <w:p>
      <w:pPr>
        <w:pStyle w:val="Standard"/>
        <w:rPr>
          <w:sz w:val="28"/>
          <w:szCs w:val="28"/>
        </w:rPr>
      </w:pPr>
      <w:r>
        <w:rPr>
          <w:sz w:val="28"/>
          <w:szCs w:val="28"/>
        </w:rPr>
        <w:t>За период 2014-2018 годы доходы местного бюджета города Железноводска увеличились в 1,7 раза, расходы увеличились в 1,5 раза, что свидетельствует о росте бюджетного потенциала города (Таблица 2).</w:t>
      </w:r>
    </w:p>
    <w:p>
      <w:pPr>
        <w:pStyle w:val="Standard"/>
        <w:rPr>
          <w:sz w:val="28"/>
          <w:szCs w:val="28"/>
          <w:shd w:fill="00FF00" w:val="clear"/>
        </w:rPr>
      </w:pPr>
      <w:r>
        <w:rPr>
          <w:sz w:val="28"/>
          <w:szCs w:val="28"/>
          <w:shd w:fill="00FF00" w:val="clear"/>
        </w:rPr>
      </w:r>
    </w:p>
    <w:p>
      <w:pPr>
        <w:pStyle w:val="Style29"/>
        <w:jc w:val="right"/>
        <w:rPr/>
      </w:pPr>
      <w:r>
        <w:rPr/>
        <w:t>Таблица 2</w:t>
      </w:r>
    </w:p>
    <w:p>
      <w:pPr>
        <w:pStyle w:val="Style29"/>
        <w:rPr>
          <w:rFonts w:eastAsia="Symbol"/>
          <w:shd w:fill="00FF00" w:val="clear"/>
        </w:rPr>
      </w:pPr>
      <w:r>
        <w:rPr/>
        <w:t>Структура бюджета города-курорта Железноводска (2012-2015 годы)</w:t>
      </w:r>
    </w:p>
    <w:tbl>
      <w:tblPr>
        <w:tblW w:w="9433" w:type="dxa"/>
        <w:jc w:val="left"/>
        <w:tblInd w:w="31" w:type="dxa"/>
        <w:tblBorders>
          <w:top w:val="single" w:sz="4" w:space="0" w:color="000001"/>
          <w:left w:val="single" w:sz="4" w:space="0" w:color="000001"/>
          <w:bottom w:val="single" w:sz="4" w:space="0" w:color="000001"/>
          <w:insideH w:val="single" w:sz="4" w:space="0" w:color="000001"/>
        </w:tblBorders>
        <w:tblCellMar>
          <w:top w:w="0" w:type="dxa"/>
          <w:left w:w="103" w:type="dxa"/>
          <w:bottom w:w="0" w:type="dxa"/>
          <w:right w:w="108" w:type="dxa"/>
        </w:tblCellMar>
        <w:tblLook w:noVBand="0" w:val="0000" w:noHBand="0" w:lastColumn="0" w:firstColumn="0" w:lastRow="0" w:firstRow="0"/>
      </w:tblPr>
      <w:tblGrid>
        <w:gridCol w:w="1920"/>
        <w:gridCol w:w="1559"/>
        <w:gridCol w:w="1561"/>
        <w:gridCol w:w="1559"/>
        <w:gridCol w:w="1417"/>
        <w:gridCol w:w="1416"/>
      </w:tblGrid>
      <w:tr>
        <w:trPr/>
        <w:tc>
          <w:tcPr>
            <w:tcW w:w="1920" w:type="dxa"/>
            <w:tcBorders>
              <w:top w:val="single" w:sz="4" w:space="0" w:color="000001"/>
              <w:left w:val="single" w:sz="4" w:space="0" w:color="000001"/>
              <w:bottom w:val="single" w:sz="4" w:space="0" w:color="000001"/>
              <w:insideH w:val="single" w:sz="4" w:space="0" w:color="000001"/>
            </w:tcBorders>
            <w:shd w:color="auto" w:fill="D9D9D9" w:val="clear"/>
            <w:tcMar>
              <w:left w:w="103" w:type="dxa"/>
            </w:tcMar>
            <w:vAlign w:val="center"/>
          </w:tcPr>
          <w:p>
            <w:pPr>
              <w:pStyle w:val="Normal"/>
              <w:spacing w:lineRule="auto" w:line="240" w:before="0" w:after="0"/>
              <w:jc w:val="center"/>
              <w:rPr>
                <w:rFonts w:ascii="Times New Roman" w:hAnsi="Times New Roman" w:eastAsia="Symbol" w:cs="Times New Roman"/>
                <w:b/>
                <w:b/>
                <w:sz w:val="28"/>
              </w:rPr>
            </w:pPr>
            <w:r>
              <w:rPr>
                <w:rFonts w:eastAsia="Symbol" w:cs="Times New Roman" w:ascii="Times New Roman" w:hAnsi="Times New Roman"/>
                <w:b/>
                <w:sz w:val="28"/>
              </w:rPr>
              <w:t>Показатель</w:t>
            </w:r>
          </w:p>
        </w:tc>
        <w:tc>
          <w:tcPr>
            <w:tcW w:w="15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D9D9D9" w:val="clear"/>
            <w:tcMar>
              <w:left w:w="103" w:type="dxa"/>
            </w:tcMar>
          </w:tcPr>
          <w:p>
            <w:pPr>
              <w:pStyle w:val="Normal"/>
              <w:spacing w:lineRule="auto" w:line="240" w:before="0" w:after="0"/>
              <w:jc w:val="center"/>
              <w:rPr>
                <w:rFonts w:ascii="Times New Roman" w:hAnsi="Times New Roman" w:eastAsia="Symbol" w:cs="Times New Roman"/>
                <w:b/>
                <w:b/>
                <w:sz w:val="28"/>
              </w:rPr>
            </w:pPr>
            <w:r>
              <w:rPr>
                <w:rFonts w:eastAsia="Symbol" w:cs="Times New Roman" w:ascii="Times New Roman" w:hAnsi="Times New Roman"/>
                <w:b/>
                <w:sz w:val="28"/>
              </w:rPr>
              <w:t>2014 год</w:t>
            </w:r>
          </w:p>
        </w:tc>
        <w:tc>
          <w:tcPr>
            <w:tcW w:w="1561" w:type="dxa"/>
            <w:tcBorders>
              <w:top w:val="single" w:sz="4" w:space="0" w:color="000001"/>
              <w:left w:val="single" w:sz="4" w:space="0" w:color="000001"/>
              <w:bottom w:val="single" w:sz="4" w:space="0" w:color="000001"/>
              <w:insideH w:val="single" w:sz="4" w:space="0" w:color="000001"/>
            </w:tcBorders>
            <w:shd w:color="auto" w:fill="D9D9D9" w:val="clear"/>
            <w:tcMar>
              <w:left w:w="103" w:type="dxa"/>
            </w:tcMar>
            <w:vAlign w:val="center"/>
          </w:tcPr>
          <w:p>
            <w:pPr>
              <w:pStyle w:val="Normal"/>
              <w:spacing w:lineRule="auto" w:line="240" w:before="0" w:after="0"/>
              <w:jc w:val="center"/>
              <w:rPr>
                <w:rFonts w:ascii="Times New Roman" w:hAnsi="Times New Roman" w:eastAsia="Symbol" w:cs="Times New Roman"/>
                <w:b/>
                <w:b/>
                <w:sz w:val="28"/>
              </w:rPr>
            </w:pPr>
            <w:r>
              <w:rPr>
                <w:rFonts w:eastAsia="Symbol" w:cs="Times New Roman" w:ascii="Times New Roman" w:hAnsi="Times New Roman"/>
                <w:b/>
                <w:sz w:val="28"/>
              </w:rPr>
              <w:t>2015 год</w:t>
            </w:r>
          </w:p>
        </w:tc>
        <w:tc>
          <w:tcPr>
            <w:tcW w:w="1559" w:type="dxa"/>
            <w:tcBorders>
              <w:top w:val="single" w:sz="4" w:space="0" w:color="000001"/>
              <w:left w:val="single" w:sz="4" w:space="0" w:color="000001"/>
              <w:bottom w:val="single" w:sz="4" w:space="0" w:color="000001"/>
              <w:insideH w:val="single" w:sz="4" w:space="0" w:color="000001"/>
            </w:tcBorders>
            <w:shd w:color="auto" w:fill="D9D9D9" w:val="clear"/>
            <w:tcMar>
              <w:left w:w="103" w:type="dxa"/>
            </w:tcMar>
            <w:vAlign w:val="center"/>
          </w:tcPr>
          <w:p>
            <w:pPr>
              <w:pStyle w:val="Normal"/>
              <w:spacing w:lineRule="auto" w:line="240" w:before="0" w:after="0"/>
              <w:jc w:val="center"/>
              <w:rPr>
                <w:rFonts w:ascii="Times New Roman" w:hAnsi="Times New Roman" w:eastAsia="Symbol" w:cs="Times New Roman"/>
                <w:b/>
                <w:b/>
                <w:sz w:val="28"/>
              </w:rPr>
            </w:pPr>
            <w:r>
              <w:rPr>
                <w:rFonts w:eastAsia="Symbol" w:cs="Times New Roman" w:ascii="Times New Roman" w:hAnsi="Times New Roman"/>
                <w:b/>
                <w:sz w:val="28"/>
              </w:rPr>
              <w:t>2016 год</w:t>
            </w:r>
          </w:p>
        </w:tc>
        <w:tc>
          <w:tcPr>
            <w:tcW w:w="1417" w:type="dxa"/>
            <w:tcBorders>
              <w:top w:val="single" w:sz="4" w:space="0" w:color="000001"/>
              <w:left w:val="single" w:sz="4" w:space="0" w:color="000001"/>
              <w:bottom w:val="single" w:sz="4" w:space="0" w:color="000001"/>
              <w:insideH w:val="single" w:sz="4" w:space="0" w:color="000001"/>
            </w:tcBorders>
            <w:shd w:color="auto" w:fill="D9D9D9" w:val="clear"/>
            <w:tcMar>
              <w:left w:w="103" w:type="dxa"/>
            </w:tcMar>
            <w:vAlign w:val="center"/>
          </w:tcPr>
          <w:p>
            <w:pPr>
              <w:pStyle w:val="Normal"/>
              <w:spacing w:lineRule="auto" w:line="240" w:before="0" w:after="0"/>
              <w:jc w:val="center"/>
              <w:rPr>
                <w:rFonts w:ascii="Times New Roman" w:hAnsi="Times New Roman" w:eastAsia="Symbol" w:cs="Times New Roman"/>
                <w:b/>
                <w:b/>
                <w:sz w:val="28"/>
              </w:rPr>
            </w:pPr>
            <w:r>
              <w:rPr>
                <w:rFonts w:eastAsia="Symbol" w:cs="Times New Roman" w:ascii="Times New Roman" w:hAnsi="Times New Roman"/>
                <w:b/>
                <w:sz w:val="28"/>
              </w:rPr>
              <w:t>2017 год</w:t>
            </w:r>
          </w:p>
        </w:tc>
        <w:tc>
          <w:tcPr>
            <w:tcW w:w="14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D9D9D9" w:val="clear"/>
            <w:tcMar>
              <w:left w:w="103" w:type="dxa"/>
            </w:tcMar>
            <w:vAlign w:val="center"/>
          </w:tcPr>
          <w:p>
            <w:pPr>
              <w:pStyle w:val="Normal"/>
              <w:spacing w:lineRule="auto" w:line="240" w:before="0" w:after="0"/>
              <w:jc w:val="center"/>
              <w:rPr>
                <w:rFonts w:ascii="Times New Roman" w:hAnsi="Times New Roman" w:cs="Times New Roman"/>
                <w:sz w:val="28"/>
              </w:rPr>
            </w:pPr>
            <w:r>
              <w:rPr>
                <w:rFonts w:eastAsia="Symbol" w:cs="Times New Roman" w:ascii="Times New Roman" w:hAnsi="Times New Roman"/>
                <w:b/>
                <w:sz w:val="28"/>
              </w:rPr>
              <w:t>2018 год</w:t>
            </w:r>
          </w:p>
        </w:tc>
      </w:tr>
      <w:tr>
        <w:trPr/>
        <w:tc>
          <w:tcPr>
            <w:tcW w:w="1920"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eastAsia="Symbol" w:cs="Times New Roman"/>
                <w:sz w:val="28"/>
              </w:rPr>
            </w:pPr>
            <w:r>
              <w:rPr>
                <w:rFonts w:eastAsia="Symbol" w:cs="Times New Roman" w:ascii="Times New Roman" w:hAnsi="Times New Roman"/>
                <w:sz w:val="28"/>
              </w:rPr>
              <w:t>Всего доходов</w:t>
            </w:r>
          </w:p>
        </w:tc>
        <w:tc>
          <w:tcPr>
            <w:tcW w:w="15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spacing w:lineRule="auto" w:line="240" w:before="0" w:after="0"/>
              <w:jc w:val="center"/>
              <w:rPr>
                <w:rFonts w:ascii="Times New Roman" w:hAnsi="Times New Roman" w:cs="Times New Roman"/>
                <w:sz w:val="28"/>
              </w:rPr>
            </w:pPr>
            <w:r>
              <w:rPr>
                <w:rFonts w:eastAsia="Symbol" w:cs="Times New Roman" w:ascii="Times New Roman" w:hAnsi="Times New Roman"/>
                <w:sz w:val="28"/>
              </w:rPr>
              <w:t>1 018,9</w:t>
            </w:r>
          </w:p>
        </w:tc>
        <w:tc>
          <w:tcPr>
            <w:tcW w:w="1561"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8"/>
              </w:rPr>
            </w:pPr>
            <w:r>
              <w:rPr>
                <w:rFonts w:cs="Times New Roman" w:ascii="Times New Roman" w:hAnsi="Times New Roman"/>
                <w:sz w:val="28"/>
              </w:rPr>
              <w:t>1 052,3</w:t>
            </w:r>
          </w:p>
        </w:tc>
        <w:tc>
          <w:tcPr>
            <w:tcW w:w="1559"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eastAsia="Symbol" w:cs="Times New Roman"/>
                <w:sz w:val="28"/>
              </w:rPr>
            </w:pPr>
            <w:r>
              <w:rPr>
                <w:rFonts w:cs="Times New Roman" w:ascii="Times New Roman" w:hAnsi="Times New Roman"/>
                <w:sz w:val="28"/>
              </w:rPr>
              <w:t>1 141,9</w:t>
            </w:r>
          </w:p>
        </w:tc>
        <w:tc>
          <w:tcPr>
            <w:tcW w:w="1417"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8"/>
              </w:rPr>
            </w:pPr>
            <w:r>
              <w:rPr>
                <w:rFonts w:cs="Times New Roman" w:ascii="Times New Roman" w:hAnsi="Times New Roman"/>
                <w:sz w:val="28"/>
              </w:rPr>
              <w:t>1 416,8</w:t>
            </w:r>
          </w:p>
        </w:tc>
        <w:tc>
          <w:tcPr>
            <w:tcW w:w="14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8"/>
              </w:rPr>
            </w:pPr>
            <w:r>
              <w:rPr>
                <w:rFonts w:cs="Times New Roman" w:ascii="Times New Roman" w:hAnsi="Times New Roman"/>
                <w:sz w:val="28"/>
              </w:rPr>
              <w:t>1 701,8</w:t>
            </w:r>
          </w:p>
        </w:tc>
      </w:tr>
      <w:tr>
        <w:trPr/>
        <w:tc>
          <w:tcPr>
            <w:tcW w:w="1920"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eastAsia="Symbol" w:cs="Times New Roman"/>
                <w:sz w:val="28"/>
              </w:rPr>
            </w:pPr>
            <w:r>
              <w:rPr>
                <w:rFonts w:eastAsia="Symbol" w:cs="Times New Roman" w:ascii="Times New Roman" w:hAnsi="Times New Roman"/>
                <w:sz w:val="28"/>
              </w:rPr>
              <w:t>Всего расходов</w:t>
            </w:r>
          </w:p>
        </w:tc>
        <w:tc>
          <w:tcPr>
            <w:tcW w:w="15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spacing w:lineRule="auto" w:line="240" w:before="0" w:after="0"/>
              <w:jc w:val="center"/>
              <w:rPr>
                <w:rFonts w:ascii="Times New Roman" w:hAnsi="Times New Roman" w:cs="Times New Roman"/>
                <w:sz w:val="28"/>
              </w:rPr>
            </w:pPr>
            <w:r>
              <w:rPr>
                <w:rFonts w:eastAsia="Symbol" w:cs="Times New Roman" w:ascii="Times New Roman" w:hAnsi="Times New Roman"/>
                <w:sz w:val="28"/>
              </w:rPr>
              <w:t>1 100,4</w:t>
            </w:r>
          </w:p>
        </w:tc>
        <w:tc>
          <w:tcPr>
            <w:tcW w:w="1561"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8"/>
              </w:rPr>
            </w:pPr>
            <w:r>
              <w:rPr>
                <w:rFonts w:cs="Times New Roman" w:ascii="Times New Roman" w:hAnsi="Times New Roman"/>
                <w:sz w:val="28"/>
              </w:rPr>
              <w:t>1 086,7</w:t>
            </w:r>
          </w:p>
        </w:tc>
        <w:tc>
          <w:tcPr>
            <w:tcW w:w="1559"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eastAsia="Symbol" w:cs="Times New Roman"/>
                <w:sz w:val="28"/>
              </w:rPr>
            </w:pPr>
            <w:r>
              <w:rPr>
                <w:rFonts w:cs="Times New Roman" w:ascii="Times New Roman" w:hAnsi="Times New Roman"/>
                <w:sz w:val="28"/>
              </w:rPr>
              <w:t>1 042,4</w:t>
            </w:r>
          </w:p>
        </w:tc>
        <w:tc>
          <w:tcPr>
            <w:tcW w:w="1417"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8"/>
              </w:rPr>
            </w:pPr>
            <w:r>
              <w:rPr>
                <w:rFonts w:cs="Times New Roman" w:ascii="Times New Roman" w:hAnsi="Times New Roman"/>
                <w:sz w:val="28"/>
              </w:rPr>
              <w:t>1 499,2</w:t>
            </w:r>
          </w:p>
        </w:tc>
        <w:tc>
          <w:tcPr>
            <w:tcW w:w="14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8"/>
              </w:rPr>
            </w:pPr>
            <w:r>
              <w:rPr>
                <w:rFonts w:cs="Times New Roman" w:ascii="Times New Roman" w:hAnsi="Times New Roman"/>
                <w:sz w:val="28"/>
              </w:rPr>
              <w:t>1 620,6</w:t>
            </w:r>
          </w:p>
        </w:tc>
      </w:tr>
      <w:tr>
        <w:trPr/>
        <w:tc>
          <w:tcPr>
            <w:tcW w:w="1920"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eastAsia="Symbol" w:cs="Times New Roman"/>
                <w:sz w:val="28"/>
              </w:rPr>
            </w:pPr>
            <w:r>
              <w:rPr>
                <w:rFonts w:eastAsia="Symbol" w:cs="Times New Roman" w:ascii="Times New Roman" w:hAnsi="Times New Roman"/>
                <w:sz w:val="28"/>
              </w:rPr>
              <w:t>Дефицит (Профицит)</w:t>
            </w:r>
          </w:p>
        </w:tc>
        <w:tc>
          <w:tcPr>
            <w:tcW w:w="15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spacing w:lineRule="auto" w:line="240" w:before="0" w:after="0"/>
              <w:jc w:val="center"/>
              <w:rPr>
                <w:rFonts w:ascii="Times New Roman" w:hAnsi="Times New Roman" w:cs="Times New Roman"/>
                <w:sz w:val="28"/>
              </w:rPr>
            </w:pPr>
            <w:r>
              <w:rPr>
                <w:rFonts w:eastAsia="Symbol" w:cs="Times New Roman" w:ascii="Times New Roman" w:hAnsi="Times New Roman"/>
                <w:sz w:val="28"/>
              </w:rPr>
              <w:t>-81,5</w:t>
            </w:r>
          </w:p>
        </w:tc>
        <w:tc>
          <w:tcPr>
            <w:tcW w:w="1561"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8"/>
              </w:rPr>
            </w:pPr>
            <w:r>
              <w:rPr>
                <w:rFonts w:cs="Times New Roman" w:ascii="Times New Roman" w:hAnsi="Times New Roman"/>
                <w:sz w:val="28"/>
              </w:rPr>
              <w:t>-34,4</w:t>
            </w:r>
          </w:p>
        </w:tc>
        <w:tc>
          <w:tcPr>
            <w:tcW w:w="1559"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eastAsia="Symbol" w:cs="Times New Roman"/>
                <w:sz w:val="28"/>
              </w:rPr>
            </w:pPr>
            <w:r>
              <w:rPr>
                <w:rFonts w:eastAsia="Symbol" w:cs="Times New Roman" w:ascii="Times New Roman" w:hAnsi="Times New Roman"/>
                <w:sz w:val="28"/>
              </w:rPr>
              <w:t>+99,5</w:t>
            </w:r>
          </w:p>
        </w:tc>
        <w:tc>
          <w:tcPr>
            <w:tcW w:w="1417"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8"/>
              </w:rPr>
            </w:pPr>
            <w:r>
              <w:rPr>
                <w:rFonts w:cs="Times New Roman" w:ascii="Times New Roman" w:hAnsi="Times New Roman"/>
                <w:sz w:val="28"/>
              </w:rPr>
              <w:t>-82,4</w:t>
            </w:r>
          </w:p>
        </w:tc>
        <w:tc>
          <w:tcPr>
            <w:tcW w:w="14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8"/>
              </w:rPr>
            </w:pPr>
            <w:r>
              <w:rPr>
                <w:rFonts w:cs="Times New Roman" w:ascii="Times New Roman" w:hAnsi="Times New Roman"/>
                <w:sz w:val="28"/>
              </w:rPr>
              <w:t>+81,2</w:t>
            </w:r>
          </w:p>
        </w:tc>
      </w:tr>
    </w:tbl>
    <w:p>
      <w:pPr>
        <w:pStyle w:val="Standard"/>
        <w:rPr>
          <w:sz w:val="28"/>
          <w:szCs w:val="28"/>
        </w:rPr>
      </w:pPr>
      <w:r>
        <w:rPr>
          <w:sz w:val="28"/>
          <w:szCs w:val="28"/>
        </w:rPr>
      </w:r>
    </w:p>
    <w:p>
      <w:pPr>
        <w:pStyle w:val="Standard"/>
        <w:rPr>
          <w:sz w:val="28"/>
          <w:szCs w:val="28"/>
        </w:rPr>
      </w:pPr>
      <w:r>
        <w:rPr>
          <w:sz w:val="28"/>
          <w:szCs w:val="28"/>
        </w:rPr>
        <w:t xml:space="preserve">В 2018 году профицит составил 5,0% всех расходов бюджета города. </w:t>
      </w:r>
    </w:p>
    <w:p>
      <w:pPr>
        <w:pStyle w:val="Standard"/>
        <w:rPr>
          <w:sz w:val="28"/>
          <w:szCs w:val="28"/>
        </w:rPr>
      </w:pPr>
      <w:r>
        <w:rPr>
          <w:sz w:val="28"/>
          <w:szCs w:val="28"/>
        </w:rPr>
        <w:t xml:space="preserve">Удельный вес собственных доходов и доходов от предпринимательской деятельности в общей сумме доходов городского бюджета за 2014-2018 годы снизился с 24,7 % до 20,3 %, а отчислений от бюджетов других уровней увеличился с 76,3 % до 79,7 %. </w:t>
      </w:r>
    </w:p>
    <w:p>
      <w:pPr>
        <w:pStyle w:val="Standard"/>
        <w:rPr>
          <w:sz w:val="28"/>
          <w:szCs w:val="28"/>
        </w:rPr>
      </w:pPr>
      <w:r>
        <w:rPr>
          <w:sz w:val="28"/>
          <w:szCs w:val="28"/>
        </w:rPr>
        <w:t>Наличие в бюджете города - курорта Железноводска большого удельного веса безвозмездных поступлений и отчислений от федеральных и региональных налогов характерно для большинства местных бюджетов Российской Федерации.</w:t>
      </w:r>
    </w:p>
    <w:p>
      <w:pPr>
        <w:pStyle w:val="Standard"/>
        <w:rPr>
          <w:sz w:val="28"/>
          <w:szCs w:val="28"/>
        </w:rPr>
      </w:pPr>
      <w:r>
        <w:rPr>
          <w:sz w:val="28"/>
          <w:szCs w:val="28"/>
        </w:rPr>
        <w:t>Это является следствием проводимой государством бюджетной и налоговой политики. В настоящее время уровень доходов территориальных (в том числе и местных) бюджетов находится в прямой зависимости от положений федерального законодательства, направленного на централизацию финансовых ресурсов на федеральном уровне.</w:t>
      </w:r>
    </w:p>
    <w:p>
      <w:pPr>
        <w:pStyle w:val="Standard"/>
        <w:rPr>
          <w:sz w:val="28"/>
          <w:szCs w:val="28"/>
        </w:rPr>
      </w:pPr>
      <w:r>
        <w:rPr>
          <w:sz w:val="28"/>
          <w:szCs w:val="28"/>
        </w:rPr>
        <w:t xml:space="preserve">Основными бюджетообразующими источниками бюджета города Железноводска за эти годы являлись налог на доходы физических лиц и доходы от реализации и использования имущества, находящегося в муниципальной собственности. </w:t>
      </w:r>
    </w:p>
    <w:p>
      <w:pPr>
        <w:pStyle w:val="Standard"/>
        <w:rPr>
          <w:sz w:val="28"/>
          <w:szCs w:val="28"/>
        </w:rPr>
      </w:pPr>
      <w:r>
        <w:rPr>
          <w:sz w:val="28"/>
          <w:szCs w:val="28"/>
        </w:rPr>
        <w:t xml:space="preserve">В структуре расходов бюджета города наибольший удельный вес занимают расходы на социально-культурные мероприятия. Расходы по социальным статьям: в 2014 году – 63,8 %, в 2015 году – 67,0 %, в 2016 году – 73,2 %, в </w:t>
        <w:br/>
        <w:t>2017 году – 67,5 %, в 2018 году – 69,6 %. Расходы на жилищно-коммунальное хозяйство также имеют социальный эффект. Учитывая состав этих расходов, можно утверждать, что они характеризуют социальную направленность местного бюджета. Удельный вес расходов на жилищно-коммунальное хозяйство составляет в среднем 20-25 % всех расходов бюджета города.</w:t>
      </w:r>
    </w:p>
    <w:p>
      <w:pPr>
        <w:pStyle w:val="Standard"/>
        <w:rPr>
          <w:sz w:val="28"/>
          <w:szCs w:val="28"/>
        </w:rPr>
      </w:pPr>
      <w:r>
        <w:rPr>
          <w:sz w:val="28"/>
          <w:szCs w:val="28"/>
        </w:rPr>
        <w:t xml:space="preserve">Доля расходов на национальную экономику в анализируемом периоде составляла: в 2014-2018 годах от 8,5 % до 18,9 % в общих расходах бюджета города, 18,8 % - в 2014 году, 18,9 % - в 2015 году, 8,5 % - в 2016 году, 15,8 % - в 2017 году, 9,5 % - в 2018 году. </w:t>
      </w:r>
    </w:p>
    <w:p>
      <w:pPr>
        <w:pStyle w:val="Standard"/>
        <w:rPr>
          <w:sz w:val="28"/>
          <w:szCs w:val="28"/>
        </w:rPr>
      </w:pPr>
      <w:r>
        <w:rPr>
          <w:sz w:val="28"/>
          <w:szCs w:val="28"/>
        </w:rPr>
        <w:t>Наличие дефицита в течение 2014, 2015 и 2017 годов характеризует недостаток бюджетных средств для исполнения полномочий. Наличие профицита при невыполнении запланированных расходов характеризует недоиспользование имеющегося бюджетного потенциала.</w:t>
      </w:r>
    </w:p>
    <w:p>
      <w:pPr>
        <w:pStyle w:val="Standard"/>
        <w:ind w:hanging="0"/>
        <w:rPr>
          <w:sz w:val="28"/>
          <w:szCs w:val="28"/>
        </w:rPr>
      </w:pPr>
      <w:r>
        <w:rPr>
          <w:sz w:val="28"/>
          <w:szCs w:val="28"/>
        </w:rPr>
      </w:r>
    </w:p>
    <w:p>
      <w:pPr>
        <w:pStyle w:val="Standard"/>
        <w:jc w:val="center"/>
        <w:rPr>
          <w:b/>
          <w:b/>
          <w:i/>
          <w:i/>
          <w:sz w:val="28"/>
          <w:szCs w:val="28"/>
        </w:rPr>
      </w:pPr>
      <w:r>
        <w:rPr>
          <w:b/>
          <w:i/>
          <w:sz w:val="28"/>
          <w:szCs w:val="28"/>
        </w:rPr>
        <w:t>Инфраструктурный потенциал развития экономики города.</w:t>
      </w:r>
    </w:p>
    <w:p>
      <w:pPr>
        <w:pStyle w:val="Standard"/>
        <w:rPr>
          <w:b/>
          <w:b/>
          <w:sz w:val="28"/>
          <w:szCs w:val="28"/>
          <w:shd w:fill="FFFF00" w:val="clear"/>
        </w:rPr>
      </w:pPr>
      <w:r>
        <w:rPr>
          <w:b/>
          <w:sz w:val="28"/>
          <w:szCs w:val="28"/>
          <w:shd w:fill="FFFF00" w:val="clear"/>
        </w:rPr>
      </w:r>
    </w:p>
    <w:p>
      <w:pPr>
        <w:pStyle w:val="Standard"/>
        <w:rPr>
          <w:sz w:val="28"/>
          <w:szCs w:val="28"/>
        </w:rPr>
      </w:pPr>
      <w:r>
        <w:rPr>
          <w:b/>
          <w:sz w:val="28"/>
          <w:szCs w:val="28"/>
        </w:rPr>
        <w:t>Транспорт.</w:t>
      </w:r>
      <w:r>
        <w:rPr>
          <w:sz w:val="28"/>
          <w:szCs w:val="28"/>
        </w:rPr>
        <w:t xml:space="preserve"> Организация грузопассажирских перевозок на автомобильном транспорте является одной из наиболее важных сфер жизнедеятельности города-курорта Железноводска. Для удовлетворения потребностей населения города в грузопассажирских перевозках невозможно использование иных видов транспорта (трамвай, троллейбус) в силу особенностей рельефа территории города. Движение железнодорожного транспорта в городе Железноводске в </w:t>
        <w:br/>
        <w:t>2008 году прекращено по решению ведомств ОАО «РЖД». С 2008 года по август 2013 года город-курорт Железноводск не имел железнодорожного сообщения с другими городами Кавказских Минеральных Вод. С августа 2013 года движение электропоезда пригородного сообщения по маршруту «Ж/д станция Бештау – ж/д вокзал города Железноводска» было возобновлено. Общая протяженность маршрута составляла 5,8 км.</w:t>
      </w:r>
    </w:p>
    <w:p>
      <w:pPr>
        <w:pStyle w:val="Standard"/>
        <w:rPr>
          <w:sz w:val="28"/>
          <w:szCs w:val="28"/>
        </w:rPr>
      </w:pPr>
      <w:r>
        <w:rPr>
          <w:sz w:val="28"/>
          <w:szCs w:val="28"/>
        </w:rPr>
        <w:t>В связи с отсутствием устойчивого пассажиропотока и нерентабельностью данного маршрута, движение электропоезда было отменено ОАО «Северо-Кавказская пригородная пассажирская компания» с марта 2014 года.</w:t>
      </w:r>
    </w:p>
    <w:p>
      <w:pPr>
        <w:pStyle w:val="Standard"/>
        <w:rPr>
          <w:sz w:val="28"/>
          <w:szCs w:val="28"/>
        </w:rPr>
      </w:pPr>
      <w:r>
        <w:rPr>
          <w:sz w:val="28"/>
          <w:szCs w:val="28"/>
        </w:rPr>
        <w:t xml:space="preserve">Вероятнее всего, что и в ближайшей перспективе альтернативы автомобильному транспорту в осуществлении пассажирских перевозок в городе-курорте Железноводске не будет. </w:t>
      </w:r>
    </w:p>
    <w:p>
      <w:pPr>
        <w:pStyle w:val="Standard"/>
        <w:rPr>
          <w:sz w:val="28"/>
          <w:szCs w:val="28"/>
        </w:rPr>
      </w:pPr>
      <w:r>
        <w:rPr>
          <w:sz w:val="28"/>
          <w:szCs w:val="28"/>
        </w:rPr>
        <w:t xml:space="preserve">В городе-курорте Железноводске действует 11 муниципальных маршрутов, в том числе в том числе: 3 маршрута обслуживаются индивидуальными предпринимателями, 8 маршрутов муниципальным унитарным предприятием «Автоколонна № 2066». 96 % транспортных средств, осуществляющих перевозки, принадлежат индивидуальным предпринимателям и частным лицам, 4 % муниципальному предприятию. </w:t>
      </w:r>
    </w:p>
    <w:p>
      <w:pPr>
        <w:pStyle w:val="Standard"/>
        <w:rPr>
          <w:sz w:val="28"/>
          <w:szCs w:val="28"/>
        </w:rPr>
      </w:pPr>
      <w:r>
        <w:rPr>
          <w:sz w:val="28"/>
          <w:szCs w:val="28"/>
        </w:rPr>
        <w:t xml:space="preserve">Кроме того, на территории города-курорта Железноводска действуют   </w:t>
        <w:br/>
        <w:t xml:space="preserve">17 межмуниципальных маршрутов (между городами: Минеральные воды, Пятигорск, Ессентуки, Лермонтов, Ставрополь). </w:t>
      </w:r>
      <w:r>
        <w:rPr>
          <w:color w:val="000000"/>
          <w:sz w:val="28"/>
          <w:szCs w:val="28"/>
        </w:rPr>
        <w:t xml:space="preserve">МУП «Автоколонна </w:t>
        <w:br/>
        <w:t xml:space="preserve">№ 2066» осуществляет пассажирские перевозки на следующих маршрутах межмуниципального сообщения: </w:t>
      </w:r>
      <w:r>
        <w:rPr>
          <w:sz w:val="28"/>
          <w:szCs w:val="28"/>
        </w:rPr>
        <w:t xml:space="preserve">№ 107 И, № 113 А, № 115 В, № 105, </w:t>
        <w:br/>
        <w:t>№ 103М, № 140, на которых задействовано 16 автотранспортных средств.</w:t>
      </w:r>
    </w:p>
    <w:p>
      <w:pPr>
        <w:pStyle w:val="Standard"/>
        <w:rPr>
          <w:b/>
          <w:b/>
          <w:sz w:val="28"/>
          <w:szCs w:val="28"/>
        </w:rPr>
      </w:pPr>
      <w:r>
        <w:rPr>
          <w:b/>
          <w:sz w:val="28"/>
          <w:szCs w:val="28"/>
        </w:rPr>
      </w:r>
    </w:p>
    <w:p>
      <w:pPr>
        <w:pStyle w:val="Standard"/>
        <w:rPr>
          <w:sz w:val="28"/>
          <w:szCs w:val="28"/>
        </w:rPr>
      </w:pPr>
      <w:r>
        <w:rPr>
          <w:b/>
          <w:sz w:val="28"/>
          <w:szCs w:val="28"/>
        </w:rPr>
        <w:t>Инженерная инфраструктура.</w:t>
      </w:r>
      <w:r>
        <w:rPr>
          <w:sz w:val="28"/>
          <w:szCs w:val="28"/>
        </w:rPr>
        <w:t xml:space="preserve"> Состояние инженерной инфраструктуры является одной из ключевых детерминант экономического развития города. </w:t>
      </w:r>
    </w:p>
    <w:p>
      <w:pPr>
        <w:pStyle w:val="Standard"/>
        <w:rPr>
          <w:sz w:val="28"/>
          <w:szCs w:val="28"/>
        </w:rPr>
      </w:pPr>
      <w:r>
        <w:rPr>
          <w:sz w:val="28"/>
          <w:szCs w:val="28"/>
        </w:rPr>
        <w:t>Общая протяженность улично-дорожной сети города составляет 354 км, из них 294 км улиц и проездов с твердым покрытием, 22 км улиц обеспечено подземными водостоками. Общая протяженность городских дорог составляет 191 км. Содержание, ремонт улично-дорожной сети города требуют значительных капиталовложений.</w:t>
      </w:r>
    </w:p>
    <w:p>
      <w:pPr>
        <w:pStyle w:val="Standard"/>
        <w:rPr>
          <w:sz w:val="28"/>
          <w:szCs w:val="28"/>
        </w:rPr>
      </w:pPr>
      <w:r>
        <w:rPr>
          <w:sz w:val="28"/>
          <w:szCs w:val="28"/>
        </w:rPr>
        <w:t>В 2013 – 2018 годах осуществлены: реконструкция автодорог по ул. Ленина, ул. Энгельса, ул. Косякина  на сумму более 330 млн. рублей из средств краевого и местного бюджетов; проведен ремонт дворовых территорий многоквартирных домов, проездов к дворовым территориям многоквартирных домов, освоено 33,6 млн. рублей средств краевого и местного бюджетов.</w:t>
      </w:r>
    </w:p>
    <w:p>
      <w:pPr>
        <w:pStyle w:val="Standard"/>
        <w:rPr>
          <w:sz w:val="28"/>
          <w:szCs w:val="28"/>
        </w:rPr>
      </w:pPr>
      <w:r>
        <w:rPr>
          <w:sz w:val="28"/>
          <w:szCs w:val="28"/>
        </w:rPr>
        <w:t>Протяженность городских водопроводных сетей - 168,1 км, износ водопроводных сетей составляет 85 % (ежегодно требуется замена, как минимум 10 км водопроводных сетей). На территории города осуществляет деятельность производственно-техническое подразделение филиала государственного унитарного предприятия Ставропольского края «Ставрополькрайводоканал» - Предгорный «Межрайводоканал». В городе – курорте Железноводске имеются: насосные станции водопровода в количестве 11 единиц, канализационные насосные станции - 2 единицы.</w:t>
      </w:r>
    </w:p>
    <w:p>
      <w:pPr>
        <w:pStyle w:val="Standard"/>
        <w:rPr>
          <w:sz w:val="28"/>
          <w:szCs w:val="28"/>
        </w:rPr>
      </w:pPr>
      <w:r>
        <w:rPr>
          <w:sz w:val="28"/>
          <w:szCs w:val="28"/>
        </w:rPr>
        <w:t>Протяженность канализационных сетей составляет 110,0 км, износ которых    89 %;</w:t>
      </w:r>
    </w:p>
    <w:p>
      <w:pPr>
        <w:pStyle w:val="Standard"/>
        <w:rPr>
          <w:sz w:val="28"/>
          <w:szCs w:val="28"/>
        </w:rPr>
      </w:pPr>
      <w:r>
        <w:rPr>
          <w:sz w:val="28"/>
          <w:szCs w:val="28"/>
        </w:rPr>
        <w:t xml:space="preserve">На территории города находятся 221 трансформаторные подстанции. </w:t>
      </w:r>
    </w:p>
    <w:p>
      <w:pPr>
        <w:pStyle w:val="Standard"/>
        <w:rPr>
          <w:sz w:val="28"/>
          <w:szCs w:val="28"/>
        </w:rPr>
      </w:pPr>
      <w:r>
        <w:rPr>
          <w:sz w:val="28"/>
          <w:szCs w:val="28"/>
        </w:rPr>
        <w:t>Протяженность городских электрических сетей составляет 561,4 км, из них ветхих - 266 км.</w:t>
      </w:r>
    </w:p>
    <w:p>
      <w:pPr>
        <w:pStyle w:val="Standard"/>
        <w:rPr>
          <w:sz w:val="28"/>
          <w:szCs w:val="28"/>
        </w:rPr>
      </w:pPr>
      <w:r>
        <w:rPr>
          <w:sz w:val="28"/>
          <w:szCs w:val="28"/>
        </w:rPr>
        <w:t xml:space="preserve">На территории города функционируют 43 котельных, протяженность теплосетей составляет 91,8 км. В 2014 году выполнена реконструкция котельной № 15 в поселке Иноземцево по улице 50 лет Октября, стоимость объекта составила свыше 40 миллионов рублей. </w:t>
      </w:r>
    </w:p>
    <w:p>
      <w:pPr>
        <w:pStyle w:val="Standard"/>
        <w:rPr>
          <w:sz w:val="28"/>
          <w:szCs w:val="28"/>
        </w:rPr>
      </w:pPr>
      <w:r>
        <w:rPr>
          <w:sz w:val="28"/>
          <w:szCs w:val="28"/>
        </w:rPr>
        <w:t>Все инженерные сети города имеют высокий износ. Отсутствуют резервные мощности топливно-энергетического комплекса для наращивания производственного потенциала города. Развитие и реконструкция инженерных сетей города является ключевым направлением социально-экономического развития города.</w:t>
      </w:r>
    </w:p>
    <w:p>
      <w:pPr>
        <w:pStyle w:val="Standard"/>
        <w:rPr>
          <w:sz w:val="28"/>
          <w:szCs w:val="28"/>
        </w:rPr>
      </w:pPr>
      <w:r>
        <w:rPr>
          <w:sz w:val="28"/>
          <w:szCs w:val="28"/>
        </w:rPr>
      </w:r>
    </w:p>
    <w:p>
      <w:pPr>
        <w:pStyle w:val="Standard"/>
        <w:rPr>
          <w:sz w:val="28"/>
          <w:szCs w:val="28"/>
        </w:rPr>
      </w:pPr>
      <w:r>
        <w:rPr>
          <w:b/>
          <w:sz w:val="28"/>
          <w:szCs w:val="28"/>
        </w:rPr>
        <w:t>Жилищно-коммунальное хозяйство.</w:t>
      </w:r>
      <w:r>
        <w:rPr>
          <w:sz w:val="28"/>
          <w:szCs w:val="28"/>
        </w:rPr>
        <w:t xml:space="preserve"> Площадь жилого фонда города - 1999 тыс. кв. метров Актуальной проблемой для города Железноводска выступает содержание и ремонт жилого фонда. Несмотря на рост объема финансирования работ по содержанию, текущему и капитальному ремонту жилого фонда, потребности города удовлетворены не полностью. В 2014 – 2018 годах на территории города Железноводска осуществлялась реализация муниципальных адресных программ «Переселение граждан из аварийного жилищного фонда на 2013-2017 годы». Построены два девятиэтажных многоквартирных жилых дома и осуществлялось переселение граждан из аварийного жилищного фонда.</w:t>
      </w:r>
    </w:p>
    <w:p>
      <w:pPr>
        <w:pStyle w:val="Standard"/>
        <w:rPr>
          <w:sz w:val="28"/>
          <w:szCs w:val="28"/>
        </w:rPr>
      </w:pPr>
      <w:r>
        <w:rPr>
          <w:sz w:val="28"/>
          <w:szCs w:val="28"/>
        </w:rPr>
        <w:t xml:space="preserve"> </w:t>
      </w:r>
      <w:r>
        <w:rPr>
          <w:sz w:val="28"/>
          <w:szCs w:val="28"/>
        </w:rPr>
        <w:t xml:space="preserve">Техническое состояние жилых домов, инженерного оборудования и коммуникаций многоквартирных домов характеризуются высоким уровнем износа, низким коэффициентом полезного действия мощностей и потерями энергоносителей. Физический износ жилищного фонда в муниципальном образовании города-курорта Железноводска составляет порядка 60 %. За время реализации программы «Капитального ремонта общего имущества многоквартирных домов, расположенных на территории Ставропольского края» в городе отремонтировано всего 21 многоквартирный дом, из них только </w:t>
        <w:br/>
        <w:t>8 прошли комплексный ремонт.</w:t>
      </w:r>
    </w:p>
    <w:p>
      <w:pPr>
        <w:pStyle w:val="Standard"/>
        <w:rPr>
          <w:sz w:val="28"/>
          <w:szCs w:val="28"/>
        </w:rPr>
      </w:pPr>
      <w:r>
        <w:rPr>
          <w:sz w:val="28"/>
          <w:szCs w:val="28"/>
        </w:rPr>
      </w:r>
    </w:p>
    <w:p>
      <w:pPr>
        <w:pStyle w:val="3"/>
        <w:rPr>
          <w:b w:val="false"/>
          <w:b w:val="false"/>
        </w:rPr>
      </w:pPr>
      <w:bookmarkStart w:id="8" w:name="_Toc11337740"/>
      <w:bookmarkEnd w:id="8"/>
      <w:r>
        <w:rPr>
          <w:b w:val="false"/>
        </w:rPr>
        <w:t>1.2.2 Анализ человеческого потенциала</w:t>
      </w:r>
    </w:p>
    <w:p>
      <w:pPr>
        <w:pStyle w:val="Standard"/>
        <w:jc w:val="center"/>
        <w:rPr>
          <w:sz w:val="28"/>
          <w:szCs w:val="28"/>
        </w:rPr>
      </w:pPr>
      <w:r>
        <w:rPr>
          <w:sz w:val="28"/>
          <w:szCs w:val="28"/>
        </w:rPr>
      </w:r>
    </w:p>
    <w:p>
      <w:pPr>
        <w:pStyle w:val="Standard"/>
        <w:jc w:val="center"/>
        <w:rPr>
          <w:b/>
          <w:b/>
          <w:i/>
          <w:i/>
          <w:sz w:val="28"/>
          <w:szCs w:val="28"/>
        </w:rPr>
      </w:pPr>
      <w:r>
        <w:rPr>
          <w:b/>
          <w:i/>
          <w:sz w:val="28"/>
          <w:szCs w:val="28"/>
        </w:rPr>
        <w:t>Демографическая ситуация</w:t>
      </w:r>
    </w:p>
    <w:p>
      <w:pPr>
        <w:pStyle w:val="Standard"/>
        <w:jc w:val="center"/>
        <w:rPr>
          <w:b/>
          <w:b/>
          <w:sz w:val="28"/>
          <w:szCs w:val="28"/>
        </w:rPr>
      </w:pPr>
      <w:r>
        <w:rPr>
          <w:b/>
          <w:sz w:val="28"/>
          <w:szCs w:val="28"/>
        </w:rPr>
      </w:r>
    </w:p>
    <w:p>
      <w:pPr>
        <w:pStyle w:val="Normal"/>
        <w:spacing w:lineRule="auto" w:line="240" w:before="0" w:after="0"/>
        <w:ind w:firstLine="709"/>
        <w:jc w:val="both"/>
        <w:rPr>
          <w:rFonts w:ascii="Times New Roman" w:hAnsi="Times New Roman" w:eastAsia="Symbol" w:cs="Times New Roman"/>
          <w:color w:val="000000"/>
          <w:sz w:val="28"/>
          <w:szCs w:val="28"/>
        </w:rPr>
      </w:pPr>
      <w:r>
        <w:rPr>
          <w:rFonts w:eastAsia="Symbol" w:cs="Times New Roman" w:ascii="Times New Roman" w:hAnsi="Times New Roman"/>
          <w:color w:val="000000"/>
          <w:sz w:val="28"/>
          <w:szCs w:val="28"/>
        </w:rPr>
        <w:t xml:space="preserve">Общая численность населения города-курорта Железноводска на 01 января 2019 года составляет 52,7 тыс. чел. (1,9 % населения Ставропольского края и  10,3 % населения городов-курортов Кавказских Минеральных Вод). За период с 2000 по 2018 годы население городского округа увеличилось на 1,3 %, что сопоставимо с ростом населения в целом по Ставропольскому краю, но значительно ниже общего показателя городов-курортов Кавказских минеральных вод, который составил 9,1 % (Таблица 3). </w:t>
      </w:r>
    </w:p>
    <w:p>
      <w:pPr>
        <w:pStyle w:val="Normal"/>
        <w:spacing w:lineRule="auto" w:line="240" w:before="0" w:after="0"/>
        <w:ind w:firstLine="709"/>
        <w:jc w:val="right"/>
        <w:rPr>
          <w:rFonts w:ascii="Times New Roman" w:hAnsi="Times New Roman" w:eastAsia="Symbol" w:cs="Times New Roman"/>
          <w:b/>
          <w:b/>
          <w:color w:val="000000"/>
          <w:sz w:val="24"/>
          <w:szCs w:val="28"/>
        </w:rPr>
      </w:pPr>
      <w:r>
        <w:rPr>
          <w:rFonts w:eastAsia="Symbol" w:cs="Times New Roman" w:ascii="Times New Roman" w:hAnsi="Times New Roman"/>
          <w:b/>
          <w:color w:val="000000"/>
          <w:sz w:val="24"/>
          <w:szCs w:val="28"/>
        </w:rPr>
        <w:t>Таблица 3</w:t>
      </w:r>
    </w:p>
    <w:p>
      <w:pPr>
        <w:pStyle w:val="Normal"/>
        <w:spacing w:lineRule="auto" w:line="240" w:before="0" w:after="0"/>
        <w:jc w:val="center"/>
        <w:rPr>
          <w:rFonts w:ascii="Times New Roman" w:hAnsi="Times New Roman" w:eastAsia="Symbol" w:cs="Times New Roman"/>
          <w:b/>
          <w:b/>
          <w:color w:val="000000"/>
          <w:sz w:val="24"/>
          <w:szCs w:val="28"/>
        </w:rPr>
      </w:pPr>
      <w:r>
        <w:rPr>
          <w:rFonts w:eastAsia="Symbol" w:cs="Times New Roman" w:ascii="Times New Roman" w:hAnsi="Times New Roman"/>
          <w:b/>
          <w:color w:val="000000"/>
          <w:sz w:val="24"/>
          <w:szCs w:val="28"/>
        </w:rPr>
        <w:t>Динамика основных демографических показателей по городу-курорту Железноводску за 2000-2018 гг.</w:t>
      </w:r>
    </w:p>
    <w:tbl>
      <w:tblPr>
        <w:tblStyle w:val="a9"/>
        <w:tblW w:w="9628" w:type="dxa"/>
        <w:jc w:val="left"/>
        <w:tblInd w:w="0" w:type="dxa"/>
        <w:tblCellMar>
          <w:top w:w="0" w:type="dxa"/>
          <w:left w:w="108" w:type="dxa"/>
          <w:bottom w:w="0" w:type="dxa"/>
          <w:right w:w="108" w:type="dxa"/>
        </w:tblCellMar>
        <w:tblLook w:noVBand="1" w:val="04a0" w:noHBand="0" w:lastColumn="0" w:firstColumn="1" w:lastRow="0" w:firstRow="1"/>
      </w:tblPr>
      <w:tblGrid>
        <w:gridCol w:w="2972"/>
        <w:gridCol w:w="1295"/>
        <w:gridCol w:w="766"/>
        <w:gridCol w:w="766"/>
        <w:gridCol w:w="767"/>
        <w:gridCol w:w="766"/>
        <w:gridCol w:w="767"/>
        <w:gridCol w:w="766"/>
        <w:gridCol w:w="762"/>
      </w:tblGrid>
      <w:tr>
        <w:trPr>
          <w:trHeight w:val="535" w:hRule="atLeast"/>
        </w:trPr>
        <w:tc>
          <w:tcPr>
            <w:tcW w:w="2972" w:type="dxa"/>
            <w:tcBorders/>
            <w:shd w:fill="auto" w:val="clear"/>
            <w:tcMar>
              <w:left w:w="108" w:type="dxa"/>
            </w:tcMar>
          </w:tcPr>
          <w:p>
            <w:pPr>
              <w:pStyle w:val="Normal"/>
              <w:spacing w:lineRule="auto" w:line="240" w:before="0" w:after="0"/>
              <w:jc w:val="center"/>
              <w:rPr>
                <w:rFonts w:ascii="Times New Roman" w:hAnsi="Times New Roman" w:eastAsia="Symbol" w:cs="Times New Roman"/>
                <w:b/>
                <w:b/>
                <w:color w:val="000000"/>
                <w:sz w:val="20"/>
                <w:szCs w:val="20"/>
              </w:rPr>
            </w:pPr>
            <w:r>
              <w:rPr>
                <w:rFonts w:eastAsia="Symbol" w:cs="Times New Roman" w:ascii="Times New Roman" w:hAnsi="Times New Roman"/>
                <w:b/>
                <w:color w:val="000000"/>
                <w:sz w:val="20"/>
                <w:szCs w:val="20"/>
              </w:rPr>
              <w:t>Показатель</w:t>
            </w:r>
          </w:p>
        </w:tc>
        <w:tc>
          <w:tcPr>
            <w:tcW w:w="1295" w:type="dxa"/>
            <w:tcBorders/>
            <w:shd w:fill="auto" w:val="clear"/>
            <w:tcMar>
              <w:left w:w="108" w:type="dxa"/>
            </w:tcMar>
          </w:tcPr>
          <w:p>
            <w:pPr>
              <w:pStyle w:val="Normal"/>
              <w:spacing w:lineRule="auto" w:line="240" w:before="0" w:after="0"/>
              <w:jc w:val="center"/>
              <w:rPr>
                <w:rFonts w:ascii="Times New Roman" w:hAnsi="Times New Roman" w:eastAsia="Symbol" w:cs="Times New Roman"/>
                <w:b/>
                <w:b/>
                <w:color w:val="000000"/>
                <w:sz w:val="20"/>
                <w:szCs w:val="20"/>
              </w:rPr>
            </w:pPr>
            <w:r>
              <w:rPr>
                <w:rFonts w:eastAsia="Symbol" w:cs="Times New Roman" w:ascii="Times New Roman" w:hAnsi="Times New Roman"/>
                <w:b/>
                <w:color w:val="000000"/>
                <w:sz w:val="20"/>
                <w:szCs w:val="20"/>
              </w:rPr>
              <w:t>Единица измерения</w:t>
            </w:r>
          </w:p>
        </w:tc>
        <w:tc>
          <w:tcPr>
            <w:tcW w:w="766" w:type="dxa"/>
            <w:tcBorders/>
            <w:shd w:fill="auto" w:val="clear"/>
            <w:tcMar>
              <w:left w:w="108" w:type="dxa"/>
            </w:tcMar>
          </w:tcPr>
          <w:p>
            <w:pPr>
              <w:pStyle w:val="Normal"/>
              <w:spacing w:lineRule="auto" w:line="240" w:before="0" w:after="0"/>
              <w:jc w:val="center"/>
              <w:rPr>
                <w:rFonts w:ascii="Times New Roman" w:hAnsi="Times New Roman" w:eastAsia="Symbol" w:cs="Times New Roman"/>
                <w:b/>
                <w:b/>
                <w:color w:val="000000"/>
                <w:sz w:val="20"/>
                <w:szCs w:val="20"/>
              </w:rPr>
            </w:pPr>
            <w:r>
              <w:rPr>
                <w:rFonts w:eastAsia="Symbol" w:cs="Times New Roman" w:ascii="Times New Roman" w:hAnsi="Times New Roman"/>
                <w:b/>
                <w:color w:val="000000"/>
                <w:sz w:val="20"/>
                <w:szCs w:val="20"/>
              </w:rPr>
              <w:t>2000 год</w:t>
            </w:r>
          </w:p>
        </w:tc>
        <w:tc>
          <w:tcPr>
            <w:tcW w:w="766" w:type="dxa"/>
            <w:tcBorders/>
            <w:shd w:fill="auto" w:val="clear"/>
            <w:tcMar>
              <w:left w:w="108" w:type="dxa"/>
            </w:tcMar>
          </w:tcPr>
          <w:p>
            <w:pPr>
              <w:pStyle w:val="Normal"/>
              <w:spacing w:lineRule="auto" w:line="240" w:before="0" w:after="0"/>
              <w:jc w:val="center"/>
              <w:rPr>
                <w:rFonts w:ascii="Times New Roman" w:hAnsi="Times New Roman" w:eastAsia="Symbol" w:cs="Times New Roman"/>
                <w:b/>
                <w:b/>
                <w:color w:val="000000"/>
                <w:sz w:val="20"/>
                <w:szCs w:val="20"/>
              </w:rPr>
            </w:pPr>
            <w:r>
              <w:rPr>
                <w:rFonts w:eastAsia="Symbol" w:cs="Times New Roman" w:ascii="Times New Roman" w:hAnsi="Times New Roman"/>
                <w:b/>
                <w:color w:val="000000"/>
                <w:sz w:val="20"/>
                <w:szCs w:val="20"/>
              </w:rPr>
              <w:t>2005 год</w:t>
            </w:r>
          </w:p>
        </w:tc>
        <w:tc>
          <w:tcPr>
            <w:tcW w:w="767" w:type="dxa"/>
            <w:tcBorders/>
            <w:shd w:fill="auto" w:val="clear"/>
            <w:tcMar>
              <w:left w:w="108" w:type="dxa"/>
            </w:tcMar>
          </w:tcPr>
          <w:p>
            <w:pPr>
              <w:pStyle w:val="Normal"/>
              <w:spacing w:lineRule="auto" w:line="240" w:before="0" w:after="0"/>
              <w:jc w:val="center"/>
              <w:rPr>
                <w:rFonts w:ascii="Times New Roman" w:hAnsi="Times New Roman" w:eastAsia="Symbol" w:cs="Times New Roman"/>
                <w:b/>
                <w:b/>
                <w:color w:val="000000"/>
                <w:sz w:val="20"/>
                <w:szCs w:val="20"/>
              </w:rPr>
            </w:pPr>
            <w:r>
              <w:rPr>
                <w:rFonts w:eastAsia="Symbol" w:cs="Times New Roman" w:ascii="Times New Roman" w:hAnsi="Times New Roman"/>
                <w:b/>
                <w:color w:val="000000"/>
                <w:sz w:val="20"/>
                <w:szCs w:val="20"/>
              </w:rPr>
              <w:t>2010 год</w:t>
            </w:r>
          </w:p>
        </w:tc>
        <w:tc>
          <w:tcPr>
            <w:tcW w:w="766" w:type="dxa"/>
            <w:tcBorders/>
            <w:shd w:fill="auto" w:val="clear"/>
            <w:tcMar>
              <w:left w:w="108" w:type="dxa"/>
            </w:tcMar>
          </w:tcPr>
          <w:p>
            <w:pPr>
              <w:pStyle w:val="Normal"/>
              <w:spacing w:lineRule="auto" w:line="240" w:before="0" w:after="0"/>
              <w:jc w:val="center"/>
              <w:rPr>
                <w:rFonts w:ascii="Times New Roman" w:hAnsi="Times New Roman" w:eastAsia="Symbol" w:cs="Times New Roman"/>
                <w:b/>
                <w:b/>
                <w:color w:val="000000"/>
                <w:sz w:val="20"/>
                <w:szCs w:val="20"/>
              </w:rPr>
            </w:pPr>
            <w:r>
              <w:rPr>
                <w:rFonts w:eastAsia="Symbol" w:cs="Times New Roman" w:ascii="Times New Roman" w:hAnsi="Times New Roman"/>
                <w:b/>
                <w:color w:val="000000"/>
                <w:sz w:val="20"/>
                <w:szCs w:val="20"/>
              </w:rPr>
              <w:t>2015 год</w:t>
            </w:r>
          </w:p>
        </w:tc>
        <w:tc>
          <w:tcPr>
            <w:tcW w:w="767" w:type="dxa"/>
            <w:tcBorders/>
            <w:shd w:fill="auto" w:val="clear"/>
            <w:tcMar>
              <w:left w:w="108" w:type="dxa"/>
            </w:tcMar>
          </w:tcPr>
          <w:p>
            <w:pPr>
              <w:pStyle w:val="Normal"/>
              <w:spacing w:lineRule="auto" w:line="240" w:before="0" w:after="0"/>
              <w:jc w:val="center"/>
              <w:rPr>
                <w:rFonts w:ascii="Times New Roman" w:hAnsi="Times New Roman" w:eastAsia="Symbol" w:cs="Times New Roman"/>
                <w:b/>
                <w:b/>
                <w:color w:val="000000"/>
                <w:sz w:val="20"/>
                <w:szCs w:val="20"/>
              </w:rPr>
            </w:pPr>
            <w:r>
              <w:rPr>
                <w:rFonts w:eastAsia="Symbol" w:cs="Times New Roman" w:ascii="Times New Roman" w:hAnsi="Times New Roman"/>
                <w:b/>
                <w:color w:val="000000"/>
                <w:sz w:val="20"/>
                <w:szCs w:val="20"/>
              </w:rPr>
              <w:t>2016 год</w:t>
            </w:r>
          </w:p>
        </w:tc>
        <w:tc>
          <w:tcPr>
            <w:tcW w:w="766" w:type="dxa"/>
            <w:tcBorders/>
            <w:shd w:fill="auto" w:val="clear"/>
            <w:tcMar>
              <w:left w:w="108" w:type="dxa"/>
            </w:tcMar>
          </w:tcPr>
          <w:p>
            <w:pPr>
              <w:pStyle w:val="Normal"/>
              <w:spacing w:lineRule="auto" w:line="240" w:before="0" w:after="0"/>
              <w:jc w:val="center"/>
              <w:rPr>
                <w:rFonts w:ascii="Times New Roman" w:hAnsi="Times New Roman" w:eastAsia="Symbol" w:cs="Times New Roman"/>
                <w:b/>
                <w:b/>
                <w:color w:val="000000"/>
                <w:sz w:val="20"/>
                <w:szCs w:val="20"/>
              </w:rPr>
            </w:pPr>
            <w:r>
              <w:rPr>
                <w:rFonts w:eastAsia="Symbol" w:cs="Times New Roman" w:ascii="Times New Roman" w:hAnsi="Times New Roman"/>
                <w:b/>
                <w:color w:val="000000"/>
                <w:sz w:val="20"/>
                <w:szCs w:val="20"/>
              </w:rPr>
              <w:t>2017 год</w:t>
            </w:r>
          </w:p>
        </w:tc>
        <w:tc>
          <w:tcPr>
            <w:tcW w:w="762" w:type="dxa"/>
            <w:tcBorders/>
            <w:shd w:fill="auto" w:val="clear"/>
            <w:tcMar>
              <w:left w:w="108" w:type="dxa"/>
            </w:tcMar>
          </w:tcPr>
          <w:p>
            <w:pPr>
              <w:pStyle w:val="Normal"/>
              <w:spacing w:lineRule="auto" w:line="240" w:before="0" w:after="0"/>
              <w:jc w:val="center"/>
              <w:rPr>
                <w:rFonts w:ascii="Times New Roman" w:hAnsi="Times New Roman" w:eastAsia="Symbol" w:cs="Times New Roman"/>
                <w:b/>
                <w:b/>
                <w:color w:val="000000"/>
                <w:sz w:val="20"/>
                <w:szCs w:val="20"/>
              </w:rPr>
            </w:pPr>
            <w:r>
              <w:rPr>
                <w:rFonts w:eastAsia="Symbol" w:cs="Times New Roman" w:ascii="Times New Roman" w:hAnsi="Times New Roman"/>
                <w:b/>
                <w:color w:val="000000"/>
                <w:sz w:val="20"/>
                <w:szCs w:val="20"/>
              </w:rPr>
              <w:t>2018 год</w:t>
            </w:r>
          </w:p>
        </w:tc>
      </w:tr>
      <w:tr>
        <w:trPr/>
        <w:tc>
          <w:tcPr>
            <w:tcW w:w="2972" w:type="dxa"/>
            <w:tcBorders/>
            <w:shd w:fill="auto" w:val="clear"/>
            <w:tcMar>
              <w:left w:w="108" w:type="dxa"/>
            </w:tcMar>
            <w:vAlign w:val="center"/>
          </w:tcPr>
          <w:p>
            <w:pPr>
              <w:pStyle w:val="Normal"/>
              <w:spacing w:lineRule="auto" w:line="240" w:before="0" w:after="0"/>
              <w:jc w:val="center"/>
              <w:rPr>
                <w:rFonts w:ascii="Times New Roman" w:hAnsi="Times New Roman" w:eastAsia="Symbol" w:cs="Times New Roman"/>
                <w:color w:val="000000"/>
                <w:sz w:val="20"/>
                <w:szCs w:val="20"/>
              </w:rPr>
            </w:pPr>
            <w:r>
              <w:rPr>
                <w:rFonts w:eastAsia="Symbol" w:cs="Times New Roman" w:ascii="Times New Roman" w:hAnsi="Times New Roman"/>
                <w:color w:val="000000"/>
                <w:sz w:val="20"/>
                <w:szCs w:val="20"/>
              </w:rPr>
              <w:t>Численность населения города-курорта Железноводска</w:t>
            </w:r>
          </w:p>
        </w:tc>
        <w:tc>
          <w:tcPr>
            <w:tcW w:w="1295" w:type="dxa"/>
            <w:tcBorders/>
            <w:shd w:fill="auto" w:val="clear"/>
            <w:tcMar>
              <w:left w:w="108" w:type="dxa"/>
            </w:tcMar>
            <w:vAlign w:val="center"/>
          </w:tcPr>
          <w:p>
            <w:pPr>
              <w:pStyle w:val="Normal"/>
              <w:spacing w:lineRule="auto" w:line="240" w:before="0" w:after="0"/>
              <w:jc w:val="center"/>
              <w:rPr>
                <w:rFonts w:ascii="Times New Roman" w:hAnsi="Times New Roman" w:eastAsia="Symbol" w:cs="Times New Roman"/>
                <w:color w:val="000000"/>
                <w:sz w:val="20"/>
                <w:szCs w:val="20"/>
              </w:rPr>
            </w:pPr>
            <w:r>
              <w:rPr>
                <w:rFonts w:eastAsia="Symbol" w:cs="Times New Roman" w:ascii="Times New Roman" w:hAnsi="Times New Roman"/>
                <w:color w:val="000000"/>
                <w:sz w:val="20"/>
                <w:szCs w:val="20"/>
              </w:rPr>
              <w:t>тыс. человек</w:t>
            </w:r>
          </w:p>
        </w:tc>
        <w:tc>
          <w:tcPr>
            <w:tcW w:w="766" w:type="dxa"/>
            <w:tcBorders/>
            <w:shd w:fill="auto" w:val="clear"/>
            <w:tcMar>
              <w:left w:w="108" w:type="dxa"/>
            </w:tcMar>
            <w:vAlign w:val="center"/>
          </w:tcPr>
          <w:p>
            <w:pPr>
              <w:pStyle w:val="Normal"/>
              <w:spacing w:lineRule="auto" w:line="240" w:before="0" w:after="0"/>
              <w:jc w:val="center"/>
              <w:rPr>
                <w:rFonts w:ascii="Times New Roman" w:hAnsi="Times New Roman" w:eastAsia="Symbol" w:cs="Times New Roman"/>
                <w:color w:val="000000"/>
                <w:sz w:val="20"/>
                <w:szCs w:val="20"/>
              </w:rPr>
            </w:pPr>
            <w:r>
              <w:rPr>
                <w:rFonts w:eastAsia="Symbol" w:cs="Times New Roman" w:ascii="Times New Roman" w:hAnsi="Times New Roman"/>
                <w:color w:val="000000"/>
                <w:sz w:val="20"/>
                <w:szCs w:val="20"/>
              </w:rPr>
              <w:t>52,0</w:t>
            </w:r>
          </w:p>
        </w:tc>
        <w:tc>
          <w:tcPr>
            <w:tcW w:w="766" w:type="dxa"/>
            <w:tcBorders/>
            <w:shd w:fill="auto" w:val="clear"/>
            <w:tcMar>
              <w:left w:w="108" w:type="dxa"/>
            </w:tcMar>
            <w:vAlign w:val="center"/>
          </w:tcPr>
          <w:p>
            <w:pPr>
              <w:pStyle w:val="Normal"/>
              <w:spacing w:lineRule="auto" w:line="240" w:before="0" w:after="0"/>
              <w:jc w:val="center"/>
              <w:rPr>
                <w:rFonts w:ascii="Times New Roman" w:hAnsi="Times New Roman" w:eastAsia="Symbol" w:cs="Times New Roman"/>
                <w:color w:val="000000"/>
                <w:sz w:val="20"/>
                <w:szCs w:val="20"/>
              </w:rPr>
            </w:pPr>
            <w:r>
              <w:rPr>
                <w:rFonts w:eastAsia="Symbol" w:cs="Times New Roman" w:ascii="Times New Roman" w:hAnsi="Times New Roman"/>
                <w:color w:val="000000"/>
                <w:sz w:val="20"/>
                <w:szCs w:val="20"/>
              </w:rPr>
              <w:t>52,6</w:t>
            </w:r>
          </w:p>
        </w:tc>
        <w:tc>
          <w:tcPr>
            <w:tcW w:w="767" w:type="dxa"/>
            <w:tcBorders/>
            <w:shd w:fill="auto" w:val="clear"/>
            <w:tcMar>
              <w:left w:w="108" w:type="dxa"/>
            </w:tcMar>
            <w:vAlign w:val="center"/>
          </w:tcPr>
          <w:p>
            <w:pPr>
              <w:pStyle w:val="Normal"/>
              <w:spacing w:lineRule="auto" w:line="240" w:before="0" w:after="0"/>
              <w:jc w:val="center"/>
              <w:rPr>
                <w:rFonts w:ascii="Times New Roman" w:hAnsi="Times New Roman" w:eastAsia="Symbol" w:cs="Times New Roman"/>
                <w:color w:val="000000"/>
                <w:sz w:val="20"/>
                <w:szCs w:val="20"/>
              </w:rPr>
            </w:pPr>
            <w:r>
              <w:rPr>
                <w:rFonts w:eastAsia="Symbol" w:cs="Times New Roman" w:ascii="Times New Roman" w:hAnsi="Times New Roman"/>
                <w:color w:val="000000"/>
                <w:sz w:val="20"/>
                <w:szCs w:val="20"/>
              </w:rPr>
              <w:t>52,8</w:t>
            </w:r>
          </w:p>
        </w:tc>
        <w:tc>
          <w:tcPr>
            <w:tcW w:w="766" w:type="dxa"/>
            <w:tcBorders/>
            <w:shd w:fill="auto" w:val="clear"/>
            <w:tcMar>
              <w:left w:w="108" w:type="dxa"/>
            </w:tcMar>
            <w:vAlign w:val="center"/>
          </w:tcPr>
          <w:p>
            <w:pPr>
              <w:pStyle w:val="Normal"/>
              <w:spacing w:lineRule="auto" w:line="240" w:before="0" w:after="0"/>
              <w:jc w:val="center"/>
              <w:rPr>
                <w:rFonts w:ascii="Times New Roman" w:hAnsi="Times New Roman" w:eastAsia="Symbol" w:cs="Times New Roman"/>
                <w:color w:val="000000"/>
                <w:sz w:val="20"/>
                <w:szCs w:val="20"/>
              </w:rPr>
            </w:pPr>
            <w:r>
              <w:rPr>
                <w:rFonts w:eastAsia="Symbol" w:cs="Times New Roman" w:ascii="Times New Roman" w:hAnsi="Times New Roman"/>
                <w:color w:val="000000"/>
                <w:sz w:val="20"/>
                <w:szCs w:val="20"/>
              </w:rPr>
              <w:t>52,8</w:t>
            </w:r>
          </w:p>
        </w:tc>
        <w:tc>
          <w:tcPr>
            <w:tcW w:w="767" w:type="dxa"/>
            <w:tcBorders/>
            <w:shd w:fill="auto" w:val="clear"/>
            <w:tcMar>
              <w:left w:w="108" w:type="dxa"/>
            </w:tcMar>
            <w:vAlign w:val="center"/>
          </w:tcPr>
          <w:p>
            <w:pPr>
              <w:pStyle w:val="Normal"/>
              <w:spacing w:lineRule="auto" w:line="240" w:before="0" w:after="0"/>
              <w:jc w:val="center"/>
              <w:rPr>
                <w:rFonts w:ascii="Times New Roman" w:hAnsi="Times New Roman" w:eastAsia="Symbol" w:cs="Times New Roman"/>
                <w:color w:val="000000"/>
                <w:sz w:val="20"/>
                <w:szCs w:val="20"/>
              </w:rPr>
            </w:pPr>
            <w:r>
              <w:rPr>
                <w:rFonts w:eastAsia="Symbol" w:cs="Times New Roman" w:ascii="Times New Roman" w:hAnsi="Times New Roman"/>
                <w:color w:val="000000"/>
                <w:sz w:val="20"/>
                <w:szCs w:val="20"/>
              </w:rPr>
              <w:t>52,7</w:t>
            </w:r>
          </w:p>
        </w:tc>
        <w:tc>
          <w:tcPr>
            <w:tcW w:w="766" w:type="dxa"/>
            <w:tcBorders/>
            <w:shd w:fill="auto" w:val="clear"/>
            <w:tcMar>
              <w:left w:w="108" w:type="dxa"/>
            </w:tcMar>
            <w:vAlign w:val="center"/>
          </w:tcPr>
          <w:p>
            <w:pPr>
              <w:pStyle w:val="Normal"/>
              <w:spacing w:lineRule="auto" w:line="240" w:before="0" w:after="0"/>
              <w:jc w:val="center"/>
              <w:rPr>
                <w:rFonts w:ascii="Times New Roman" w:hAnsi="Times New Roman" w:eastAsia="Symbol" w:cs="Times New Roman"/>
                <w:color w:val="000000"/>
                <w:sz w:val="20"/>
                <w:szCs w:val="20"/>
              </w:rPr>
            </w:pPr>
            <w:r>
              <w:rPr>
                <w:rFonts w:eastAsia="Symbol" w:cs="Times New Roman" w:ascii="Times New Roman" w:hAnsi="Times New Roman"/>
                <w:color w:val="000000"/>
                <w:sz w:val="20"/>
                <w:szCs w:val="20"/>
              </w:rPr>
              <w:t>52,5</w:t>
            </w:r>
          </w:p>
        </w:tc>
        <w:tc>
          <w:tcPr>
            <w:tcW w:w="762" w:type="dxa"/>
            <w:tcBorders/>
            <w:shd w:fill="auto" w:val="clear"/>
            <w:tcMar>
              <w:left w:w="108" w:type="dxa"/>
            </w:tcMar>
            <w:vAlign w:val="center"/>
          </w:tcPr>
          <w:p>
            <w:pPr>
              <w:pStyle w:val="Normal"/>
              <w:spacing w:lineRule="auto" w:line="240" w:before="0" w:after="0"/>
              <w:jc w:val="center"/>
              <w:rPr>
                <w:rFonts w:ascii="Times New Roman" w:hAnsi="Times New Roman" w:eastAsia="Symbol" w:cs="Times New Roman"/>
                <w:color w:val="000000"/>
                <w:sz w:val="20"/>
                <w:szCs w:val="20"/>
              </w:rPr>
            </w:pPr>
            <w:r>
              <w:rPr>
                <w:rFonts w:eastAsia="Symbol" w:cs="Times New Roman" w:ascii="Times New Roman" w:hAnsi="Times New Roman"/>
                <w:color w:val="000000"/>
                <w:sz w:val="20"/>
                <w:szCs w:val="20"/>
              </w:rPr>
              <w:t>52,7</w:t>
            </w:r>
          </w:p>
        </w:tc>
      </w:tr>
      <w:tr>
        <w:trPr/>
        <w:tc>
          <w:tcPr>
            <w:tcW w:w="2972" w:type="dxa"/>
            <w:tcBorders/>
            <w:shd w:fill="auto" w:val="clear"/>
            <w:tcMar>
              <w:left w:w="108" w:type="dxa"/>
            </w:tcMar>
            <w:vAlign w:val="center"/>
          </w:tcPr>
          <w:p>
            <w:pPr>
              <w:pStyle w:val="Normal"/>
              <w:spacing w:lineRule="auto" w:line="240" w:before="0" w:after="0"/>
              <w:jc w:val="center"/>
              <w:rPr>
                <w:rFonts w:ascii="Times New Roman" w:hAnsi="Times New Roman" w:eastAsia="Symbol" w:cs="Times New Roman"/>
                <w:color w:val="000000"/>
                <w:sz w:val="20"/>
                <w:szCs w:val="20"/>
              </w:rPr>
            </w:pPr>
            <w:r>
              <w:rPr>
                <w:rFonts w:eastAsia="Symbol" w:cs="Times New Roman" w:ascii="Times New Roman" w:hAnsi="Times New Roman"/>
                <w:color w:val="000000"/>
                <w:sz w:val="20"/>
                <w:szCs w:val="20"/>
              </w:rPr>
              <w:t>Численность населения городов-курортов КМВ</w:t>
            </w:r>
          </w:p>
        </w:tc>
        <w:tc>
          <w:tcPr>
            <w:tcW w:w="1295" w:type="dxa"/>
            <w:tcBorders/>
            <w:shd w:fill="auto" w:val="clear"/>
            <w:tcMar>
              <w:left w:w="108" w:type="dxa"/>
            </w:tcMar>
            <w:vAlign w:val="center"/>
          </w:tcPr>
          <w:p>
            <w:pPr>
              <w:pStyle w:val="Normal"/>
              <w:spacing w:lineRule="auto" w:line="240" w:before="0" w:after="0"/>
              <w:jc w:val="center"/>
              <w:rPr>
                <w:rFonts w:ascii="Times New Roman" w:hAnsi="Times New Roman" w:eastAsia="Symbol" w:cs="Times New Roman"/>
                <w:color w:val="000000"/>
                <w:sz w:val="20"/>
                <w:szCs w:val="20"/>
              </w:rPr>
            </w:pPr>
            <w:r>
              <w:rPr>
                <w:rFonts w:eastAsia="Symbol" w:cs="Times New Roman" w:ascii="Times New Roman" w:hAnsi="Times New Roman"/>
                <w:color w:val="000000"/>
                <w:sz w:val="20"/>
                <w:szCs w:val="20"/>
              </w:rPr>
              <w:t>тыс. человек</w:t>
            </w:r>
          </w:p>
        </w:tc>
        <w:tc>
          <w:tcPr>
            <w:tcW w:w="766" w:type="dxa"/>
            <w:tcBorders/>
            <w:shd w:fill="auto" w:val="clear"/>
            <w:tcMar>
              <w:left w:w="108" w:type="dxa"/>
            </w:tcMar>
            <w:vAlign w:val="center"/>
          </w:tcPr>
          <w:p>
            <w:pPr>
              <w:pStyle w:val="Normal"/>
              <w:spacing w:lineRule="auto" w:line="240" w:before="0" w:after="0"/>
              <w:jc w:val="center"/>
              <w:rPr>
                <w:rFonts w:ascii="Times New Roman" w:hAnsi="Times New Roman" w:eastAsia="Symbol" w:cs="Times New Roman"/>
                <w:color w:val="000000"/>
                <w:sz w:val="20"/>
                <w:szCs w:val="20"/>
              </w:rPr>
            </w:pPr>
            <w:r>
              <w:rPr>
                <w:rFonts w:eastAsia="Symbol" w:cs="Times New Roman" w:ascii="Times New Roman" w:hAnsi="Times New Roman"/>
                <w:color w:val="000000"/>
                <w:sz w:val="20"/>
                <w:szCs w:val="20"/>
              </w:rPr>
              <w:t>470,1</w:t>
            </w:r>
          </w:p>
        </w:tc>
        <w:tc>
          <w:tcPr>
            <w:tcW w:w="766" w:type="dxa"/>
            <w:tcBorders/>
            <w:shd w:fill="auto" w:val="clear"/>
            <w:tcMar>
              <w:left w:w="108" w:type="dxa"/>
            </w:tcMar>
            <w:vAlign w:val="center"/>
          </w:tcPr>
          <w:p>
            <w:pPr>
              <w:pStyle w:val="Normal"/>
              <w:spacing w:lineRule="auto" w:line="240" w:before="0" w:after="0"/>
              <w:jc w:val="center"/>
              <w:rPr>
                <w:rFonts w:ascii="Times New Roman" w:hAnsi="Times New Roman" w:eastAsia="Symbol" w:cs="Times New Roman"/>
                <w:color w:val="000000"/>
                <w:sz w:val="20"/>
                <w:szCs w:val="20"/>
              </w:rPr>
            </w:pPr>
            <w:r>
              <w:rPr>
                <w:rFonts w:eastAsia="Symbol" w:cs="Times New Roman" w:ascii="Times New Roman" w:hAnsi="Times New Roman"/>
                <w:color w:val="000000"/>
                <w:sz w:val="20"/>
                <w:szCs w:val="20"/>
              </w:rPr>
              <w:t>482,3</w:t>
            </w:r>
          </w:p>
        </w:tc>
        <w:tc>
          <w:tcPr>
            <w:tcW w:w="767" w:type="dxa"/>
            <w:tcBorders/>
            <w:shd w:fill="auto" w:val="clear"/>
            <w:tcMar>
              <w:left w:w="108" w:type="dxa"/>
            </w:tcMar>
            <w:vAlign w:val="center"/>
          </w:tcPr>
          <w:p>
            <w:pPr>
              <w:pStyle w:val="Normal"/>
              <w:spacing w:lineRule="auto" w:line="240" w:before="0" w:after="0"/>
              <w:jc w:val="center"/>
              <w:rPr>
                <w:rFonts w:ascii="Times New Roman" w:hAnsi="Times New Roman" w:eastAsia="Symbol" w:cs="Times New Roman"/>
                <w:color w:val="000000"/>
                <w:sz w:val="20"/>
                <w:szCs w:val="20"/>
              </w:rPr>
            </w:pPr>
            <w:r>
              <w:rPr>
                <w:rFonts w:eastAsia="Symbol" w:cs="Times New Roman" w:ascii="Times New Roman" w:hAnsi="Times New Roman"/>
                <w:color w:val="000000"/>
                <w:sz w:val="20"/>
                <w:szCs w:val="20"/>
              </w:rPr>
              <w:t>500,4</w:t>
            </w:r>
          </w:p>
        </w:tc>
        <w:tc>
          <w:tcPr>
            <w:tcW w:w="766" w:type="dxa"/>
            <w:tcBorders/>
            <w:shd w:fill="auto" w:val="clear"/>
            <w:tcMar>
              <w:left w:w="108" w:type="dxa"/>
            </w:tcMar>
            <w:vAlign w:val="center"/>
          </w:tcPr>
          <w:p>
            <w:pPr>
              <w:pStyle w:val="Normal"/>
              <w:spacing w:lineRule="auto" w:line="240" w:before="0" w:after="0"/>
              <w:jc w:val="center"/>
              <w:rPr>
                <w:rFonts w:ascii="Times New Roman" w:hAnsi="Times New Roman" w:eastAsia="Symbol" w:cs="Times New Roman"/>
                <w:color w:val="000000"/>
                <w:sz w:val="20"/>
                <w:szCs w:val="20"/>
              </w:rPr>
            </w:pPr>
            <w:r>
              <w:rPr>
                <w:rFonts w:eastAsia="Symbol" w:cs="Times New Roman" w:ascii="Times New Roman" w:hAnsi="Times New Roman"/>
                <w:color w:val="000000"/>
                <w:sz w:val="20"/>
                <w:szCs w:val="20"/>
              </w:rPr>
              <w:t>508,9</w:t>
            </w:r>
          </w:p>
        </w:tc>
        <w:tc>
          <w:tcPr>
            <w:tcW w:w="767" w:type="dxa"/>
            <w:tcBorders/>
            <w:shd w:fill="auto" w:val="clear"/>
            <w:tcMar>
              <w:left w:w="108" w:type="dxa"/>
            </w:tcMar>
            <w:vAlign w:val="center"/>
          </w:tcPr>
          <w:p>
            <w:pPr>
              <w:pStyle w:val="Normal"/>
              <w:spacing w:lineRule="auto" w:line="240" w:before="0" w:after="0"/>
              <w:jc w:val="center"/>
              <w:rPr>
                <w:rFonts w:ascii="Times New Roman" w:hAnsi="Times New Roman" w:eastAsia="Symbol" w:cs="Times New Roman"/>
                <w:color w:val="000000"/>
                <w:sz w:val="20"/>
                <w:szCs w:val="20"/>
              </w:rPr>
            </w:pPr>
            <w:r>
              <w:rPr>
                <w:rFonts w:eastAsia="Symbol" w:cs="Times New Roman" w:ascii="Times New Roman" w:hAnsi="Times New Roman"/>
                <w:color w:val="000000"/>
                <w:sz w:val="20"/>
                <w:szCs w:val="20"/>
              </w:rPr>
              <w:t>510,2</w:t>
            </w:r>
          </w:p>
        </w:tc>
        <w:tc>
          <w:tcPr>
            <w:tcW w:w="766" w:type="dxa"/>
            <w:tcBorders/>
            <w:shd w:fill="auto" w:val="clear"/>
            <w:tcMar>
              <w:left w:w="108" w:type="dxa"/>
            </w:tcMar>
            <w:vAlign w:val="center"/>
          </w:tcPr>
          <w:p>
            <w:pPr>
              <w:pStyle w:val="Normal"/>
              <w:spacing w:lineRule="auto" w:line="240" w:before="0" w:after="0"/>
              <w:jc w:val="center"/>
              <w:rPr>
                <w:rFonts w:ascii="Times New Roman" w:hAnsi="Times New Roman" w:eastAsia="Symbol" w:cs="Times New Roman"/>
                <w:color w:val="000000"/>
                <w:sz w:val="20"/>
                <w:szCs w:val="20"/>
              </w:rPr>
            </w:pPr>
            <w:r>
              <w:rPr>
                <w:rFonts w:eastAsia="Symbol" w:cs="Times New Roman" w:ascii="Times New Roman" w:hAnsi="Times New Roman"/>
                <w:color w:val="000000"/>
                <w:sz w:val="20"/>
                <w:szCs w:val="20"/>
              </w:rPr>
              <w:t>511,4</w:t>
            </w:r>
          </w:p>
        </w:tc>
        <w:tc>
          <w:tcPr>
            <w:tcW w:w="762" w:type="dxa"/>
            <w:tcBorders/>
            <w:shd w:fill="auto" w:val="clear"/>
            <w:tcMar>
              <w:left w:w="108" w:type="dxa"/>
            </w:tcMar>
            <w:vAlign w:val="center"/>
          </w:tcPr>
          <w:p>
            <w:pPr>
              <w:pStyle w:val="Normal"/>
              <w:spacing w:lineRule="auto" w:line="240" w:before="0" w:after="0"/>
              <w:jc w:val="center"/>
              <w:rPr>
                <w:rFonts w:ascii="Times New Roman" w:hAnsi="Times New Roman" w:eastAsia="Symbol" w:cs="Times New Roman"/>
                <w:color w:val="000000"/>
                <w:sz w:val="20"/>
                <w:szCs w:val="20"/>
              </w:rPr>
            </w:pPr>
            <w:r>
              <w:rPr>
                <w:rFonts w:eastAsia="Symbol" w:cs="Times New Roman" w:ascii="Times New Roman" w:hAnsi="Times New Roman"/>
                <w:color w:val="000000"/>
                <w:sz w:val="20"/>
                <w:szCs w:val="20"/>
              </w:rPr>
              <w:t>513,1</w:t>
            </w:r>
          </w:p>
        </w:tc>
      </w:tr>
      <w:tr>
        <w:trPr>
          <w:trHeight w:val="320" w:hRule="atLeast"/>
        </w:trPr>
        <w:tc>
          <w:tcPr>
            <w:tcW w:w="2972" w:type="dxa"/>
            <w:tcBorders/>
            <w:shd w:fill="auto" w:val="clear"/>
            <w:tcMar>
              <w:left w:w="108" w:type="dxa"/>
            </w:tcMar>
            <w:vAlign w:val="center"/>
          </w:tcPr>
          <w:p>
            <w:pPr>
              <w:pStyle w:val="Normal"/>
              <w:spacing w:lineRule="auto" w:line="240" w:before="0" w:after="0"/>
              <w:jc w:val="center"/>
              <w:rPr>
                <w:rFonts w:ascii="Times New Roman" w:hAnsi="Times New Roman" w:eastAsia="Symbol" w:cs="Times New Roman"/>
                <w:color w:val="000000"/>
                <w:sz w:val="20"/>
                <w:szCs w:val="20"/>
              </w:rPr>
            </w:pPr>
            <w:r>
              <w:rPr>
                <w:rFonts w:eastAsia="Symbol" w:cs="Times New Roman" w:ascii="Times New Roman" w:hAnsi="Times New Roman"/>
                <w:color w:val="000000"/>
                <w:sz w:val="20"/>
                <w:szCs w:val="20"/>
              </w:rPr>
              <w:t>Численность населения Ставропольского края</w:t>
            </w:r>
          </w:p>
        </w:tc>
        <w:tc>
          <w:tcPr>
            <w:tcW w:w="1295" w:type="dxa"/>
            <w:tcBorders/>
            <w:shd w:fill="auto" w:val="clear"/>
            <w:tcMar>
              <w:left w:w="108" w:type="dxa"/>
            </w:tcMar>
            <w:vAlign w:val="center"/>
          </w:tcPr>
          <w:p>
            <w:pPr>
              <w:pStyle w:val="Normal"/>
              <w:spacing w:lineRule="auto" w:line="240" w:before="0" w:after="0"/>
              <w:jc w:val="center"/>
              <w:rPr>
                <w:rFonts w:ascii="Times New Roman" w:hAnsi="Times New Roman" w:eastAsia="Symbol" w:cs="Times New Roman"/>
                <w:color w:val="000000"/>
                <w:sz w:val="20"/>
                <w:szCs w:val="20"/>
              </w:rPr>
            </w:pPr>
            <w:r>
              <w:rPr>
                <w:rFonts w:eastAsia="Symbol" w:cs="Times New Roman" w:ascii="Times New Roman" w:hAnsi="Times New Roman"/>
                <w:color w:val="000000"/>
                <w:sz w:val="20"/>
                <w:szCs w:val="20"/>
              </w:rPr>
              <w:t>тыс. человек</w:t>
            </w:r>
          </w:p>
        </w:tc>
        <w:tc>
          <w:tcPr>
            <w:tcW w:w="766" w:type="dxa"/>
            <w:tcBorders/>
            <w:shd w:fill="auto" w:val="clear"/>
            <w:tcMar>
              <w:left w:w="108" w:type="dxa"/>
            </w:tcMar>
            <w:vAlign w:val="center"/>
          </w:tcPr>
          <w:p>
            <w:pPr>
              <w:pStyle w:val="Normal"/>
              <w:spacing w:lineRule="auto" w:line="240" w:before="0" w:after="0"/>
              <w:jc w:val="center"/>
              <w:rPr>
                <w:rFonts w:ascii="Times New Roman" w:hAnsi="Times New Roman" w:eastAsia="Symbol" w:cs="Times New Roman"/>
                <w:color w:val="000000"/>
                <w:sz w:val="20"/>
                <w:szCs w:val="20"/>
              </w:rPr>
            </w:pPr>
            <w:r>
              <w:rPr>
                <w:rFonts w:eastAsia="Symbol" w:cs="Times New Roman" w:ascii="Times New Roman" w:hAnsi="Times New Roman"/>
                <w:color w:val="000000"/>
                <w:sz w:val="20"/>
                <w:szCs w:val="20"/>
              </w:rPr>
              <w:t>2740,9</w:t>
            </w:r>
          </w:p>
        </w:tc>
        <w:tc>
          <w:tcPr>
            <w:tcW w:w="766" w:type="dxa"/>
            <w:tcBorders/>
            <w:shd w:fill="auto" w:val="clear"/>
            <w:tcMar>
              <w:left w:w="108" w:type="dxa"/>
            </w:tcMar>
            <w:vAlign w:val="center"/>
          </w:tcPr>
          <w:p>
            <w:pPr>
              <w:pStyle w:val="Normal"/>
              <w:spacing w:lineRule="auto" w:line="240" w:before="0" w:after="0"/>
              <w:jc w:val="center"/>
              <w:rPr>
                <w:rFonts w:ascii="Times New Roman" w:hAnsi="Times New Roman" w:eastAsia="Symbol" w:cs="Times New Roman"/>
                <w:color w:val="000000"/>
                <w:sz w:val="20"/>
                <w:szCs w:val="20"/>
              </w:rPr>
            </w:pPr>
            <w:r>
              <w:rPr>
                <w:rFonts w:eastAsia="Symbol" w:cs="Times New Roman" w:ascii="Times New Roman" w:hAnsi="Times New Roman"/>
                <w:color w:val="000000"/>
                <w:sz w:val="20"/>
                <w:szCs w:val="20"/>
              </w:rPr>
              <w:t>2710,3</w:t>
            </w:r>
          </w:p>
        </w:tc>
        <w:tc>
          <w:tcPr>
            <w:tcW w:w="767" w:type="dxa"/>
            <w:tcBorders/>
            <w:shd w:fill="auto" w:val="clear"/>
            <w:tcMar>
              <w:left w:w="108" w:type="dxa"/>
            </w:tcMar>
            <w:vAlign w:val="center"/>
          </w:tcPr>
          <w:p>
            <w:pPr>
              <w:pStyle w:val="Normal"/>
              <w:spacing w:lineRule="auto" w:line="240" w:before="0" w:after="0"/>
              <w:jc w:val="center"/>
              <w:rPr>
                <w:rFonts w:ascii="Times New Roman" w:hAnsi="Times New Roman" w:eastAsia="Symbol" w:cs="Times New Roman"/>
                <w:color w:val="000000"/>
                <w:sz w:val="20"/>
                <w:szCs w:val="20"/>
              </w:rPr>
            </w:pPr>
            <w:r>
              <w:rPr>
                <w:rFonts w:eastAsia="Symbol" w:cs="Times New Roman" w:ascii="Times New Roman" w:hAnsi="Times New Roman"/>
                <w:color w:val="000000"/>
                <w:sz w:val="20"/>
                <w:szCs w:val="20"/>
              </w:rPr>
              <w:t>2785,5</w:t>
            </w:r>
          </w:p>
        </w:tc>
        <w:tc>
          <w:tcPr>
            <w:tcW w:w="766" w:type="dxa"/>
            <w:tcBorders/>
            <w:shd w:fill="auto" w:val="clear"/>
            <w:tcMar>
              <w:left w:w="108" w:type="dxa"/>
            </w:tcMar>
            <w:vAlign w:val="center"/>
          </w:tcPr>
          <w:p>
            <w:pPr>
              <w:pStyle w:val="Normal"/>
              <w:spacing w:lineRule="auto" w:line="240" w:before="0" w:after="0"/>
              <w:jc w:val="center"/>
              <w:rPr>
                <w:rFonts w:ascii="Times New Roman" w:hAnsi="Times New Roman" w:eastAsia="Symbol" w:cs="Times New Roman"/>
                <w:color w:val="000000"/>
                <w:sz w:val="20"/>
                <w:szCs w:val="20"/>
              </w:rPr>
            </w:pPr>
            <w:r>
              <w:rPr>
                <w:rFonts w:eastAsia="Symbol" w:cs="Times New Roman" w:ascii="Times New Roman" w:hAnsi="Times New Roman"/>
                <w:color w:val="000000"/>
                <w:sz w:val="20"/>
                <w:szCs w:val="20"/>
              </w:rPr>
              <w:t>2801,6</w:t>
            </w:r>
          </w:p>
        </w:tc>
        <w:tc>
          <w:tcPr>
            <w:tcW w:w="767" w:type="dxa"/>
            <w:tcBorders/>
            <w:shd w:fill="auto" w:val="clear"/>
            <w:tcMar>
              <w:left w:w="108" w:type="dxa"/>
            </w:tcMar>
            <w:vAlign w:val="center"/>
          </w:tcPr>
          <w:p>
            <w:pPr>
              <w:pStyle w:val="Normal"/>
              <w:spacing w:lineRule="auto" w:line="240" w:before="0" w:after="0"/>
              <w:jc w:val="center"/>
              <w:rPr>
                <w:rFonts w:ascii="Times New Roman" w:hAnsi="Times New Roman" w:eastAsia="Symbol" w:cs="Times New Roman"/>
                <w:color w:val="000000"/>
                <w:sz w:val="20"/>
                <w:szCs w:val="20"/>
              </w:rPr>
            </w:pPr>
            <w:r>
              <w:rPr>
                <w:rFonts w:eastAsia="Symbol" w:cs="Times New Roman" w:ascii="Times New Roman" w:hAnsi="Times New Roman"/>
                <w:color w:val="000000"/>
                <w:sz w:val="20"/>
                <w:szCs w:val="20"/>
              </w:rPr>
              <w:t>2804,4</w:t>
            </w:r>
          </w:p>
        </w:tc>
        <w:tc>
          <w:tcPr>
            <w:tcW w:w="766" w:type="dxa"/>
            <w:tcBorders/>
            <w:shd w:fill="auto" w:val="clear"/>
            <w:tcMar>
              <w:left w:w="108" w:type="dxa"/>
            </w:tcMar>
            <w:vAlign w:val="center"/>
          </w:tcPr>
          <w:p>
            <w:pPr>
              <w:pStyle w:val="Normal"/>
              <w:spacing w:lineRule="auto" w:line="240" w:before="0" w:after="0"/>
              <w:jc w:val="center"/>
              <w:rPr>
                <w:rFonts w:ascii="Times New Roman" w:hAnsi="Times New Roman" w:eastAsia="Symbol" w:cs="Times New Roman"/>
                <w:color w:val="000000"/>
                <w:sz w:val="20"/>
                <w:szCs w:val="20"/>
              </w:rPr>
            </w:pPr>
            <w:r>
              <w:rPr>
                <w:rFonts w:eastAsia="Symbol" w:cs="Times New Roman" w:ascii="Times New Roman" w:hAnsi="Times New Roman"/>
                <w:color w:val="000000"/>
                <w:sz w:val="20"/>
                <w:szCs w:val="20"/>
              </w:rPr>
              <w:t>2800,7</w:t>
            </w:r>
          </w:p>
        </w:tc>
        <w:tc>
          <w:tcPr>
            <w:tcW w:w="762" w:type="dxa"/>
            <w:tcBorders/>
            <w:shd w:fill="auto" w:val="clear"/>
            <w:tcMar>
              <w:left w:w="108" w:type="dxa"/>
            </w:tcMar>
            <w:vAlign w:val="center"/>
          </w:tcPr>
          <w:p>
            <w:pPr>
              <w:pStyle w:val="Normal"/>
              <w:spacing w:lineRule="auto" w:line="240" w:before="0" w:after="0"/>
              <w:jc w:val="center"/>
              <w:rPr>
                <w:rFonts w:ascii="Times New Roman" w:hAnsi="Times New Roman" w:eastAsia="Symbol" w:cs="Times New Roman"/>
                <w:color w:val="000000"/>
                <w:sz w:val="20"/>
                <w:szCs w:val="20"/>
              </w:rPr>
            </w:pPr>
            <w:r>
              <w:rPr>
                <w:rFonts w:eastAsia="Symbol" w:cs="Times New Roman" w:ascii="Times New Roman" w:hAnsi="Times New Roman"/>
                <w:color w:val="000000"/>
                <w:sz w:val="20"/>
                <w:szCs w:val="20"/>
              </w:rPr>
              <w:t>2795,1</w:t>
            </w:r>
          </w:p>
        </w:tc>
      </w:tr>
    </w:tbl>
    <w:p>
      <w:pPr>
        <w:pStyle w:val="Normal"/>
        <w:spacing w:lineRule="auto" w:line="240" w:before="0" w:after="0"/>
        <w:ind w:firstLine="709"/>
        <w:jc w:val="both"/>
        <w:rPr>
          <w:rFonts w:ascii="Times New Roman" w:hAnsi="Times New Roman" w:eastAsia="Symbol" w:cs="Times New Roman"/>
          <w:color w:val="000000"/>
          <w:sz w:val="28"/>
          <w:szCs w:val="28"/>
        </w:rPr>
      </w:pPr>
      <w:r>
        <w:rPr>
          <w:rFonts w:eastAsia="Symbol" w:cs="Times New Roman" w:ascii="Times New Roman" w:hAnsi="Times New Roman"/>
          <w:color w:val="000000"/>
          <w:sz w:val="28"/>
          <w:szCs w:val="28"/>
        </w:rPr>
      </w:r>
    </w:p>
    <w:p>
      <w:pPr>
        <w:pStyle w:val="Standard"/>
        <w:rPr>
          <w:sz w:val="28"/>
          <w:szCs w:val="28"/>
        </w:rPr>
      </w:pPr>
      <w:r>
        <w:rPr>
          <w:rFonts w:eastAsia="Symbol"/>
          <w:color w:val="000000"/>
          <w:sz w:val="28"/>
          <w:szCs w:val="28"/>
        </w:rPr>
        <w:t>Как по России и Ставропольскому краю в целом, так и в городе Железноводске отмечается процесс депопуляции населения.</w:t>
      </w:r>
      <w:r>
        <w:rPr>
          <w:sz w:val="28"/>
          <w:szCs w:val="28"/>
        </w:rPr>
        <w:t xml:space="preserve"> В 2015 и 2016 годах коэффициент рождаемости превышал коэффициент смертности, однако в 2017 – 2018 гг. наблюдалась противоположная ситуация (рис. 7). </w:t>
      </w:r>
    </w:p>
    <w:p>
      <w:pPr>
        <w:pStyle w:val="Standard"/>
        <w:rPr>
          <w:rFonts w:eastAsia="Symbol"/>
          <w:color w:val="000000"/>
          <w:sz w:val="28"/>
          <w:szCs w:val="28"/>
        </w:rPr>
      </w:pPr>
      <w:r>
        <w:rPr>
          <w:rFonts w:eastAsia="Symbol"/>
          <w:color w:val="000000"/>
          <w:sz w:val="28"/>
          <w:szCs w:val="28"/>
        </w:rPr>
        <w:t>В 2018 г. в городе родилось 565 чел., умерло 692 чел. Таким образом, естественная убыль населения составила 127 чел. В расчете на 1000 человек населения в 2018 г. родившихся 10,8 чел., умерших – 13,2 чел., естественная убыль населения составляет 2,4 чел.</w:t>
      </w:r>
    </w:p>
    <w:p>
      <w:pPr>
        <w:pStyle w:val="Standard"/>
        <w:rPr/>
      </w:pPr>
      <w:r>
        <w:rPr/>
      </w:r>
    </w:p>
    <w:p>
      <w:pPr>
        <w:pStyle w:val="Normal"/>
        <w:spacing w:lineRule="auto" w:line="240" w:before="0" w:after="0"/>
        <w:ind w:firstLine="284"/>
        <w:jc w:val="both"/>
        <w:rPr>
          <w:rFonts w:ascii="Times New Roman" w:hAnsi="Times New Roman" w:eastAsia="Symbol" w:cs="Times New Roman"/>
          <w:color w:val="000000"/>
          <w:sz w:val="28"/>
          <w:szCs w:val="28"/>
        </w:rPr>
      </w:pPr>
      <w:r>
        <w:rPr/>
        <w:drawing>
          <wp:inline distT="0" distB="0" distL="0" distR="0">
            <wp:extent cx="5934075" cy="2600325"/>
            <wp:effectExtent l="0" t="0" r="0" b="0"/>
            <wp:docPr id="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pStyle w:val="Standard"/>
        <w:jc w:val="center"/>
        <w:rPr>
          <w:b/>
          <w:b/>
          <w:szCs w:val="28"/>
        </w:rPr>
      </w:pPr>
      <w:r>
        <w:rPr>
          <w:b/>
          <w:szCs w:val="28"/>
        </w:rPr>
        <w:t>Рис. 7 – Динамика коэффициентов рождаемости и смертности в городе-курорте Железноводске в 2015-2018 годах</w:t>
      </w:r>
    </w:p>
    <w:p>
      <w:pPr>
        <w:pStyle w:val="Standard"/>
        <w:rPr>
          <w:sz w:val="28"/>
          <w:szCs w:val="28"/>
        </w:rPr>
      </w:pPr>
      <w:r>
        <w:rPr>
          <w:rFonts w:eastAsia="Symbol"/>
          <w:sz w:val="28"/>
          <w:szCs w:val="28"/>
        </w:rPr>
        <w:t xml:space="preserve">Коэффициент рождаемости населения в городе-курорте Железноводске в 2015 – 2018 году сократился с 14,7 % до 10,8 %. Рисунок 8 </w:t>
      </w:r>
      <w:r>
        <w:rPr>
          <w:sz w:val="28"/>
          <w:szCs w:val="28"/>
        </w:rPr>
        <w:t>показывает, что город Железноводск отражает общероссийскую и краевую тенденцию сокращения рождаемости. В рассматриваемом периоде уровень рождаемости в городе был выше чем в крае и стране в целом.</w:t>
      </w:r>
    </w:p>
    <w:p>
      <w:pPr>
        <w:pStyle w:val="Normal"/>
        <w:spacing w:lineRule="auto" w:line="240" w:before="0" w:after="0"/>
        <w:jc w:val="both"/>
        <w:rPr>
          <w:rFonts w:ascii="Times New Roman" w:hAnsi="Times New Roman" w:eastAsia="Symbol" w:cs="Times New Roman"/>
          <w:color w:val="000000"/>
          <w:sz w:val="28"/>
          <w:szCs w:val="28"/>
        </w:rPr>
      </w:pPr>
      <w:r>
        <w:rPr>
          <w:rFonts w:eastAsia="Symbol" w:cs="Times New Roman" w:ascii="Times New Roman" w:hAnsi="Times New Roman"/>
          <w:color w:val="000000"/>
          <w:sz w:val="28"/>
          <w:szCs w:val="28"/>
        </w:rPr>
      </w:r>
    </w:p>
    <w:p>
      <w:pPr>
        <w:pStyle w:val="Normal"/>
        <w:spacing w:lineRule="auto" w:line="240" w:before="0" w:after="0"/>
        <w:jc w:val="both"/>
        <w:rPr>
          <w:rFonts w:ascii="Times New Roman" w:hAnsi="Times New Roman" w:eastAsia="Symbol" w:cs="Times New Roman"/>
          <w:color w:val="000000"/>
          <w:sz w:val="28"/>
          <w:szCs w:val="28"/>
        </w:rPr>
      </w:pPr>
      <w:r>
        <w:rPr/>
        <w:drawing>
          <wp:inline distT="0" distB="0" distL="0" distR="0">
            <wp:extent cx="6115050" cy="2600325"/>
            <wp:effectExtent l="0" t="0" r="0" b="0"/>
            <wp:docPr id="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pStyle w:val="Normal"/>
        <w:spacing w:lineRule="auto" w:line="240" w:before="0" w:after="0"/>
        <w:ind w:firstLine="709"/>
        <w:jc w:val="center"/>
        <w:rPr>
          <w:rFonts w:ascii="Times New Roman" w:hAnsi="Times New Roman" w:eastAsia="Symbol" w:cs="Times New Roman"/>
          <w:b/>
          <w:b/>
          <w:color w:val="000000"/>
          <w:sz w:val="24"/>
          <w:szCs w:val="28"/>
        </w:rPr>
      </w:pPr>
      <w:r>
        <w:rPr>
          <w:rFonts w:eastAsia="Symbol" w:cs="Times New Roman" w:ascii="Times New Roman" w:hAnsi="Times New Roman"/>
          <w:b/>
          <w:color w:val="000000"/>
          <w:sz w:val="24"/>
          <w:szCs w:val="28"/>
        </w:rPr>
        <w:t>Рис. 8 – Динамика коэффициентов рождаемости населения РФ, Ставропольского края и города Железноводска</w:t>
      </w:r>
    </w:p>
    <w:p>
      <w:pPr>
        <w:pStyle w:val="Normal"/>
        <w:spacing w:lineRule="auto" w:line="240" w:before="0" w:after="0"/>
        <w:ind w:firstLine="709"/>
        <w:jc w:val="center"/>
        <w:rPr>
          <w:rFonts w:ascii="Times New Roman" w:hAnsi="Times New Roman" w:eastAsia="Symbol" w:cs="Times New Roman"/>
          <w:color w:val="000000"/>
          <w:sz w:val="28"/>
          <w:szCs w:val="28"/>
        </w:rPr>
      </w:pPr>
      <w:r>
        <w:rPr>
          <w:rFonts w:eastAsia="Symbol" w:cs="Times New Roman" w:ascii="Times New Roman" w:hAnsi="Times New Roman"/>
          <w:color w:val="000000"/>
          <w:sz w:val="28"/>
          <w:szCs w:val="28"/>
        </w:rPr>
      </w:r>
    </w:p>
    <w:p>
      <w:pPr>
        <w:pStyle w:val="Normal"/>
        <w:spacing w:lineRule="auto" w:line="240" w:before="0" w:after="0"/>
        <w:ind w:firstLine="709"/>
        <w:jc w:val="both"/>
        <w:rPr>
          <w:rFonts w:ascii="Times New Roman" w:hAnsi="Times New Roman" w:eastAsia="Symbol" w:cs="Times New Roman"/>
          <w:color w:val="000000"/>
          <w:sz w:val="28"/>
          <w:szCs w:val="28"/>
        </w:rPr>
      </w:pPr>
      <w:r>
        <w:rPr>
          <w:rFonts w:eastAsia="Symbol" w:cs="Times New Roman" w:ascii="Times New Roman" w:hAnsi="Times New Roman"/>
          <w:color w:val="000000"/>
          <w:sz w:val="28"/>
          <w:szCs w:val="28"/>
        </w:rPr>
        <w:t>Коэффициент смертности населения в городе-курорте Железноводске в 2015 - 2018 году составлял от 13 % до 13,2 %. Показатель смертности в рассматриваемый период был выше среднекраевого и общероссийского (рис. 9).</w:t>
      </w:r>
    </w:p>
    <w:p>
      <w:pPr>
        <w:pStyle w:val="Normal"/>
        <w:spacing w:lineRule="auto" w:line="240" w:before="0" w:after="0"/>
        <w:ind w:firstLine="709"/>
        <w:jc w:val="both"/>
        <w:rPr>
          <w:rFonts w:ascii="Times New Roman" w:hAnsi="Times New Roman" w:eastAsia="Symbol" w:cs="Times New Roman"/>
          <w:color w:val="000000"/>
          <w:sz w:val="28"/>
          <w:szCs w:val="28"/>
        </w:rPr>
      </w:pPr>
      <w:r>
        <w:rPr>
          <w:rFonts w:eastAsia="Symbol" w:cs="Times New Roman" w:ascii="Times New Roman" w:hAnsi="Times New Roman"/>
          <w:color w:val="000000"/>
          <w:sz w:val="28"/>
          <w:szCs w:val="28"/>
        </w:rPr>
      </w:r>
    </w:p>
    <w:p>
      <w:pPr>
        <w:pStyle w:val="Normal"/>
        <w:spacing w:lineRule="auto" w:line="240" w:before="0" w:after="0"/>
        <w:jc w:val="both"/>
        <w:rPr>
          <w:rFonts w:ascii="Times New Roman" w:hAnsi="Times New Roman" w:eastAsia="Symbol" w:cs="Times New Roman"/>
          <w:color w:val="000000"/>
          <w:sz w:val="28"/>
          <w:szCs w:val="28"/>
        </w:rPr>
      </w:pPr>
      <w:r>
        <w:rPr/>
        <w:drawing>
          <wp:inline distT="0" distB="0" distL="0" distR="0">
            <wp:extent cx="6115050" cy="2333625"/>
            <wp:effectExtent l="0" t="0" r="0" b="0"/>
            <wp:docPr id="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pStyle w:val="Normal"/>
        <w:spacing w:lineRule="auto" w:line="240" w:before="0" w:after="0"/>
        <w:ind w:firstLine="709"/>
        <w:jc w:val="center"/>
        <w:rPr>
          <w:rFonts w:ascii="Times New Roman" w:hAnsi="Times New Roman" w:eastAsia="Symbol" w:cs="Times New Roman"/>
          <w:b/>
          <w:b/>
          <w:color w:val="000000"/>
          <w:sz w:val="24"/>
          <w:szCs w:val="28"/>
        </w:rPr>
      </w:pPr>
      <w:r>
        <w:rPr>
          <w:rFonts w:eastAsia="Symbol" w:cs="Times New Roman" w:ascii="Times New Roman" w:hAnsi="Times New Roman"/>
          <w:b/>
          <w:color w:val="000000"/>
          <w:sz w:val="24"/>
          <w:szCs w:val="28"/>
        </w:rPr>
        <w:t>Рисунок 9 – Динамика коэффициентов смертности населения РФ, Ставропольского края и города Железноводска</w:t>
      </w:r>
    </w:p>
    <w:p>
      <w:pPr>
        <w:pStyle w:val="Normal"/>
        <w:spacing w:lineRule="auto" w:line="240" w:before="0" w:after="0"/>
        <w:jc w:val="both"/>
        <w:rPr>
          <w:rFonts w:ascii="Times New Roman" w:hAnsi="Times New Roman" w:eastAsia="Symbol" w:cs="Times New Roman"/>
          <w:color w:val="000000"/>
          <w:sz w:val="28"/>
          <w:szCs w:val="28"/>
        </w:rPr>
      </w:pPr>
      <w:r>
        <w:rPr>
          <w:rFonts w:eastAsia="Symbol" w:cs="Times New Roman" w:ascii="Times New Roman" w:hAnsi="Times New Roman"/>
          <w:color w:val="000000"/>
          <w:sz w:val="28"/>
          <w:szCs w:val="28"/>
        </w:rPr>
      </w:r>
    </w:p>
    <w:p>
      <w:pPr>
        <w:pStyle w:val="NormalWeb"/>
        <w:spacing w:before="0" w:after="0"/>
        <w:ind w:firstLine="709"/>
        <w:jc w:val="both"/>
        <w:rPr>
          <w:color w:val="000000"/>
          <w:sz w:val="28"/>
          <w:szCs w:val="28"/>
        </w:rPr>
      </w:pPr>
      <w:r>
        <w:rPr>
          <w:color w:val="000000"/>
          <w:sz w:val="28"/>
          <w:szCs w:val="28"/>
        </w:rPr>
        <w:t>Гендерное соотношение населения города представлено следующим образом: мужчины – 45,9% от общей численности населения, женщины – 54,1%. Анализ состава населения города по полу свидетельствует о превышении числа женщин над мужчинами в основном в возрасте 20-29 лет и старше 35 лет, что сказывается на рождаемости в городе, численности и составе населения (рис. 10).</w:t>
      </w:r>
    </w:p>
    <w:p>
      <w:pPr>
        <w:pStyle w:val="NormalWeb"/>
        <w:spacing w:before="0" w:after="0"/>
        <w:jc w:val="both"/>
        <w:rPr>
          <w:color w:val="000000"/>
          <w:sz w:val="28"/>
          <w:szCs w:val="28"/>
        </w:rPr>
      </w:pPr>
      <w:r>
        <w:rPr/>
        <w:drawing>
          <wp:inline distT="0" distB="0" distL="0" distR="0">
            <wp:extent cx="6134100" cy="4848225"/>
            <wp:effectExtent l="0" t="0" r="0" b="0"/>
            <wp:docPr id="1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Style w:val="Caption"/>
        <w:spacing w:before="0" w:after="0"/>
        <w:jc w:val="center"/>
        <w:rPr>
          <w:b/>
          <w:b/>
          <w:sz w:val="24"/>
        </w:rPr>
      </w:pPr>
      <w:r>
        <w:rPr>
          <w:rFonts w:eastAsia="Symbol"/>
          <w:b/>
          <w:color w:val="000000" w:themeColor="text1"/>
          <w:sz w:val="24"/>
          <w:szCs w:val="28"/>
        </w:rPr>
        <w:t xml:space="preserve">Рис. 10 – </w:t>
      </w:r>
      <w:r>
        <w:rPr>
          <w:b/>
          <w:sz w:val="24"/>
        </w:rPr>
        <w:t>Половозрастная структура населения города-курорта Железноводска в 2018 году, человек</w:t>
      </w:r>
    </w:p>
    <w:p>
      <w:pPr>
        <w:pStyle w:val="Caption"/>
        <w:spacing w:before="0" w:after="0"/>
        <w:jc w:val="center"/>
        <w:rPr/>
      </w:pPr>
      <w:r>
        <w:rPr/>
      </w:r>
    </w:p>
    <w:p>
      <w:pPr>
        <w:pStyle w:val="Standard"/>
        <w:rPr>
          <w:sz w:val="28"/>
          <w:szCs w:val="28"/>
        </w:rPr>
      </w:pPr>
      <w:r>
        <w:rPr>
          <w:sz w:val="28"/>
        </w:rPr>
        <w:t>Различия между городом и Ставропольским краем по доле лиц старше трудоспособного возраста составляют менее 1%</w:t>
      </w:r>
      <w:r>
        <w:rPr>
          <w:sz w:val="28"/>
          <w:szCs w:val="28"/>
        </w:rPr>
        <w:t>. В городе незначительно ниже доля молодежи и выше доля лиц, пенсионного возраста. Уровень демографической нагрузки в городе выше</w:t>
      </w:r>
      <w:r>
        <w:rPr>
          <w:sz w:val="28"/>
        </w:rPr>
        <w:t xml:space="preserve"> среднерегионального уровня и значения данного показателя по России в целом (</w:t>
      </w:r>
      <w:r>
        <w:rPr>
          <w:sz w:val="28"/>
          <w:szCs w:val="28"/>
        </w:rPr>
        <w:t>таблица 4).</w:t>
      </w:r>
    </w:p>
    <w:p>
      <w:pPr>
        <w:pStyle w:val="Standard"/>
        <w:rPr>
          <w:sz w:val="28"/>
          <w:szCs w:val="28"/>
        </w:rPr>
      </w:pPr>
      <w:r>
        <w:rPr>
          <w:sz w:val="28"/>
          <w:szCs w:val="28"/>
        </w:rPr>
        <w:t>Таким образом, в 2018 г. в структуре населения</w:t>
      </w:r>
    </w:p>
    <w:p>
      <w:pPr>
        <w:pStyle w:val="Standard"/>
        <w:rPr/>
      </w:pPr>
      <w:r>
        <w:rPr>
          <w:sz w:val="28"/>
          <w:szCs w:val="28"/>
        </w:rPr>
        <w:t xml:space="preserve"> </w:t>
      </w:r>
      <w:r>
        <w:rPr>
          <w:sz w:val="28"/>
          <w:szCs w:val="28"/>
        </w:rPr>
        <w:t xml:space="preserve">по возрастным группам велика доля лиц старше трудоспособного возраста (25,29 %), доля населения младше трудоспособного возраста незначительно ниже краевого показателя, но выше </w:t>
      </w:r>
      <w:r>
        <w:rPr>
          <w:sz w:val="28"/>
        </w:rPr>
        <w:t xml:space="preserve">значения показателя по России в целом  </w:t>
      </w:r>
      <w:r>
        <w:rPr>
          <w:sz w:val="28"/>
          <w:szCs w:val="28"/>
        </w:rPr>
        <w:t>(18,74 %). Коэффициент демографической нагрузки составляет 0,79, это не является критическим значением, но со временем его величина будет возрастать.</w:t>
      </w:r>
    </w:p>
    <w:p>
      <w:pPr>
        <w:pStyle w:val="Normal"/>
        <w:spacing w:lineRule="auto" w:line="240" w:before="0" w:after="0"/>
        <w:jc w:val="both"/>
        <w:rPr>
          <w:rFonts w:ascii="Times New Roman" w:hAnsi="Times New Roman" w:eastAsia="Symbol" w:cs="Times New Roman"/>
          <w:color w:val="000000" w:themeColor="text1"/>
          <w:sz w:val="28"/>
          <w:szCs w:val="28"/>
        </w:rPr>
      </w:pPr>
      <w:r>
        <w:rPr>
          <w:rFonts w:eastAsia="Symbol" w:cs="Times New Roman" w:ascii="Times New Roman" w:hAnsi="Times New Roman"/>
          <w:color w:val="000000" w:themeColor="text1"/>
          <w:sz w:val="28"/>
          <w:szCs w:val="28"/>
        </w:rPr>
      </w:r>
    </w:p>
    <w:p>
      <w:pPr>
        <w:pStyle w:val="Normal"/>
        <w:spacing w:lineRule="auto" w:line="240" w:before="0" w:after="0"/>
        <w:jc w:val="right"/>
        <w:rPr>
          <w:rFonts w:ascii="Times New Roman" w:hAnsi="Times New Roman" w:eastAsia="Symbol" w:cs="Times New Roman"/>
          <w:b/>
          <w:b/>
          <w:color w:val="000000" w:themeColor="text1"/>
          <w:sz w:val="24"/>
          <w:szCs w:val="28"/>
        </w:rPr>
      </w:pPr>
      <w:r>
        <w:rPr>
          <w:rFonts w:eastAsia="Symbol" w:cs="Times New Roman" w:ascii="Times New Roman" w:hAnsi="Times New Roman"/>
          <w:b/>
          <w:color w:val="000000" w:themeColor="text1"/>
          <w:sz w:val="24"/>
          <w:szCs w:val="28"/>
        </w:rPr>
        <w:t>Таблица 4</w:t>
      </w:r>
    </w:p>
    <w:p>
      <w:pPr>
        <w:pStyle w:val="Normal"/>
        <w:spacing w:lineRule="auto" w:line="240" w:before="0" w:after="0"/>
        <w:jc w:val="center"/>
        <w:rPr>
          <w:rFonts w:ascii="Times New Roman" w:hAnsi="Times New Roman" w:eastAsia="Symbol" w:cs="Times New Roman"/>
          <w:b/>
          <w:b/>
          <w:color w:val="000000" w:themeColor="text1"/>
          <w:sz w:val="24"/>
          <w:szCs w:val="28"/>
        </w:rPr>
      </w:pPr>
      <w:r>
        <w:rPr>
          <w:rFonts w:eastAsia="Symbol" w:cs="Times New Roman" w:ascii="Times New Roman" w:hAnsi="Times New Roman"/>
          <w:b/>
          <w:color w:val="000000" w:themeColor="text1"/>
          <w:sz w:val="24"/>
          <w:szCs w:val="28"/>
        </w:rPr>
        <w:t>Доля лиц старше и моложе трудоспособного возраста и демографическая нагрузка в городе, Ставропольском крае и России в 2018 году</w:t>
      </w:r>
    </w:p>
    <w:tbl>
      <w:tblPr>
        <w:tblW w:w="9747" w:type="dxa"/>
        <w:jc w:val="lef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noVBand="0" w:val="0000" w:noHBand="0" w:lastColumn="0" w:firstColumn="0" w:lastRow="0" w:firstRow="0"/>
      </w:tblPr>
      <w:tblGrid>
        <w:gridCol w:w="4360"/>
        <w:gridCol w:w="2014"/>
        <w:gridCol w:w="2238"/>
        <w:gridCol w:w="1134"/>
      </w:tblGrid>
      <w:tr>
        <w:trPr>
          <w:trHeight w:val="315" w:hRule="atLeast"/>
        </w:trPr>
        <w:tc>
          <w:tcPr>
            <w:tcW w:w="43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Standard"/>
              <w:jc w:val="center"/>
              <w:rPr/>
            </w:pPr>
            <w:r>
              <w:rPr>
                <w:sz w:val="28"/>
                <w:szCs w:val="28"/>
                <w:lang w:eastAsia="ru-RU"/>
              </w:rPr>
              <w:t>Показатели</w:t>
            </w:r>
          </w:p>
        </w:tc>
        <w:tc>
          <w:tcPr>
            <w:tcW w:w="20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Standard"/>
              <w:ind w:firstLine="5"/>
              <w:jc w:val="center"/>
              <w:rPr/>
            </w:pPr>
            <w:r>
              <w:rPr>
                <w:sz w:val="28"/>
                <w:szCs w:val="28"/>
                <w:lang w:eastAsia="ru-RU"/>
              </w:rPr>
              <w:t>Железноводск</w:t>
            </w:r>
          </w:p>
        </w:tc>
        <w:tc>
          <w:tcPr>
            <w:tcW w:w="22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Standard"/>
              <w:ind w:firstLine="5"/>
              <w:jc w:val="center"/>
              <w:rPr/>
            </w:pPr>
            <w:r>
              <w:rPr>
                <w:sz w:val="28"/>
                <w:szCs w:val="28"/>
                <w:lang w:eastAsia="ru-RU"/>
              </w:rPr>
              <w:t>Ставропольский край</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Standard"/>
              <w:ind w:firstLine="5"/>
              <w:jc w:val="center"/>
              <w:rPr/>
            </w:pPr>
            <w:r>
              <w:rPr>
                <w:sz w:val="28"/>
                <w:szCs w:val="28"/>
                <w:lang w:eastAsia="ru-RU"/>
              </w:rPr>
              <w:t>Россия</w:t>
            </w:r>
          </w:p>
        </w:tc>
      </w:tr>
      <w:tr>
        <w:trPr>
          <w:trHeight w:val="330" w:hRule="atLeast"/>
        </w:trPr>
        <w:tc>
          <w:tcPr>
            <w:tcW w:w="43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Standard"/>
              <w:ind w:hanging="0"/>
              <w:jc w:val="left"/>
              <w:rPr/>
            </w:pPr>
            <w:r>
              <w:rPr>
                <w:lang w:eastAsia="ru-RU"/>
              </w:rPr>
              <w:t>Доля лиц моложе трудоспособного возраста, %</w:t>
            </w:r>
          </w:p>
        </w:tc>
        <w:tc>
          <w:tcPr>
            <w:tcW w:w="20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Standard"/>
              <w:ind w:hanging="0"/>
              <w:jc w:val="center"/>
              <w:rPr/>
            </w:pPr>
            <w:r>
              <w:rPr/>
              <w:t>18,74</w:t>
            </w:r>
          </w:p>
        </w:tc>
        <w:tc>
          <w:tcPr>
            <w:tcW w:w="22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Standard"/>
              <w:ind w:hanging="0"/>
              <w:jc w:val="center"/>
              <w:rPr/>
            </w:pPr>
            <w:r>
              <w:rPr>
                <w:lang w:eastAsia="ru-RU"/>
              </w:rPr>
              <w:t>18,83</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Standard"/>
              <w:ind w:firstLine="5"/>
              <w:jc w:val="center"/>
              <w:rPr/>
            </w:pPr>
            <w:r>
              <w:rPr>
                <w:lang w:eastAsia="ru-RU"/>
              </w:rPr>
              <w:t>18,32</w:t>
            </w:r>
          </w:p>
        </w:tc>
      </w:tr>
      <w:tr>
        <w:trPr>
          <w:trHeight w:val="330" w:hRule="atLeast"/>
        </w:trPr>
        <w:tc>
          <w:tcPr>
            <w:tcW w:w="43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Standard"/>
              <w:ind w:hanging="0"/>
              <w:jc w:val="left"/>
              <w:rPr>
                <w:lang w:eastAsia="ru-RU"/>
              </w:rPr>
            </w:pPr>
            <w:r>
              <w:rPr>
                <w:lang w:eastAsia="ru-RU"/>
              </w:rPr>
              <w:t>Доля лиц трудоспособного возраста, %</w:t>
            </w:r>
          </w:p>
        </w:tc>
        <w:tc>
          <w:tcPr>
            <w:tcW w:w="20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Standard"/>
              <w:ind w:hanging="0"/>
              <w:jc w:val="center"/>
              <w:rPr/>
            </w:pPr>
            <w:r>
              <w:rPr/>
              <w:t>55,97</w:t>
            </w:r>
          </w:p>
        </w:tc>
        <w:tc>
          <w:tcPr>
            <w:tcW w:w="22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Standard"/>
              <w:ind w:hanging="0"/>
              <w:jc w:val="center"/>
              <w:rPr>
                <w:lang w:eastAsia="ru-RU"/>
              </w:rPr>
            </w:pPr>
            <w:r>
              <w:rPr>
                <w:lang w:eastAsia="ru-RU"/>
              </w:rPr>
              <w:t>56,70</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Standard"/>
              <w:ind w:firstLine="5"/>
              <w:jc w:val="center"/>
              <w:rPr>
                <w:bCs/>
                <w:lang w:eastAsia="ru-RU"/>
              </w:rPr>
            </w:pPr>
            <w:r>
              <w:rPr>
                <w:bCs/>
                <w:lang w:eastAsia="ru-RU"/>
              </w:rPr>
              <w:t>56,69</w:t>
            </w:r>
          </w:p>
        </w:tc>
      </w:tr>
      <w:tr>
        <w:trPr>
          <w:trHeight w:val="330" w:hRule="atLeast"/>
        </w:trPr>
        <w:tc>
          <w:tcPr>
            <w:tcW w:w="43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Standard"/>
              <w:ind w:hanging="0"/>
              <w:jc w:val="left"/>
              <w:rPr/>
            </w:pPr>
            <w:r>
              <w:rPr>
                <w:lang w:eastAsia="ru-RU"/>
              </w:rPr>
              <w:t>Доля лиц старше трудоспособного возраста, %</w:t>
            </w:r>
          </w:p>
        </w:tc>
        <w:tc>
          <w:tcPr>
            <w:tcW w:w="20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Standard"/>
              <w:ind w:hanging="0"/>
              <w:jc w:val="center"/>
              <w:rPr/>
            </w:pPr>
            <w:r>
              <w:rPr/>
              <w:t>25,29</w:t>
            </w:r>
          </w:p>
        </w:tc>
        <w:tc>
          <w:tcPr>
            <w:tcW w:w="22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Standard"/>
              <w:ind w:hanging="0"/>
              <w:jc w:val="center"/>
              <w:rPr/>
            </w:pPr>
            <w:r>
              <w:rPr>
                <w:lang w:eastAsia="ru-RU"/>
              </w:rPr>
              <w:t>24,47</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Standard"/>
              <w:ind w:firstLine="5"/>
              <w:jc w:val="center"/>
              <w:rPr/>
            </w:pPr>
            <w:r>
              <w:rPr>
                <w:bCs/>
                <w:lang w:eastAsia="ru-RU"/>
              </w:rPr>
              <w:t>24,99</w:t>
            </w:r>
          </w:p>
        </w:tc>
      </w:tr>
      <w:tr>
        <w:trPr>
          <w:trHeight w:val="330" w:hRule="atLeast"/>
        </w:trPr>
        <w:tc>
          <w:tcPr>
            <w:tcW w:w="43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Standard"/>
              <w:ind w:hanging="0"/>
              <w:jc w:val="left"/>
              <w:rPr/>
            </w:pPr>
            <w:r>
              <w:rPr>
                <w:lang w:eastAsia="ru-RU"/>
              </w:rPr>
              <w:t>Демографическая нагрузка на 1 человека в трудоспособном возрасте</w:t>
            </w:r>
          </w:p>
        </w:tc>
        <w:tc>
          <w:tcPr>
            <w:tcW w:w="20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Standard"/>
              <w:ind w:hanging="0"/>
              <w:jc w:val="center"/>
              <w:rPr/>
            </w:pPr>
            <w:r>
              <w:rPr/>
              <w:t>0,79</w:t>
            </w:r>
          </w:p>
          <w:p>
            <w:pPr>
              <w:pStyle w:val="Standard"/>
              <w:ind w:hanging="0"/>
              <w:rPr/>
            </w:pPr>
            <w:r>
              <w:rPr/>
            </w:r>
          </w:p>
        </w:tc>
        <w:tc>
          <w:tcPr>
            <w:tcW w:w="22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Standard"/>
              <w:ind w:hanging="0"/>
              <w:jc w:val="center"/>
              <w:rPr/>
            </w:pPr>
            <w:r>
              <w:rPr>
                <w:lang w:eastAsia="ru-RU"/>
              </w:rPr>
              <w:t>0,76</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Standard"/>
              <w:ind w:firstLine="5"/>
              <w:jc w:val="center"/>
              <w:rPr/>
            </w:pPr>
            <w:r>
              <w:rPr>
                <w:lang w:eastAsia="ru-RU"/>
              </w:rPr>
              <w:t>0,77</w:t>
            </w:r>
          </w:p>
        </w:tc>
      </w:tr>
    </w:tbl>
    <w:p>
      <w:pPr>
        <w:pStyle w:val="Standard"/>
        <w:rPr>
          <w:sz w:val="28"/>
          <w:szCs w:val="28"/>
        </w:rPr>
      </w:pPr>
      <w:r>
        <w:rPr>
          <w:sz w:val="28"/>
          <w:szCs w:val="28"/>
        </w:rPr>
      </w:r>
    </w:p>
    <w:p>
      <w:pPr>
        <w:pStyle w:val="Standard"/>
        <w:rPr>
          <w:sz w:val="28"/>
          <w:szCs w:val="28"/>
        </w:rPr>
      </w:pPr>
      <w:r>
        <w:rPr>
          <w:sz w:val="28"/>
          <w:szCs w:val="28"/>
        </w:rPr>
        <w:t>Наблюдается падине количества браков в 2018 г. было заключено 272 брака и это самый низкий показатель за последние 5 лет. При этом число разводов также сократилось.  Индекс разводимости в 2018 году составил 0,65. Такие же тенденции к сокращению числа браков и разводов наблюдаются на краевом уровне (рис. 11).</w:t>
      </w:r>
    </w:p>
    <w:p>
      <w:pPr>
        <w:pStyle w:val="Standard"/>
        <w:rPr>
          <w:sz w:val="28"/>
          <w:szCs w:val="28"/>
        </w:rPr>
      </w:pPr>
      <w:r>
        <w:rPr>
          <w:sz w:val="28"/>
          <w:szCs w:val="28"/>
        </w:rPr>
      </w:r>
    </w:p>
    <w:p>
      <w:pPr>
        <w:pStyle w:val="Standard"/>
        <w:rPr>
          <w:sz w:val="28"/>
          <w:szCs w:val="28"/>
        </w:rPr>
      </w:pPr>
      <w:r>
        <w:rPr/>
        <w:drawing>
          <wp:inline distT="0" distB="0" distL="0" distR="0">
            <wp:extent cx="5486400" cy="2324100"/>
            <wp:effectExtent l="0" t="0" r="0" b="0"/>
            <wp:docPr id="1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pStyle w:val="Standard"/>
        <w:jc w:val="center"/>
        <w:rPr>
          <w:b/>
          <w:b/>
          <w:szCs w:val="28"/>
        </w:rPr>
      </w:pPr>
      <w:r>
        <w:rPr>
          <w:b/>
          <w:szCs w:val="28"/>
        </w:rPr>
        <w:t>Рис. 11 – Динамика ключевых коэффициентов, характеризующих развитие института семьи и брака в городе-курорте Железноводске</w:t>
      </w:r>
    </w:p>
    <w:p>
      <w:pPr>
        <w:pStyle w:val="Standard"/>
        <w:jc w:val="center"/>
        <w:rPr>
          <w:sz w:val="28"/>
          <w:szCs w:val="28"/>
        </w:rPr>
      </w:pPr>
      <w:r>
        <w:rPr>
          <w:sz w:val="28"/>
          <w:szCs w:val="28"/>
        </w:rPr>
      </w:r>
    </w:p>
    <w:p>
      <w:pPr>
        <w:pStyle w:val="Standard"/>
        <w:rPr>
          <w:sz w:val="28"/>
          <w:szCs w:val="28"/>
        </w:rPr>
      </w:pPr>
      <w:r>
        <w:rPr>
          <w:sz w:val="28"/>
          <w:szCs w:val="28"/>
        </w:rPr>
        <w:t xml:space="preserve">На численность и состав населения города оказывает влияние миграция. В 2018 году в городе-курорте Железноводске демографическая ситуация имела восходящую динамику преимущественно за счет положительного сальдо миграционного прироста населения (рис. 12). </w:t>
      </w:r>
    </w:p>
    <w:p>
      <w:pPr>
        <w:pStyle w:val="Standard"/>
        <w:rPr>
          <w:sz w:val="28"/>
          <w:szCs w:val="28"/>
        </w:rPr>
      </w:pPr>
      <w:r>
        <w:rPr>
          <w:sz w:val="28"/>
          <w:szCs w:val="28"/>
        </w:rPr>
      </w:r>
    </w:p>
    <w:p>
      <w:pPr>
        <w:pStyle w:val="Standard"/>
        <w:rPr>
          <w:sz w:val="28"/>
          <w:szCs w:val="28"/>
          <w:lang w:val="en-US"/>
        </w:rPr>
      </w:pPr>
      <w:r>
        <w:rPr/>
        <w:drawing>
          <wp:inline distT="0" distB="0" distL="0" distR="0">
            <wp:extent cx="5486400" cy="2590800"/>
            <wp:effectExtent l="0" t="0" r="0" b="0"/>
            <wp:docPr id="1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pStyle w:val="Standard"/>
        <w:jc w:val="center"/>
        <w:rPr>
          <w:b/>
          <w:b/>
          <w:szCs w:val="28"/>
        </w:rPr>
      </w:pPr>
      <w:r>
        <w:rPr>
          <w:b/>
          <w:szCs w:val="28"/>
        </w:rPr>
        <w:t>Рис. 12 – Динамика миграционных потоков города-курорта Железноводска</w:t>
      </w:r>
    </w:p>
    <w:p>
      <w:pPr>
        <w:pStyle w:val="Standard"/>
        <w:jc w:val="center"/>
        <w:rPr>
          <w:sz w:val="28"/>
          <w:szCs w:val="28"/>
        </w:rPr>
      </w:pPr>
      <w:r>
        <w:rPr>
          <w:sz w:val="28"/>
          <w:szCs w:val="28"/>
        </w:rPr>
      </w:r>
    </w:p>
    <w:p>
      <w:pPr>
        <w:pStyle w:val="Standard"/>
        <w:jc w:val="center"/>
        <w:rPr>
          <w:rFonts w:eastAsia="Calibri"/>
          <w:b/>
          <w:b/>
          <w:i/>
          <w:i/>
          <w:sz w:val="28"/>
          <w:szCs w:val="28"/>
        </w:rPr>
      </w:pPr>
      <w:r>
        <w:rPr>
          <w:rFonts w:eastAsia="Calibri"/>
          <w:b/>
          <w:i/>
          <w:sz w:val="28"/>
          <w:szCs w:val="28"/>
        </w:rPr>
        <w:t>Особенности межнациональных и этноконфессиональных отношений в городе-курорте Железноводске</w:t>
      </w:r>
    </w:p>
    <w:p>
      <w:pPr>
        <w:pStyle w:val="Standard"/>
        <w:rPr>
          <w:sz w:val="28"/>
        </w:rPr>
      </w:pPr>
      <w:r>
        <w:rPr>
          <w:sz w:val="28"/>
        </w:rPr>
      </w:r>
    </w:p>
    <w:p>
      <w:pPr>
        <w:pStyle w:val="Standard"/>
        <w:rPr>
          <w:sz w:val="28"/>
          <w:szCs w:val="28"/>
        </w:rPr>
      </w:pPr>
      <w:r>
        <w:rPr>
          <w:sz w:val="28"/>
          <w:szCs w:val="28"/>
        </w:rPr>
        <w:t>Город-курорт Железноводск исторически сформировался как мультикультурный и полиэтничный населенный пункт, ядром которого является русский народ. По итогам Всероссийской переписи населения 2010 г. в городе-курорте Железноводске выявлены 44 национальности (Рисунок 13). Из них самыми многочисленными национальными группами оказались русские (83 %), армяне (6 %), греки (3 %) и украинцы (1 %).</w:t>
      </w:r>
    </w:p>
    <w:p>
      <w:pPr>
        <w:pStyle w:val="Standard"/>
        <w:rPr>
          <w:sz w:val="28"/>
          <w:szCs w:val="28"/>
        </w:rPr>
      </w:pPr>
      <w:r>
        <w:rPr>
          <w:sz w:val="28"/>
          <w:szCs w:val="28"/>
        </w:rPr>
      </w:r>
    </w:p>
    <w:p>
      <w:pPr>
        <w:pStyle w:val="Normal"/>
        <w:spacing w:lineRule="auto" w:line="240" w:before="0" w:after="0"/>
        <w:jc w:val="center"/>
        <w:rPr>
          <w:rFonts w:ascii="Times New Roman" w:hAnsi="Times New Roman" w:eastAsia="Symbol" w:cs="Times New Roman"/>
          <w:color w:val="000000" w:themeColor="text1"/>
          <w:sz w:val="28"/>
          <w:szCs w:val="28"/>
        </w:rPr>
      </w:pPr>
      <w:r>
        <w:rPr/>
        <w:drawing>
          <wp:inline distT="0" distB="0" distL="0" distR="0">
            <wp:extent cx="4781550" cy="2438400"/>
            <wp:effectExtent l="0" t="0" r="0" b="0"/>
            <wp:docPr id="1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pStyle w:val="Normal"/>
        <w:spacing w:lineRule="auto" w:line="240" w:before="0" w:after="0"/>
        <w:jc w:val="center"/>
        <w:rPr>
          <w:rFonts w:ascii="Times New Roman" w:hAnsi="Times New Roman" w:eastAsia="Symbol" w:cs="Times New Roman"/>
          <w:b/>
          <w:b/>
          <w:color w:val="000000" w:themeColor="text1"/>
          <w:sz w:val="24"/>
          <w:szCs w:val="28"/>
        </w:rPr>
      </w:pPr>
      <w:r>
        <w:rPr>
          <w:rFonts w:eastAsia="Symbol" w:cs="Times New Roman" w:ascii="Times New Roman" w:hAnsi="Times New Roman"/>
          <w:b/>
          <w:color w:val="000000" w:themeColor="text1"/>
          <w:sz w:val="24"/>
          <w:szCs w:val="28"/>
        </w:rPr>
        <w:t>Рис. 13 – Этническая структура населения города-курорта Железноводска</w:t>
      </w:r>
    </w:p>
    <w:p>
      <w:pPr>
        <w:pStyle w:val="Standard"/>
        <w:rPr>
          <w:sz w:val="28"/>
        </w:rPr>
      </w:pPr>
      <w:r>
        <w:rPr>
          <w:sz w:val="28"/>
        </w:rPr>
      </w:r>
    </w:p>
    <w:p>
      <w:pPr>
        <w:pStyle w:val="Standard"/>
        <w:rPr>
          <w:sz w:val="28"/>
        </w:rPr>
      </w:pPr>
      <w:r>
        <w:rPr>
          <w:sz w:val="28"/>
        </w:rPr>
      </w:r>
    </w:p>
    <w:p>
      <w:pPr>
        <w:pStyle w:val="Standard"/>
        <w:rPr>
          <w:sz w:val="28"/>
        </w:rPr>
      </w:pPr>
      <w:r>
        <w:rPr>
          <w:sz w:val="28"/>
        </w:rPr>
        <w:t>Благодаря объединяющей роли русского народа, многовековому межкультурному, межнациональному и этноконфессиональному взаимодействию на территории городского округа сформировалось уникальное культурное многообразие и духовная общность различных народов, приверженных единым принципам и ценностям, таким как патриотизм, служение Отечеству, прочность традиционных семейных связей, созидательный труд, гуманизм, социальная справедливость, взаимопомощь и коллективизм.</w:t>
      </w:r>
    </w:p>
    <w:p>
      <w:pPr>
        <w:pStyle w:val="Standard"/>
        <w:rPr>
          <w:sz w:val="28"/>
        </w:rPr>
      </w:pPr>
      <w:r>
        <w:rPr>
          <w:sz w:val="28"/>
        </w:rPr>
        <w:t>Состояние межэтнических и этноконфессиальных отношений на территории муниципального образования города-курорта Железноводска оценивается в целом как стабильное, обстановка спокойная, предпосылок к возникновению конфликтных ситуаций не имеется.</w:t>
      </w:r>
    </w:p>
    <w:p>
      <w:pPr>
        <w:pStyle w:val="Standard"/>
        <w:rPr>
          <w:sz w:val="28"/>
        </w:rPr>
      </w:pPr>
      <w:r>
        <w:rPr>
          <w:sz w:val="28"/>
        </w:rPr>
        <w:t>Проблемы профилактики экстремизма, национальной и религиозной нетерпимости, а также проводимые в городе-курорте Железноводске мероприятия, направленные на поддержание мира и согласия, а также посвященные межнациональной дружбе, патриотическому воспитанию, культуре межнациональных отношений, широко освещаются в средствах массовой информации, в том числе и на официальном сайте Думы и администрации города-курорта Железноводска Ставропольского края.</w:t>
      </w:r>
    </w:p>
    <w:p>
      <w:pPr>
        <w:pStyle w:val="Standard"/>
        <w:rPr>
          <w:sz w:val="28"/>
        </w:rPr>
      </w:pPr>
      <w:r>
        <w:rPr>
          <w:sz w:val="28"/>
        </w:rPr>
        <w:t>Регулярно осуществляется мониторинг межнациональных и этно-конфессиональных отношений в городе, результаты мониторинга, подтверждают тенденцию сокращения конфликтного потенциала при умеренной напряженности в сфере этноконфессиональных отношений.</w:t>
      </w:r>
    </w:p>
    <w:p>
      <w:pPr>
        <w:pStyle w:val="Standard"/>
        <w:rPr>
          <w:rFonts w:eastAsia="Symbol"/>
          <w:sz w:val="28"/>
          <w:szCs w:val="28"/>
        </w:rPr>
      </w:pPr>
      <w:r>
        <w:rPr>
          <w:rFonts w:eastAsia="Symbol"/>
          <w:sz w:val="28"/>
          <w:szCs w:val="28"/>
        </w:rPr>
      </w:r>
    </w:p>
    <w:p>
      <w:pPr>
        <w:pStyle w:val="Standard"/>
        <w:rPr>
          <w:rFonts w:eastAsia="Symbol"/>
          <w:sz w:val="28"/>
          <w:szCs w:val="28"/>
        </w:rPr>
      </w:pPr>
      <w:r>
        <w:rPr>
          <w:rFonts w:eastAsia="Symbol"/>
          <w:sz w:val="28"/>
          <w:szCs w:val="28"/>
        </w:rPr>
      </w:r>
    </w:p>
    <w:p>
      <w:pPr>
        <w:pStyle w:val="Standard"/>
        <w:jc w:val="center"/>
        <w:rPr>
          <w:rFonts w:eastAsia="Symbol"/>
          <w:b/>
          <w:b/>
          <w:i/>
          <w:i/>
          <w:sz w:val="28"/>
          <w:szCs w:val="28"/>
        </w:rPr>
      </w:pPr>
      <w:r>
        <w:rPr>
          <w:rFonts w:eastAsia="Symbol"/>
          <w:b/>
          <w:i/>
          <w:sz w:val="28"/>
          <w:szCs w:val="28"/>
        </w:rPr>
        <w:t>Трудовой потенциал и занятость населения</w:t>
      </w:r>
    </w:p>
    <w:p>
      <w:pPr>
        <w:pStyle w:val="Standard"/>
        <w:rPr>
          <w:rFonts w:eastAsia="Symbol"/>
          <w:sz w:val="28"/>
          <w:szCs w:val="28"/>
        </w:rPr>
      </w:pPr>
      <w:r>
        <w:rPr>
          <w:rFonts w:eastAsia="Symbol"/>
          <w:sz w:val="28"/>
          <w:szCs w:val="28"/>
        </w:rPr>
      </w:r>
    </w:p>
    <w:p>
      <w:pPr>
        <w:pStyle w:val="Standard"/>
        <w:rPr>
          <w:rFonts w:eastAsia="Symbol"/>
          <w:sz w:val="28"/>
          <w:szCs w:val="28"/>
        </w:rPr>
      </w:pPr>
      <w:r>
        <w:rPr>
          <w:rFonts w:eastAsia="Symbol"/>
          <w:sz w:val="28"/>
          <w:szCs w:val="28"/>
        </w:rPr>
        <w:t xml:space="preserve">Численность населения города Железноводска на 01.01.2019 г. составляла 52769 человек (1,9 % населения Ставропольского края). Из них: население трудоспособного возраста составляет 27708 человек (52,5%), моложе трудоспособного возраста 10904 человек (20,7%), старше трудоспособного возраста – 14157 человек (26,8%).  </w:t>
      </w:r>
    </w:p>
    <w:p>
      <w:pPr>
        <w:pStyle w:val="Standard"/>
        <w:rPr>
          <w:sz w:val="28"/>
        </w:rPr>
      </w:pPr>
      <w:r>
        <w:rPr>
          <w:rFonts w:eastAsia="Symbol"/>
          <w:sz w:val="28"/>
          <w:szCs w:val="28"/>
        </w:rPr>
        <w:t>Численность работников, занятых в непроизводственной сфере муниципального образования значительно превышает число занятых в материальном производстве (70 % и 30 % соответственно).</w:t>
      </w:r>
    </w:p>
    <w:p>
      <w:pPr>
        <w:pStyle w:val="Standard"/>
        <w:rPr>
          <w:sz w:val="28"/>
        </w:rPr>
      </w:pPr>
      <w:r>
        <w:rPr>
          <w:sz w:val="28"/>
        </w:rPr>
        <w:t xml:space="preserve">Ситуация на рынке труда города за последние годы характеризуется стабильно низким уровнем регистрируемой безработицы, в среднем 0,5 % </w:t>
        <w:br/>
        <w:t>(рис. 14).</w:t>
      </w:r>
    </w:p>
    <w:p>
      <w:pPr>
        <w:pStyle w:val="Standard"/>
        <w:rPr>
          <w:sz w:val="28"/>
        </w:rPr>
      </w:pPr>
      <w:r>
        <w:rPr>
          <w:sz w:val="28"/>
        </w:rPr>
        <w:t>На конец 2018 года уровень безработицы составил 0,3 % и был самым низким в Ставропольском крае (в 2018 году данный показатель составлял 0,7 %).</w:t>
      </w:r>
    </w:p>
    <w:p>
      <w:pPr>
        <w:pStyle w:val="Standard"/>
        <w:rPr>
          <w:sz w:val="28"/>
        </w:rPr>
      </w:pPr>
      <w:r>
        <w:rPr>
          <w:sz w:val="28"/>
        </w:rPr>
      </w:r>
    </w:p>
    <w:p>
      <w:pPr>
        <w:pStyle w:val="Standard"/>
        <w:rPr>
          <w:sz w:val="28"/>
        </w:rPr>
      </w:pPr>
      <w:r>
        <w:rPr/>
        <w:drawing>
          <wp:inline distT="0" distB="0" distL="0" distR="0">
            <wp:extent cx="5676900" cy="3790950"/>
            <wp:effectExtent l="0" t="0" r="0" b="0"/>
            <wp:docPr id="1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Style w:val="Standard"/>
        <w:jc w:val="center"/>
        <w:rPr>
          <w:b/>
          <w:b/>
        </w:rPr>
      </w:pPr>
      <w:r>
        <w:rPr>
          <w:b/>
        </w:rPr>
        <w:t>Рис. 14 – Уровень безработицы в городе-курорте Железноводске, %</w:t>
      </w:r>
    </w:p>
    <w:p>
      <w:pPr>
        <w:pStyle w:val="Standard"/>
        <w:rPr>
          <w:sz w:val="28"/>
        </w:rPr>
      </w:pPr>
      <w:r>
        <w:rPr>
          <w:sz w:val="28"/>
        </w:rPr>
      </w:r>
    </w:p>
    <w:p>
      <w:pPr>
        <w:pStyle w:val="Standard"/>
        <w:rPr>
          <w:sz w:val="28"/>
        </w:rPr>
      </w:pPr>
      <w:r>
        <w:rPr>
          <w:sz w:val="28"/>
        </w:rPr>
        <w:t>За 2018 год в Центр занятости населения города Железноводска обратилось 1151 незанятых трудоспособных граждан, ищущих работу. Среди них наибольший удельный вес составили женщины – 59,9 %. Из общего количества обратившихся было трудоустроено 838 чел. (72,8 %).</w:t>
      </w:r>
    </w:p>
    <w:p>
      <w:pPr>
        <w:pStyle w:val="13"/>
        <w:widowControl/>
        <w:tabs>
          <w:tab w:val="left" w:pos="567" w:leader="none"/>
          <w:tab w:val="left" w:pos="851" w:leader="none"/>
        </w:tabs>
        <w:ind w:firstLine="709"/>
        <w:jc w:val="both"/>
        <w:rPr>
          <w:rFonts w:ascii="Times New Roman" w:hAnsi="Times New Roman" w:cs="Times New Roman"/>
          <w:sz w:val="28"/>
          <w:szCs w:val="28"/>
        </w:rPr>
      </w:pPr>
      <w:r>
        <w:rPr>
          <w:rFonts w:eastAsia="Symbol" w:cs="Times New Roman" w:ascii="Times New Roman" w:hAnsi="Times New Roman"/>
          <w:sz w:val="28"/>
          <w:szCs w:val="28"/>
        </w:rPr>
        <w:t xml:space="preserve">Спрос на рабочую силу 01 января 2019 г. составил 657 рабочих мест. Всего в течение всего 2018 года заявлено 5266 вакансий, в течении 2017 года – </w:t>
        <w:br/>
        <w:t xml:space="preserve">4525 вакансий. </w:t>
      </w:r>
    </w:p>
    <w:p>
      <w:pPr>
        <w:pStyle w:val="13"/>
        <w:widowControl/>
        <w:tabs>
          <w:tab w:val="left" w:pos="567" w:leader="none"/>
          <w:tab w:val="left" w:pos="851" w:leader="none"/>
        </w:tabs>
        <w:ind w:firstLine="709"/>
        <w:jc w:val="both"/>
        <w:rPr>
          <w:rFonts w:ascii="Times New Roman" w:hAnsi="Times New Roman" w:cs="Times New Roman"/>
          <w:sz w:val="28"/>
          <w:szCs w:val="28"/>
        </w:rPr>
      </w:pPr>
      <w:r>
        <w:rPr>
          <w:rFonts w:cs="Times New Roman" w:ascii="Times New Roman" w:hAnsi="Times New Roman"/>
          <w:sz w:val="28"/>
          <w:szCs w:val="28"/>
        </w:rPr>
        <w:t>На рынке труда сохраняется дисбаланс между спросом и предложением рабочей силы, несмотря на рост вакансий за последние несколько лет. Основные причины - нарастающий дефицит квалифицированных кадров, серьезные деформации профессиональной структуры и низкое качество рабочей силы.</w:t>
      </w:r>
    </w:p>
    <w:p>
      <w:pPr>
        <w:pStyle w:val="13"/>
        <w:widowControl/>
        <w:tabs>
          <w:tab w:val="left" w:pos="567" w:leader="none"/>
          <w:tab w:val="left" w:pos="851" w:leader="none"/>
        </w:tabs>
        <w:ind w:firstLine="709"/>
        <w:jc w:val="both"/>
        <w:rPr>
          <w:rFonts w:ascii="Times New Roman" w:hAnsi="Times New Roman" w:cs="Times New Roman"/>
          <w:sz w:val="28"/>
          <w:szCs w:val="28"/>
        </w:rPr>
      </w:pPr>
      <w:r>
        <w:rPr>
          <w:rFonts w:cs="Times New Roman" w:ascii="Times New Roman" w:hAnsi="Times New Roman"/>
          <w:sz w:val="28"/>
          <w:szCs w:val="28"/>
        </w:rPr>
        <w:t>Для снижения риска дефицита трудовых ресурсов важно повысить эффективность функционирования отраслей, определяющих качество человеческого капитала (образование, здравоохранение, жилищный сектор), и поднять стандарты жизни населения. Необходимо осуществлять меры по повышению производительности труда (за счет повышения уровня образования и "креативности" работников), а также выработать систему приоритетной поддержки высококвалифицированных специалистов ведущих отраслей экономики.</w:t>
      </w:r>
    </w:p>
    <w:p>
      <w:pPr>
        <w:pStyle w:val="13"/>
        <w:widowControl/>
        <w:tabs>
          <w:tab w:val="left" w:pos="567" w:leader="none"/>
          <w:tab w:val="left" w:pos="851" w:leader="none"/>
        </w:tabs>
        <w:ind w:firstLine="709"/>
        <w:jc w:val="both"/>
        <w:rPr>
          <w:rFonts w:ascii="Times New Roman" w:hAnsi="Times New Roman" w:cs="Times New Roman"/>
          <w:sz w:val="28"/>
          <w:szCs w:val="28"/>
        </w:rPr>
      </w:pPr>
      <w:r>
        <w:rPr>
          <w:rFonts w:cs="Times New Roman" w:ascii="Times New Roman" w:hAnsi="Times New Roman"/>
          <w:sz w:val="28"/>
          <w:szCs w:val="28"/>
        </w:rPr>
      </w:r>
    </w:p>
    <w:p>
      <w:pPr>
        <w:pStyle w:val="13"/>
        <w:widowControl/>
        <w:tabs>
          <w:tab w:val="left" w:pos="567" w:leader="none"/>
          <w:tab w:val="left" w:pos="851" w:leader="none"/>
        </w:tabs>
        <w:ind w:firstLine="709"/>
        <w:jc w:val="both"/>
        <w:rPr>
          <w:rFonts w:ascii="Times New Roman" w:hAnsi="Times New Roman" w:eastAsia="Symbol" w:cs="Times New Roman"/>
          <w:sz w:val="28"/>
          <w:szCs w:val="28"/>
        </w:rPr>
      </w:pPr>
      <w:r>
        <w:rPr>
          <w:rFonts w:eastAsia="Symbol" w:cs="Times New Roman" w:ascii="Times New Roman" w:hAnsi="Times New Roman"/>
          <w:sz w:val="28"/>
          <w:szCs w:val="28"/>
        </w:rPr>
        <w:t>В совокупности составляющих качества жизни населения наибольшее значение имеет показатель уровня доходов населения, а также структура доходов и структура расходов населения.</w:t>
      </w:r>
    </w:p>
    <w:p>
      <w:pPr>
        <w:pStyle w:val="13"/>
        <w:widowControl/>
        <w:tabs>
          <w:tab w:val="left" w:pos="567" w:leader="none"/>
          <w:tab w:val="left" w:pos="851" w:leader="none"/>
        </w:tabs>
        <w:ind w:firstLine="709"/>
        <w:jc w:val="right"/>
        <w:rPr>
          <w:rFonts w:ascii="Times New Roman" w:hAnsi="Times New Roman" w:eastAsia="Symbol" w:cs="Times New Roman"/>
          <w:b/>
          <w:b/>
          <w:sz w:val="24"/>
          <w:szCs w:val="28"/>
        </w:rPr>
      </w:pPr>
      <w:r>
        <w:rPr>
          <w:rFonts w:eastAsia="Symbol" w:cs="Times New Roman" w:ascii="Times New Roman" w:hAnsi="Times New Roman"/>
          <w:b/>
          <w:sz w:val="24"/>
          <w:szCs w:val="28"/>
        </w:rPr>
      </w:r>
    </w:p>
    <w:p>
      <w:pPr>
        <w:pStyle w:val="13"/>
        <w:widowControl/>
        <w:tabs>
          <w:tab w:val="left" w:pos="567" w:leader="none"/>
          <w:tab w:val="left" w:pos="851" w:leader="none"/>
        </w:tabs>
        <w:ind w:firstLine="709"/>
        <w:jc w:val="right"/>
        <w:rPr>
          <w:rFonts w:ascii="Times New Roman" w:hAnsi="Times New Roman" w:eastAsia="Symbol" w:cs="Times New Roman"/>
          <w:b/>
          <w:b/>
          <w:sz w:val="24"/>
          <w:szCs w:val="28"/>
        </w:rPr>
      </w:pPr>
      <w:r>
        <w:rPr>
          <w:rFonts w:eastAsia="Symbol" w:cs="Times New Roman" w:ascii="Times New Roman" w:hAnsi="Times New Roman"/>
          <w:b/>
          <w:sz w:val="24"/>
          <w:szCs w:val="28"/>
        </w:rPr>
        <w:t>Таблица 5</w:t>
      </w:r>
    </w:p>
    <w:p>
      <w:pPr>
        <w:pStyle w:val="13"/>
        <w:widowControl/>
        <w:tabs>
          <w:tab w:val="left" w:pos="567" w:leader="none"/>
          <w:tab w:val="left" w:pos="851" w:leader="none"/>
        </w:tabs>
        <w:ind w:firstLine="709"/>
        <w:jc w:val="center"/>
        <w:rPr>
          <w:rFonts w:ascii="Times New Roman" w:hAnsi="Times New Roman" w:eastAsia="Symbol" w:cs="Times New Roman"/>
          <w:b/>
          <w:b/>
          <w:sz w:val="24"/>
          <w:szCs w:val="28"/>
        </w:rPr>
      </w:pPr>
      <w:r>
        <w:rPr>
          <w:rFonts w:eastAsia="Symbol" w:cs="Times New Roman" w:ascii="Times New Roman" w:hAnsi="Times New Roman"/>
          <w:b/>
          <w:sz w:val="24"/>
          <w:szCs w:val="28"/>
        </w:rPr>
        <w:t>Динамика среднемесячной начисленной заработной платы и пенсии в городе-курорте Железноводске в 2014-2018 гг.</w:t>
      </w:r>
    </w:p>
    <w:tbl>
      <w:tblPr>
        <w:tblStyle w:val="TableNormal"/>
        <w:tblW w:w="9639" w:type="dxa"/>
        <w:jc w:val="left"/>
        <w:tblInd w:w="-5" w:type="dxa"/>
        <w:tblBorders>
          <w:top w:val="single" w:sz="4" w:space="0" w:color="000001"/>
          <w:left w:val="single" w:sz="4" w:space="0" w:color="000001"/>
          <w:bottom w:val="single" w:sz="4" w:space="0" w:color="00000A"/>
          <w:right w:val="single" w:sz="4" w:space="0" w:color="000001"/>
          <w:insideH w:val="single" w:sz="4" w:space="0" w:color="00000A"/>
          <w:insideV w:val="single" w:sz="4" w:space="0" w:color="000001"/>
        </w:tblBorders>
        <w:tblCellMar>
          <w:top w:w="0" w:type="dxa"/>
          <w:left w:w="108" w:type="dxa"/>
          <w:bottom w:w="0" w:type="dxa"/>
          <w:right w:w="108" w:type="dxa"/>
        </w:tblCellMar>
        <w:tblLook w:noVBand="0" w:val="01e0" w:noHBand="0" w:lastColumn="1" w:firstColumn="1" w:lastRow="1" w:firstRow="1"/>
      </w:tblPr>
      <w:tblGrid>
        <w:gridCol w:w="2551"/>
        <w:gridCol w:w="2125"/>
        <w:gridCol w:w="992"/>
        <w:gridCol w:w="993"/>
        <w:gridCol w:w="992"/>
        <w:gridCol w:w="992"/>
        <w:gridCol w:w="993"/>
      </w:tblGrid>
      <w:tr>
        <w:trPr>
          <w:trHeight w:val="495" w:hRule="atLeast"/>
        </w:trPr>
        <w:tc>
          <w:tcPr>
            <w:tcW w:w="2551"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TableParagraph"/>
              <w:widowControl w:val="false"/>
              <w:spacing w:lineRule="auto" w:line="240" w:before="0" w:after="0"/>
              <w:jc w:val="center"/>
              <w:rPr>
                <w:b/>
                <w:b/>
                <w:sz w:val="24"/>
                <w:lang w:val="ru-RU"/>
              </w:rPr>
            </w:pPr>
            <w:r>
              <w:rPr>
                <w:b/>
                <w:sz w:val="24"/>
                <w:lang w:val="ru-RU"/>
              </w:rPr>
              <w:t>Наименование</w:t>
            </w:r>
          </w:p>
        </w:tc>
        <w:tc>
          <w:tcPr>
            <w:tcW w:w="2125"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TableParagraph"/>
              <w:widowControl w:val="false"/>
              <w:spacing w:lineRule="auto" w:line="240" w:before="0" w:after="0"/>
              <w:ind w:left="19" w:right="11" w:hanging="0"/>
              <w:jc w:val="center"/>
              <w:rPr>
                <w:b/>
                <w:b/>
                <w:sz w:val="24"/>
                <w:lang w:val="ru-RU"/>
              </w:rPr>
            </w:pPr>
            <w:r>
              <w:rPr>
                <w:b/>
                <w:sz w:val="24"/>
                <w:lang w:val="ru-RU"/>
              </w:rPr>
              <w:t>Ед. измерения</w:t>
            </w:r>
          </w:p>
        </w:tc>
        <w:tc>
          <w:tcPr>
            <w:tcW w:w="992"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TableParagraph"/>
              <w:widowControl w:val="false"/>
              <w:spacing w:lineRule="auto" w:line="240" w:before="0" w:after="0"/>
              <w:jc w:val="center"/>
              <w:rPr>
                <w:b/>
                <w:b/>
                <w:sz w:val="24"/>
                <w:lang w:val="ru-RU"/>
              </w:rPr>
            </w:pPr>
            <w:r>
              <w:rPr>
                <w:b/>
                <w:sz w:val="24"/>
                <w:lang w:val="ru-RU"/>
              </w:rPr>
              <w:t>2014</w:t>
            </w:r>
          </w:p>
        </w:tc>
        <w:tc>
          <w:tcPr>
            <w:tcW w:w="993"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TableParagraph"/>
              <w:widowControl w:val="false"/>
              <w:spacing w:lineRule="auto" w:line="240" w:before="0" w:after="0"/>
              <w:jc w:val="center"/>
              <w:rPr>
                <w:b/>
                <w:b/>
                <w:sz w:val="24"/>
                <w:lang w:val="ru-RU"/>
              </w:rPr>
            </w:pPr>
            <w:r>
              <w:rPr>
                <w:b/>
                <w:sz w:val="24"/>
                <w:lang w:val="ru-RU"/>
              </w:rPr>
              <w:t>2015</w:t>
            </w:r>
          </w:p>
        </w:tc>
        <w:tc>
          <w:tcPr>
            <w:tcW w:w="992"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TableParagraph"/>
              <w:widowControl w:val="false"/>
              <w:spacing w:lineRule="auto" w:line="240" w:before="0" w:after="0"/>
              <w:jc w:val="center"/>
              <w:rPr>
                <w:b/>
                <w:b/>
                <w:sz w:val="24"/>
                <w:lang w:val="ru-RU"/>
              </w:rPr>
            </w:pPr>
            <w:r>
              <w:rPr>
                <w:b/>
                <w:sz w:val="24"/>
                <w:lang w:val="ru-RU"/>
              </w:rPr>
              <w:t>2016</w:t>
            </w:r>
          </w:p>
        </w:tc>
        <w:tc>
          <w:tcPr>
            <w:tcW w:w="992"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TableParagraph"/>
              <w:widowControl w:val="false"/>
              <w:spacing w:lineRule="auto" w:line="240" w:before="0" w:after="0"/>
              <w:jc w:val="center"/>
              <w:rPr>
                <w:b/>
                <w:b/>
                <w:sz w:val="24"/>
                <w:lang w:val="ru-RU"/>
              </w:rPr>
            </w:pPr>
            <w:r>
              <w:rPr>
                <w:b/>
                <w:sz w:val="24"/>
                <w:lang w:val="ru-RU"/>
              </w:rPr>
              <w:t>2017</w:t>
            </w:r>
          </w:p>
        </w:tc>
        <w:tc>
          <w:tcPr>
            <w:tcW w:w="993"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TableParagraph"/>
              <w:widowControl w:val="false"/>
              <w:spacing w:lineRule="auto" w:line="240" w:before="0" w:after="0"/>
              <w:jc w:val="center"/>
              <w:rPr>
                <w:b/>
                <w:b/>
                <w:sz w:val="24"/>
                <w:lang w:val="ru-RU"/>
              </w:rPr>
            </w:pPr>
            <w:r>
              <w:rPr>
                <w:b/>
                <w:sz w:val="24"/>
                <w:lang w:val="ru-RU"/>
              </w:rPr>
              <w:t>2018</w:t>
            </w:r>
          </w:p>
        </w:tc>
      </w:tr>
      <w:tr>
        <w:trPr>
          <w:trHeight w:val="230" w:hRule="atLeast"/>
        </w:trPr>
        <w:tc>
          <w:tcPr>
            <w:tcW w:w="255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Paragraph"/>
              <w:widowControl w:val="false"/>
              <w:tabs>
                <w:tab w:val="left" w:pos="1815" w:leader="none"/>
              </w:tabs>
              <w:spacing w:lineRule="auto" w:line="240" w:before="0" w:after="0"/>
              <w:ind w:left="4" w:right="0" w:hanging="0"/>
              <w:rPr>
                <w:sz w:val="24"/>
                <w:lang w:val="ru-RU"/>
              </w:rPr>
            </w:pPr>
            <w:r>
              <w:rPr>
                <w:sz w:val="24"/>
                <w:lang w:val="en-US"/>
              </w:rPr>
              <w:t>Среднемесячная начисленная заработная плата</w:t>
            </w:r>
            <w:r>
              <w:rPr>
                <w:spacing w:val="0"/>
                <w:sz w:val="24"/>
                <w:lang w:val="en-US"/>
              </w:rPr>
              <w:t xml:space="preserve"> </w:t>
            </w:r>
            <w:r>
              <w:rPr>
                <w:sz w:val="24"/>
                <w:lang w:val="en-US"/>
              </w:rPr>
              <w:t>работающих</w:t>
            </w:r>
          </w:p>
        </w:tc>
        <w:tc>
          <w:tcPr>
            <w:tcW w:w="2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Paragraph"/>
              <w:widowControl w:val="false"/>
              <w:tabs>
                <w:tab w:val="left" w:pos="1815" w:leader="none"/>
              </w:tabs>
              <w:spacing w:lineRule="auto" w:line="240" w:before="0" w:after="0"/>
              <w:ind w:left="4" w:right="0" w:hanging="0"/>
              <w:jc w:val="center"/>
              <w:rPr>
                <w:sz w:val="24"/>
                <w:lang w:val="ru-RU"/>
              </w:rPr>
            </w:pPr>
            <w:r>
              <w:rPr>
                <w:sz w:val="24"/>
                <w:lang w:val="ru-RU"/>
              </w:rPr>
              <w:t>руб.</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TableParagraph"/>
              <w:widowControl w:val="false"/>
              <w:spacing w:lineRule="auto" w:line="240" w:before="0" w:after="0"/>
              <w:ind w:right="0" w:hanging="0"/>
              <w:jc w:val="center"/>
              <w:rPr>
                <w:sz w:val="24"/>
                <w:lang w:val="ru-RU"/>
              </w:rPr>
            </w:pPr>
            <w:r>
              <w:rPr>
                <w:sz w:val="24"/>
                <w:lang w:val="ru-RU"/>
              </w:rPr>
              <w:t>13 940</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TableParagraph"/>
              <w:widowControl w:val="false"/>
              <w:spacing w:lineRule="auto" w:line="240" w:before="0" w:after="0"/>
              <w:ind w:right="0" w:hanging="0"/>
              <w:jc w:val="center"/>
              <w:rPr>
                <w:sz w:val="24"/>
                <w:lang w:val="ru-RU"/>
              </w:rPr>
            </w:pPr>
            <w:r>
              <w:rPr>
                <w:sz w:val="24"/>
                <w:lang w:val="ru-RU"/>
              </w:rPr>
              <w:t>16 125</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TableParagraph"/>
              <w:widowControl w:val="false"/>
              <w:spacing w:lineRule="auto" w:line="240" w:before="0" w:after="0"/>
              <w:ind w:right="0" w:hanging="0"/>
              <w:jc w:val="center"/>
              <w:rPr>
                <w:sz w:val="24"/>
                <w:lang w:val="ru-RU"/>
              </w:rPr>
            </w:pPr>
            <w:r>
              <w:rPr>
                <w:sz w:val="24"/>
                <w:lang w:val="ru-RU"/>
              </w:rPr>
              <w:t>19 401</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TableParagraph"/>
              <w:widowControl w:val="false"/>
              <w:spacing w:lineRule="auto" w:line="240" w:before="0" w:after="0"/>
              <w:ind w:right="0" w:hanging="0"/>
              <w:jc w:val="center"/>
              <w:rPr>
                <w:sz w:val="24"/>
                <w:lang w:val="ru-RU"/>
              </w:rPr>
            </w:pPr>
            <w:r>
              <w:rPr>
                <w:sz w:val="24"/>
                <w:lang w:val="ru-RU"/>
              </w:rPr>
              <w:t>22 948</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TableParagraph"/>
              <w:widowControl w:val="false"/>
              <w:spacing w:lineRule="auto" w:line="240" w:before="0" w:after="0"/>
              <w:ind w:right="0" w:hanging="0"/>
              <w:jc w:val="center"/>
              <w:rPr>
                <w:sz w:val="24"/>
                <w:lang w:val="ru-RU"/>
              </w:rPr>
            </w:pPr>
            <w:r>
              <w:rPr>
                <w:sz w:val="24"/>
                <w:lang w:val="ru-RU"/>
              </w:rPr>
              <w:t>25 348</w:t>
            </w:r>
          </w:p>
        </w:tc>
      </w:tr>
      <w:tr>
        <w:trPr>
          <w:trHeight w:val="290" w:hRule="atLeast"/>
        </w:trPr>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pacing w:lineRule="auto" w:line="240" w:before="0" w:after="0"/>
              <w:rPr>
                <w:sz w:val="24"/>
                <w:szCs w:val="2"/>
                <w:lang w:val="en-US"/>
              </w:rPr>
            </w:pPr>
            <w:r>
              <w:rPr>
                <w:sz w:val="24"/>
                <w:szCs w:val="2"/>
                <w:lang w:val="en-US"/>
              </w:rPr>
            </w:r>
          </w:p>
        </w:tc>
        <w:tc>
          <w:tcPr>
            <w:tcW w:w="2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Paragraph"/>
              <w:widowControl w:val="false"/>
              <w:spacing w:lineRule="auto" w:line="240" w:before="0" w:after="0"/>
              <w:ind w:left="19" w:right="13" w:hanging="0"/>
              <w:jc w:val="center"/>
              <w:rPr>
                <w:sz w:val="24"/>
              </w:rPr>
            </w:pPr>
            <w:r>
              <w:rPr>
                <w:sz w:val="24"/>
                <w:lang w:val="en-US"/>
              </w:rPr>
              <w:t>в % к предыдущему году</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TableParagraph"/>
              <w:widowControl w:val="false"/>
              <w:spacing w:lineRule="auto" w:line="240" w:before="0" w:after="0"/>
              <w:ind w:right="0" w:hanging="0"/>
              <w:jc w:val="center"/>
              <w:rPr>
                <w:sz w:val="24"/>
              </w:rPr>
            </w:pPr>
            <w:r>
              <w:rPr>
                <w:sz w:val="24"/>
                <w:lang w:val="en-US"/>
              </w:rPr>
              <w:t>105,2</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TableParagraph"/>
              <w:widowControl w:val="false"/>
              <w:spacing w:lineRule="auto" w:line="240" w:before="0" w:after="0"/>
              <w:ind w:right="0" w:hanging="0"/>
              <w:jc w:val="center"/>
              <w:rPr>
                <w:sz w:val="24"/>
              </w:rPr>
            </w:pPr>
            <w:r>
              <w:rPr>
                <w:sz w:val="24"/>
                <w:lang w:val="en-US"/>
              </w:rPr>
              <w:t>115,6</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TableParagraph"/>
              <w:widowControl w:val="false"/>
              <w:spacing w:lineRule="auto" w:line="240" w:before="0" w:after="0"/>
              <w:ind w:right="0" w:hanging="0"/>
              <w:jc w:val="center"/>
              <w:rPr>
                <w:sz w:val="24"/>
              </w:rPr>
            </w:pPr>
            <w:r>
              <w:rPr>
                <w:sz w:val="24"/>
                <w:lang w:val="en-US"/>
              </w:rPr>
              <w:t>120,3</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TableParagraph"/>
              <w:widowControl w:val="false"/>
              <w:spacing w:lineRule="auto" w:line="240" w:before="0" w:after="0"/>
              <w:ind w:right="0" w:hanging="0"/>
              <w:jc w:val="center"/>
              <w:rPr>
                <w:sz w:val="24"/>
              </w:rPr>
            </w:pPr>
            <w:r>
              <w:rPr>
                <w:sz w:val="24"/>
                <w:lang w:val="en-US"/>
              </w:rPr>
              <w:t>118,3</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TableParagraph"/>
              <w:widowControl w:val="false"/>
              <w:spacing w:lineRule="auto" w:line="240" w:before="0" w:after="0"/>
              <w:ind w:right="0" w:hanging="0"/>
              <w:jc w:val="center"/>
              <w:rPr>
                <w:sz w:val="24"/>
              </w:rPr>
            </w:pPr>
            <w:r>
              <w:rPr>
                <w:sz w:val="24"/>
                <w:lang w:val="en-US"/>
              </w:rPr>
              <w:t>110,5</w:t>
            </w:r>
          </w:p>
        </w:tc>
      </w:tr>
      <w:tr>
        <w:trPr>
          <w:trHeight w:val="290" w:hRule="atLeast"/>
        </w:trPr>
        <w:tc>
          <w:tcPr>
            <w:tcW w:w="255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TableParagraph"/>
              <w:widowControl w:val="false"/>
              <w:tabs>
                <w:tab w:val="left" w:pos="1815" w:leader="none"/>
              </w:tabs>
              <w:spacing w:lineRule="auto" w:line="240" w:before="0" w:after="0"/>
              <w:ind w:left="4" w:right="0" w:hanging="0"/>
              <w:rPr>
                <w:sz w:val="24"/>
                <w:lang w:val="ru-RU"/>
              </w:rPr>
            </w:pPr>
            <w:r>
              <w:rPr>
                <w:sz w:val="24"/>
                <w:lang w:val="ru-RU"/>
              </w:rPr>
              <w:t>Средний размер назначенной месячной пенсии</w:t>
            </w:r>
          </w:p>
        </w:tc>
        <w:tc>
          <w:tcPr>
            <w:tcW w:w="2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Paragraph"/>
              <w:widowControl w:val="false"/>
              <w:tabs>
                <w:tab w:val="left" w:pos="1815" w:leader="none"/>
              </w:tabs>
              <w:spacing w:lineRule="auto" w:line="240" w:before="0" w:after="0"/>
              <w:ind w:left="4" w:right="0" w:hanging="0"/>
              <w:jc w:val="center"/>
              <w:rPr>
                <w:sz w:val="24"/>
                <w:lang w:val="ru-RU"/>
              </w:rPr>
            </w:pPr>
            <w:r>
              <w:rPr>
                <w:sz w:val="24"/>
                <w:lang w:val="ru-RU"/>
              </w:rPr>
              <w:t>руб.</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TableParagraph"/>
              <w:widowControl w:val="false"/>
              <w:tabs>
                <w:tab w:val="left" w:pos="1815" w:leader="none"/>
              </w:tabs>
              <w:spacing w:lineRule="auto" w:line="240" w:before="0" w:after="0"/>
              <w:ind w:left="4" w:right="0" w:hanging="0"/>
              <w:jc w:val="center"/>
              <w:rPr>
                <w:sz w:val="24"/>
                <w:lang w:val="ru-RU"/>
              </w:rPr>
            </w:pPr>
            <w:r>
              <w:rPr>
                <w:sz w:val="24"/>
                <w:lang w:val="ru-RU"/>
              </w:rPr>
              <w:t>10 279,2</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TableParagraph"/>
              <w:widowControl w:val="false"/>
              <w:tabs>
                <w:tab w:val="left" w:pos="1815" w:leader="none"/>
              </w:tabs>
              <w:spacing w:lineRule="auto" w:line="240" w:before="0" w:after="0"/>
              <w:ind w:left="4" w:right="0" w:hanging="0"/>
              <w:jc w:val="center"/>
              <w:rPr>
                <w:sz w:val="24"/>
                <w:lang w:val="ru-RU"/>
              </w:rPr>
            </w:pPr>
            <w:r>
              <w:rPr>
                <w:sz w:val="24"/>
                <w:lang w:val="ru-RU"/>
              </w:rPr>
              <w:t>11 388</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TableParagraph"/>
              <w:widowControl w:val="false"/>
              <w:tabs>
                <w:tab w:val="left" w:pos="1815" w:leader="none"/>
              </w:tabs>
              <w:spacing w:lineRule="auto" w:line="240" w:before="0" w:after="0"/>
              <w:ind w:left="4" w:right="0" w:hanging="0"/>
              <w:jc w:val="center"/>
              <w:rPr>
                <w:sz w:val="24"/>
                <w:lang w:val="ru-RU"/>
              </w:rPr>
            </w:pPr>
            <w:r>
              <w:rPr>
                <w:sz w:val="24"/>
                <w:lang w:val="ru-RU"/>
              </w:rPr>
              <w:t>11 925,1</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TableParagraph"/>
              <w:widowControl w:val="false"/>
              <w:tabs>
                <w:tab w:val="left" w:pos="1815" w:leader="none"/>
              </w:tabs>
              <w:spacing w:lineRule="auto" w:line="240" w:before="0" w:after="0"/>
              <w:ind w:left="4" w:right="0" w:hanging="0"/>
              <w:jc w:val="center"/>
              <w:rPr>
                <w:sz w:val="24"/>
                <w:lang w:val="ru-RU"/>
              </w:rPr>
            </w:pPr>
            <w:r>
              <w:rPr>
                <w:sz w:val="24"/>
                <w:lang w:val="ru-RU"/>
              </w:rPr>
              <w:t>12 535,5</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TableParagraph"/>
              <w:widowControl w:val="false"/>
              <w:tabs>
                <w:tab w:val="left" w:pos="1815" w:leader="none"/>
              </w:tabs>
              <w:spacing w:lineRule="auto" w:line="240" w:before="0" w:after="0"/>
              <w:ind w:left="4" w:right="0" w:hanging="0"/>
              <w:jc w:val="center"/>
              <w:rPr>
                <w:sz w:val="24"/>
                <w:lang w:val="ru-RU"/>
              </w:rPr>
            </w:pPr>
            <w:r>
              <w:rPr>
                <w:sz w:val="24"/>
                <w:lang w:val="ru-RU"/>
              </w:rPr>
              <w:t>13 220,7</w:t>
            </w:r>
          </w:p>
        </w:tc>
      </w:tr>
      <w:tr>
        <w:trPr>
          <w:trHeight w:val="290" w:hRule="atLeast"/>
        </w:trPr>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Paragraph"/>
              <w:widowControl w:val="false"/>
              <w:tabs>
                <w:tab w:val="left" w:pos="1815" w:leader="none"/>
              </w:tabs>
              <w:spacing w:lineRule="auto" w:line="240" w:before="0" w:after="0"/>
              <w:ind w:left="4" w:right="0" w:hanging="0"/>
              <w:rPr>
                <w:sz w:val="24"/>
                <w:lang w:val="en-US"/>
              </w:rPr>
            </w:pPr>
            <w:r>
              <w:rPr>
                <w:sz w:val="24"/>
                <w:lang w:val="en-US"/>
              </w:rPr>
            </w:r>
          </w:p>
        </w:tc>
        <w:tc>
          <w:tcPr>
            <w:tcW w:w="2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ableParagraph"/>
              <w:widowControl w:val="false"/>
              <w:spacing w:lineRule="auto" w:line="240" w:before="0" w:after="0"/>
              <w:ind w:left="19" w:right="13" w:hanging="0"/>
              <w:jc w:val="center"/>
              <w:rPr>
                <w:sz w:val="24"/>
              </w:rPr>
            </w:pPr>
            <w:r>
              <w:rPr>
                <w:sz w:val="24"/>
                <w:lang w:val="en-US"/>
              </w:rPr>
              <w:t>в % к предыдущему году</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TableParagraph"/>
              <w:widowControl w:val="false"/>
              <w:tabs>
                <w:tab w:val="left" w:pos="1815" w:leader="none"/>
              </w:tabs>
              <w:spacing w:lineRule="auto" w:line="240" w:before="0" w:after="0"/>
              <w:ind w:left="4" w:right="0" w:hanging="0"/>
              <w:jc w:val="center"/>
              <w:rPr>
                <w:sz w:val="24"/>
                <w:lang w:val="ru-RU"/>
              </w:rPr>
            </w:pPr>
            <w:r>
              <w:rPr>
                <w:sz w:val="24"/>
                <w:lang w:val="ru-RU"/>
              </w:rPr>
              <w:t>108,6</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TableParagraph"/>
              <w:widowControl w:val="false"/>
              <w:tabs>
                <w:tab w:val="left" w:pos="1815" w:leader="none"/>
              </w:tabs>
              <w:spacing w:lineRule="auto" w:line="240" w:before="0" w:after="0"/>
              <w:ind w:left="4" w:right="0" w:hanging="0"/>
              <w:jc w:val="center"/>
              <w:rPr>
                <w:sz w:val="24"/>
                <w:lang w:val="ru-RU"/>
              </w:rPr>
            </w:pPr>
            <w:r>
              <w:rPr>
                <w:sz w:val="24"/>
                <w:lang w:val="ru-RU"/>
              </w:rPr>
              <w:t>110,8</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TableParagraph"/>
              <w:widowControl w:val="false"/>
              <w:tabs>
                <w:tab w:val="left" w:pos="1815" w:leader="none"/>
              </w:tabs>
              <w:spacing w:lineRule="auto" w:line="240" w:before="0" w:after="0"/>
              <w:ind w:left="4" w:right="0" w:hanging="0"/>
              <w:jc w:val="center"/>
              <w:rPr>
                <w:sz w:val="24"/>
                <w:lang w:val="ru-RU"/>
              </w:rPr>
            </w:pPr>
            <w:r>
              <w:rPr>
                <w:sz w:val="24"/>
                <w:lang w:val="ru-RU"/>
              </w:rPr>
              <w:t>104,7</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TableParagraph"/>
              <w:widowControl w:val="false"/>
              <w:tabs>
                <w:tab w:val="left" w:pos="1815" w:leader="none"/>
              </w:tabs>
              <w:spacing w:lineRule="auto" w:line="240" w:before="0" w:after="0"/>
              <w:ind w:left="4" w:right="0" w:hanging="0"/>
              <w:jc w:val="center"/>
              <w:rPr>
                <w:sz w:val="24"/>
                <w:lang w:val="ru-RU"/>
              </w:rPr>
            </w:pPr>
            <w:r>
              <w:rPr>
                <w:sz w:val="24"/>
                <w:lang w:val="ru-RU"/>
              </w:rPr>
              <w:t>105,1</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TableParagraph"/>
              <w:widowControl w:val="false"/>
              <w:tabs>
                <w:tab w:val="left" w:pos="1815" w:leader="none"/>
              </w:tabs>
              <w:spacing w:lineRule="auto" w:line="240" w:before="0" w:after="0"/>
              <w:ind w:left="4" w:right="0" w:hanging="0"/>
              <w:jc w:val="center"/>
              <w:rPr>
                <w:sz w:val="24"/>
                <w:lang w:val="ru-RU"/>
              </w:rPr>
            </w:pPr>
            <w:r>
              <w:rPr>
                <w:sz w:val="24"/>
                <w:lang w:val="ru-RU"/>
              </w:rPr>
              <w:t>105,5</w:t>
            </w:r>
          </w:p>
        </w:tc>
      </w:tr>
    </w:tbl>
    <w:p>
      <w:pPr>
        <w:pStyle w:val="13"/>
        <w:widowControl/>
        <w:tabs>
          <w:tab w:val="left" w:pos="567" w:leader="none"/>
          <w:tab w:val="left" w:pos="851" w:leader="none"/>
        </w:tabs>
        <w:ind w:firstLine="709"/>
        <w:jc w:val="center"/>
        <w:rPr>
          <w:rFonts w:ascii="Times New Roman" w:hAnsi="Times New Roman" w:eastAsia="Symbol" w:cs="Times New Roman"/>
          <w:sz w:val="28"/>
          <w:szCs w:val="28"/>
        </w:rPr>
      </w:pPr>
      <w:r>
        <w:rPr>
          <w:rFonts w:eastAsia="Symbol" w:cs="Times New Roman" w:ascii="Times New Roman" w:hAnsi="Times New Roman"/>
          <w:sz w:val="28"/>
          <w:szCs w:val="28"/>
        </w:rPr>
      </w:r>
    </w:p>
    <w:p>
      <w:pPr>
        <w:pStyle w:val="13"/>
        <w:widowControl/>
        <w:tabs>
          <w:tab w:val="left" w:pos="567" w:leader="none"/>
          <w:tab w:val="left" w:pos="851" w:leader="none"/>
        </w:tabs>
        <w:ind w:firstLine="709"/>
        <w:jc w:val="both"/>
        <w:rPr>
          <w:rFonts w:ascii="Times New Roman" w:hAnsi="Times New Roman" w:eastAsia="Symbol" w:cs="Times New Roman"/>
          <w:sz w:val="28"/>
          <w:szCs w:val="28"/>
        </w:rPr>
      </w:pPr>
      <w:r>
        <w:rPr/>
        <w:drawing>
          <wp:inline distT="0" distB="0" distL="0" distR="0">
            <wp:extent cx="5486400" cy="2286000"/>
            <wp:effectExtent l="0" t="0" r="0" b="0"/>
            <wp:docPr id="1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Standard"/>
        <w:jc w:val="center"/>
        <w:rPr>
          <w:rFonts w:eastAsia="Symbol"/>
          <w:b/>
          <w:b/>
          <w:szCs w:val="28"/>
        </w:rPr>
      </w:pPr>
      <w:r>
        <w:rPr>
          <w:b/>
        </w:rPr>
        <w:t xml:space="preserve">Рис. 15 – </w:t>
      </w:r>
      <w:r>
        <w:rPr>
          <w:rFonts w:eastAsia="Symbol"/>
          <w:b/>
          <w:szCs w:val="28"/>
        </w:rPr>
        <w:t>динамика среднемесячной начисленной заработной платы и пенсии в городе-курорте Железноводске</w:t>
      </w:r>
    </w:p>
    <w:p>
      <w:pPr>
        <w:pStyle w:val="Standard"/>
        <w:jc w:val="center"/>
        <w:rPr>
          <w:rFonts w:eastAsia="Symbol"/>
          <w:sz w:val="28"/>
          <w:szCs w:val="28"/>
        </w:rPr>
      </w:pPr>
      <w:r>
        <w:rPr>
          <w:rFonts w:eastAsia="Symbol"/>
          <w:sz w:val="28"/>
          <w:szCs w:val="28"/>
        </w:rPr>
      </w:r>
    </w:p>
    <w:p>
      <w:pPr>
        <w:pStyle w:val="Standard"/>
        <w:rPr>
          <w:rFonts w:eastAsia="Calibri"/>
          <w:sz w:val="28"/>
          <w:szCs w:val="28"/>
        </w:rPr>
      </w:pPr>
      <w:r>
        <w:rPr>
          <w:rFonts w:eastAsia="Calibri"/>
          <w:sz w:val="28"/>
          <w:szCs w:val="28"/>
        </w:rPr>
        <w:t>В 2018 году город Железноводск занимал четвертое место по показателю среднемесячной номинальной начисленной заработной платы среди городов-курортов Кавказских Минеральных Вод</w:t>
      </w:r>
    </w:p>
    <w:p>
      <w:pPr>
        <w:pStyle w:val="Standard"/>
        <w:rPr>
          <w:rFonts w:eastAsia="Calibri"/>
          <w:sz w:val="28"/>
          <w:szCs w:val="28"/>
        </w:rPr>
      </w:pPr>
      <w:r>
        <w:rPr>
          <w:rFonts w:eastAsia="Calibri"/>
          <w:sz w:val="28"/>
          <w:szCs w:val="28"/>
        </w:rPr>
      </w:r>
    </w:p>
    <w:p>
      <w:pPr>
        <w:pStyle w:val="22"/>
        <w:jc w:val="center"/>
        <w:rPr>
          <w:b/>
          <w:b/>
          <w:i/>
          <w:i/>
          <w:color w:val="00000A"/>
        </w:rPr>
      </w:pPr>
      <w:r>
        <w:rPr>
          <w:b/>
          <w:i/>
          <w:color w:val="00000A"/>
        </w:rPr>
        <w:t>Образование</w:t>
      </w:r>
    </w:p>
    <w:p>
      <w:pPr>
        <w:pStyle w:val="22"/>
        <w:jc w:val="center"/>
        <w:rPr>
          <w:i/>
          <w:i/>
          <w:color w:val="00000A"/>
        </w:rPr>
      </w:pPr>
      <w:r>
        <w:rPr>
          <w:i/>
          <w:color w:val="00000A"/>
        </w:rPr>
      </w:r>
    </w:p>
    <w:p>
      <w:pPr>
        <w:pStyle w:val="Normal"/>
        <w:spacing w:lineRule="auto" w:line="240" w:before="0" w:after="0"/>
        <w:ind w:firstLine="709"/>
        <w:jc w:val="both"/>
        <w:rPr>
          <w:rFonts w:ascii="Times New Roman" w:hAnsi="Times New Roman" w:eastAsia="Times New Roman" w:cs="Times New Roman"/>
          <w:bCs/>
          <w:color w:val="00000A"/>
          <w:sz w:val="28"/>
          <w:szCs w:val="28"/>
          <w:lang w:eastAsia="ar-SA"/>
        </w:rPr>
      </w:pPr>
      <w:r>
        <w:rPr>
          <w:rFonts w:eastAsia="Times New Roman" w:cs="Times New Roman" w:ascii="Times New Roman" w:hAnsi="Times New Roman"/>
          <w:bCs/>
          <w:color w:val="00000A"/>
          <w:sz w:val="28"/>
          <w:szCs w:val="28"/>
          <w:lang w:eastAsia="ar-SA"/>
        </w:rPr>
        <w:t xml:space="preserve">Приоритетным направлением в области образования города-курорта Железноводска является создание условий для реализации гражданами своих прав на качественное образование, соответствующее потребностям современного общества. </w:t>
      </w:r>
    </w:p>
    <w:p>
      <w:pPr>
        <w:pStyle w:val="Normal"/>
        <w:spacing w:lineRule="auto" w:line="240" w:before="0" w:after="0"/>
        <w:ind w:firstLine="709"/>
        <w:jc w:val="both"/>
        <w:rPr>
          <w:rFonts w:ascii="Times New Roman" w:hAnsi="Times New Roman" w:eastAsia="Times New Roman" w:cs="Times New Roman"/>
          <w:bCs/>
          <w:color w:val="00000A"/>
          <w:sz w:val="28"/>
          <w:szCs w:val="28"/>
          <w:lang w:eastAsia="ar-SA"/>
        </w:rPr>
      </w:pPr>
      <w:r>
        <w:rPr>
          <w:rFonts w:eastAsia="Times New Roman" w:cs="Times New Roman" w:ascii="Times New Roman" w:hAnsi="Times New Roman"/>
          <w:bCs/>
          <w:color w:val="00000A"/>
          <w:sz w:val="28"/>
          <w:szCs w:val="28"/>
          <w:lang w:eastAsia="ar-SA"/>
        </w:rPr>
        <w:t xml:space="preserve">Сфера образования представлена развитой сетью образовательных организаций дошкольного, общего и дополнительного образования. </w:t>
      </w:r>
    </w:p>
    <w:p>
      <w:pPr>
        <w:pStyle w:val="Normal"/>
        <w:spacing w:lineRule="auto" w:line="240" w:before="0" w:after="0"/>
        <w:ind w:firstLine="709"/>
        <w:jc w:val="both"/>
        <w:rPr>
          <w:rFonts w:ascii="Times New Roman" w:hAnsi="Times New Roman" w:eastAsia="Times New Roman" w:cs="Times New Roman"/>
          <w:bCs/>
          <w:i/>
          <w:i/>
          <w:color w:val="00000A"/>
          <w:sz w:val="28"/>
          <w:szCs w:val="28"/>
          <w:lang w:eastAsia="ar-SA"/>
        </w:rPr>
      </w:pPr>
      <w:r>
        <w:rPr>
          <w:rFonts w:eastAsia="Times New Roman" w:cs="Times New Roman" w:ascii="Times New Roman" w:hAnsi="Times New Roman"/>
          <w:bCs/>
          <w:i/>
          <w:color w:val="00000A"/>
          <w:sz w:val="28"/>
          <w:szCs w:val="28"/>
          <w:lang w:eastAsia="ar-SA"/>
        </w:rPr>
        <w:t xml:space="preserve">Дошкольное образование </w:t>
      </w:r>
    </w:p>
    <w:p>
      <w:pPr>
        <w:pStyle w:val="Normal"/>
        <w:spacing w:lineRule="auto" w:line="240" w:before="0" w:after="0"/>
        <w:ind w:firstLine="709"/>
        <w:jc w:val="both"/>
        <w:rPr>
          <w:rFonts w:ascii="Times New Roman" w:hAnsi="Times New Roman" w:cs="Times New Roman"/>
          <w:b/>
          <w:b/>
          <w:sz w:val="24"/>
        </w:rPr>
      </w:pPr>
      <w:r>
        <w:rPr>
          <w:rFonts w:eastAsia="Times New Roman" w:cs="Times New Roman" w:ascii="Times New Roman" w:hAnsi="Times New Roman"/>
          <w:bCs/>
          <w:color w:val="00000A"/>
          <w:sz w:val="28"/>
          <w:szCs w:val="28"/>
          <w:lang w:eastAsia="ar-SA"/>
        </w:rPr>
        <w:t xml:space="preserve">В области дошкольного образования за последние 6 лет в городе-курорте Железноводске были достигнуты определенные результаты: проведен капитальный ремонт и реконструкция 2-х дошкольных образовательных организаций, введен в действие новый детский сад на 150 мест в пос. Иноземцево.  Ввод в действие объектов образования позволил увеличить доступность дошкольного образования для детей в возрасте от 3 до 7 лет до </w:t>
        <w:br/>
        <w:t xml:space="preserve">100 процентов, а также обеспечить улучшение условий обучения детей. Увеличилась обеспеченность дошкольными образовательными организациями с 368 до 641 места на 1000 детей в возрасте от 1 года до 6 лет, </w:t>
      </w:r>
      <w:r>
        <w:rPr>
          <w:rFonts w:eastAsia="Times New Roman" w:cs="Times New Roman" w:ascii="Times New Roman" w:hAnsi="Times New Roman"/>
          <w:bCs/>
          <w:color w:val="000000"/>
          <w:sz w:val="28"/>
          <w:szCs w:val="28"/>
          <w:shd w:fill="auto" w:val="clear"/>
          <w:lang w:eastAsia="ar-SA"/>
        </w:rPr>
        <w:t>что составляет 64,2 процента.  Вместе с тем, город все еще не достиг 100 % обеспеченности местами в дошкольных образовательных организациях.</w:t>
      </w:r>
    </w:p>
    <w:p>
      <w:pPr>
        <w:pStyle w:val="Normal"/>
        <w:spacing w:lineRule="auto" w:line="240" w:before="0" w:after="0"/>
        <w:ind w:firstLine="709"/>
        <w:jc w:val="both"/>
        <w:rPr>
          <w:rFonts w:ascii="Times New Roman" w:hAnsi="Times New Roman" w:cs="Times New Roman"/>
          <w:b/>
          <w:b/>
          <w:sz w:val="24"/>
        </w:rPr>
      </w:pPr>
      <w:r>
        <w:rPr>
          <w:rFonts w:cs="Times New Roman" w:ascii="Times New Roman" w:hAnsi="Times New Roman"/>
          <w:b/>
          <w:sz w:val="24"/>
        </w:rPr>
        <w:t>Таблица 6</w:t>
      </w:r>
    </w:p>
    <w:p>
      <w:pPr>
        <w:pStyle w:val="Normal"/>
        <w:spacing w:lineRule="auto" w:line="240" w:before="0" w:after="0"/>
        <w:ind w:firstLine="709"/>
        <w:jc w:val="center"/>
        <w:rPr>
          <w:rFonts w:ascii="Times New Roman" w:hAnsi="Times New Roman" w:cs="Times New Roman"/>
          <w:b/>
          <w:b/>
          <w:sz w:val="20"/>
        </w:rPr>
      </w:pPr>
      <w:r>
        <w:rPr>
          <w:rFonts w:cs="Times New Roman" w:ascii="Times New Roman" w:hAnsi="Times New Roman"/>
          <w:b/>
          <w:sz w:val="24"/>
        </w:rPr>
        <w:t>Основные показатели системы муниципальных дошкольных образовательных учреждений</w:t>
      </w:r>
    </w:p>
    <w:tbl>
      <w:tblPr>
        <w:tblW w:w="9673" w:type="dxa"/>
        <w:jc w:val="left"/>
        <w:tblInd w:w="-15" w:type="dxa"/>
        <w:tblBorders>
          <w:top w:val="single" w:sz="4" w:space="0" w:color="000001"/>
          <w:left w:val="single" w:sz="4" w:space="0" w:color="000001"/>
          <w:bottom w:val="single" w:sz="4" w:space="0" w:color="000001"/>
          <w:insideH w:val="single" w:sz="4" w:space="0" w:color="000001"/>
        </w:tblBorders>
        <w:tblCellMar>
          <w:top w:w="0" w:type="dxa"/>
          <w:left w:w="93" w:type="dxa"/>
          <w:bottom w:w="0" w:type="dxa"/>
          <w:right w:w="108" w:type="dxa"/>
        </w:tblCellMar>
        <w:tblLook w:noVBand="0" w:val="0000" w:noHBand="0" w:lastColumn="0" w:firstColumn="0" w:lastRow="0" w:firstRow="0"/>
      </w:tblPr>
      <w:tblGrid>
        <w:gridCol w:w="4824"/>
        <w:gridCol w:w="968"/>
        <w:gridCol w:w="967"/>
        <w:gridCol w:w="967"/>
        <w:gridCol w:w="968"/>
        <w:gridCol w:w="978"/>
      </w:tblGrid>
      <w:tr>
        <w:trPr>
          <w:trHeight w:val="487" w:hRule="atLeast"/>
        </w:trPr>
        <w:tc>
          <w:tcPr>
            <w:tcW w:w="4824" w:type="dxa"/>
            <w:tcBorders>
              <w:top w:val="single" w:sz="4" w:space="0" w:color="000001"/>
              <w:left w:val="single" w:sz="4" w:space="0" w:color="000001"/>
              <w:bottom w:val="single" w:sz="4" w:space="0" w:color="000001"/>
              <w:insideH w:val="single" w:sz="4" w:space="0" w:color="000001"/>
            </w:tcBorders>
            <w:shd w:color="auto" w:fill="E0E0E0" w:val="clear"/>
            <w:tcMar>
              <w:left w:w="93" w:type="dxa"/>
            </w:tcMar>
            <w:vAlign w:val="center"/>
          </w:tcPr>
          <w:p>
            <w:pPr>
              <w:pStyle w:val="Normal"/>
              <w:spacing w:lineRule="auto" w:line="240" w:before="0" w:after="0"/>
              <w:ind w:firstLine="709"/>
              <w:jc w:val="center"/>
              <w:rPr>
                <w:rFonts w:ascii="Times New Roman" w:hAnsi="Times New Roman" w:cs="Times New Roman"/>
                <w:b/>
                <w:b/>
                <w:szCs w:val="18"/>
              </w:rPr>
            </w:pPr>
            <w:r>
              <w:rPr>
                <w:rFonts w:cs="Times New Roman" w:ascii="Times New Roman" w:hAnsi="Times New Roman"/>
                <w:b/>
                <w:szCs w:val="18"/>
              </w:rPr>
              <w:t>Показатели</w:t>
            </w:r>
          </w:p>
        </w:tc>
        <w:tc>
          <w:tcPr>
            <w:tcW w:w="968" w:type="dxa"/>
            <w:tcBorders>
              <w:top w:val="single" w:sz="4" w:space="0" w:color="000001"/>
              <w:left w:val="single" w:sz="4" w:space="0" w:color="000001"/>
              <w:bottom w:val="single" w:sz="4" w:space="0" w:color="000001"/>
              <w:insideH w:val="single" w:sz="4" w:space="0" w:color="000001"/>
            </w:tcBorders>
            <w:shd w:color="auto" w:fill="E0E0E0" w:val="clear"/>
            <w:tcMar>
              <w:left w:w="93"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b/>
                <w:szCs w:val="18"/>
              </w:rPr>
              <w:t>2014</w:t>
            </w:r>
          </w:p>
        </w:tc>
        <w:tc>
          <w:tcPr>
            <w:tcW w:w="967" w:type="dxa"/>
            <w:tcBorders>
              <w:top w:val="single" w:sz="4" w:space="0" w:color="000001"/>
              <w:left w:val="single" w:sz="4" w:space="0" w:color="000001"/>
              <w:bottom w:val="single" w:sz="4" w:space="0" w:color="000001"/>
              <w:insideH w:val="single" w:sz="4" w:space="0" w:color="000001"/>
            </w:tcBorders>
            <w:shd w:color="auto" w:fill="E0E0E0" w:val="clear"/>
            <w:tcMar>
              <w:left w:w="93"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b/>
                <w:szCs w:val="18"/>
              </w:rPr>
              <w:t>2015</w:t>
            </w:r>
          </w:p>
        </w:tc>
        <w:tc>
          <w:tcPr>
            <w:tcW w:w="967" w:type="dxa"/>
            <w:tcBorders>
              <w:top w:val="single" w:sz="4" w:space="0" w:color="000001"/>
              <w:left w:val="single" w:sz="4" w:space="0" w:color="000001"/>
              <w:bottom w:val="single" w:sz="4" w:space="0" w:color="000001"/>
              <w:insideH w:val="single" w:sz="4" w:space="0" w:color="000001"/>
            </w:tcBorders>
            <w:shd w:color="auto" w:fill="E0E0E0" w:val="clear"/>
            <w:tcMar>
              <w:left w:w="93"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b/>
                <w:szCs w:val="18"/>
              </w:rPr>
              <w:t>2016</w:t>
            </w:r>
          </w:p>
        </w:tc>
        <w:tc>
          <w:tcPr>
            <w:tcW w:w="968" w:type="dxa"/>
            <w:tcBorders>
              <w:top w:val="single" w:sz="4" w:space="0" w:color="000001"/>
              <w:left w:val="single" w:sz="4" w:space="0" w:color="000001"/>
              <w:bottom w:val="single" w:sz="4" w:space="0" w:color="000001"/>
              <w:insideH w:val="single" w:sz="4" w:space="0" w:color="000001"/>
            </w:tcBorders>
            <w:shd w:color="auto" w:fill="E0E0E0" w:val="clear"/>
            <w:tcMar>
              <w:left w:w="93"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b/>
                <w:szCs w:val="18"/>
              </w:rPr>
              <w:t>2017</w:t>
            </w:r>
          </w:p>
        </w:tc>
        <w:tc>
          <w:tcPr>
            <w:tcW w:w="9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E0E0E0" w:val="clear"/>
            <w:tcMar>
              <w:left w:w="93"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b/>
                <w:szCs w:val="18"/>
              </w:rPr>
              <w:t>2018</w:t>
            </w:r>
          </w:p>
        </w:tc>
      </w:tr>
      <w:tr>
        <w:trPr>
          <w:trHeight w:val="234" w:hRule="atLeast"/>
        </w:trPr>
        <w:tc>
          <w:tcPr>
            <w:tcW w:w="4824" w:type="dxa"/>
            <w:tcBorders>
              <w:top w:val="single" w:sz="4" w:space="0" w:color="000001"/>
              <w:left w:val="single" w:sz="4" w:space="0" w:color="000001"/>
              <w:bottom w:val="single" w:sz="4" w:space="0" w:color="000001"/>
              <w:insideH w:val="single" w:sz="4" w:space="0" w:color="000001"/>
            </w:tcBorders>
            <w:shd w:color="auto" w:fill="auto" w:val="clear"/>
            <w:tcMar>
              <w:left w:w="93" w:type="dxa"/>
            </w:tcMar>
          </w:tcPr>
          <w:p>
            <w:pPr>
              <w:pStyle w:val="Normal"/>
              <w:spacing w:lineRule="auto" w:line="240" w:before="0" w:after="0"/>
              <w:jc w:val="both"/>
              <w:rPr>
                <w:rFonts w:ascii="Times New Roman" w:hAnsi="Times New Roman" w:cs="Times New Roman"/>
                <w:color w:val="000000"/>
                <w:szCs w:val="18"/>
              </w:rPr>
            </w:pPr>
            <w:r>
              <w:rPr>
                <w:rFonts w:cs="Times New Roman" w:ascii="Times New Roman" w:hAnsi="Times New Roman"/>
                <w:szCs w:val="18"/>
              </w:rPr>
              <w:t>Число учреждений</w:t>
            </w:r>
          </w:p>
        </w:tc>
        <w:tc>
          <w:tcPr>
            <w:tcW w:w="968" w:type="dxa"/>
            <w:tcBorders>
              <w:top w:val="single" w:sz="4" w:space="0" w:color="000001"/>
              <w:left w:val="single" w:sz="4" w:space="0" w:color="000001"/>
              <w:bottom w:val="single" w:sz="4" w:space="0" w:color="000001"/>
              <w:insideH w:val="single" w:sz="4" w:space="0" w:color="000001"/>
            </w:tcBorders>
            <w:shd w:color="auto" w:fill="auto" w:val="clear"/>
            <w:tcMar>
              <w:left w:w="93" w:type="dxa"/>
            </w:tcMar>
            <w:vAlign w:val="center"/>
          </w:tcPr>
          <w:p>
            <w:pPr>
              <w:pStyle w:val="Normal"/>
              <w:spacing w:lineRule="auto" w:line="240" w:before="0" w:after="0"/>
              <w:jc w:val="center"/>
              <w:rPr>
                <w:rFonts w:ascii="Times New Roman" w:hAnsi="Times New Roman" w:cs="Times New Roman"/>
                <w:color w:val="000000"/>
                <w:szCs w:val="18"/>
              </w:rPr>
            </w:pPr>
            <w:r>
              <w:rPr>
                <w:rFonts w:cs="Times New Roman" w:ascii="Times New Roman" w:hAnsi="Times New Roman"/>
                <w:color w:val="000000"/>
                <w:szCs w:val="18"/>
              </w:rPr>
              <w:t>14</w:t>
            </w:r>
          </w:p>
        </w:tc>
        <w:tc>
          <w:tcPr>
            <w:tcW w:w="967" w:type="dxa"/>
            <w:tcBorders>
              <w:top w:val="single" w:sz="4" w:space="0" w:color="000001"/>
              <w:left w:val="single" w:sz="4" w:space="0" w:color="000001"/>
              <w:bottom w:val="single" w:sz="4" w:space="0" w:color="000001"/>
              <w:insideH w:val="single" w:sz="4" w:space="0" w:color="000001"/>
            </w:tcBorders>
            <w:shd w:color="auto" w:fill="auto" w:val="clear"/>
            <w:tcMar>
              <w:left w:w="93" w:type="dxa"/>
            </w:tcMar>
            <w:vAlign w:val="center"/>
          </w:tcPr>
          <w:p>
            <w:pPr>
              <w:pStyle w:val="Normal"/>
              <w:spacing w:lineRule="auto" w:line="240" w:before="0" w:after="0"/>
              <w:jc w:val="center"/>
              <w:rPr>
                <w:rFonts w:ascii="Times New Roman" w:hAnsi="Times New Roman" w:cs="Times New Roman"/>
                <w:color w:val="000000"/>
                <w:szCs w:val="18"/>
              </w:rPr>
            </w:pPr>
            <w:r>
              <w:rPr>
                <w:rFonts w:cs="Times New Roman" w:ascii="Times New Roman" w:hAnsi="Times New Roman"/>
                <w:color w:val="000000"/>
                <w:szCs w:val="18"/>
              </w:rPr>
              <w:t>14</w:t>
            </w:r>
          </w:p>
        </w:tc>
        <w:tc>
          <w:tcPr>
            <w:tcW w:w="967" w:type="dxa"/>
            <w:tcBorders>
              <w:top w:val="single" w:sz="4" w:space="0" w:color="000001"/>
              <w:left w:val="single" w:sz="4" w:space="0" w:color="000001"/>
              <w:bottom w:val="single" w:sz="4" w:space="0" w:color="000001"/>
              <w:insideH w:val="single" w:sz="4" w:space="0" w:color="000001"/>
            </w:tcBorders>
            <w:shd w:color="auto" w:fill="auto" w:val="clear"/>
            <w:tcMar>
              <w:left w:w="93" w:type="dxa"/>
            </w:tcMar>
            <w:vAlign w:val="center"/>
          </w:tcPr>
          <w:p>
            <w:pPr>
              <w:pStyle w:val="Normal"/>
              <w:spacing w:lineRule="auto" w:line="240" w:before="0" w:after="0"/>
              <w:jc w:val="center"/>
              <w:rPr>
                <w:rFonts w:ascii="Times New Roman" w:hAnsi="Times New Roman" w:cs="Times New Roman"/>
                <w:color w:val="000000"/>
                <w:szCs w:val="18"/>
              </w:rPr>
            </w:pPr>
            <w:r>
              <w:rPr>
                <w:rFonts w:cs="Times New Roman" w:ascii="Times New Roman" w:hAnsi="Times New Roman"/>
                <w:color w:val="000000"/>
                <w:szCs w:val="18"/>
              </w:rPr>
              <w:t>14</w:t>
            </w:r>
          </w:p>
        </w:tc>
        <w:tc>
          <w:tcPr>
            <w:tcW w:w="968" w:type="dxa"/>
            <w:tcBorders>
              <w:top w:val="single" w:sz="4" w:space="0" w:color="000001"/>
              <w:left w:val="single" w:sz="4" w:space="0" w:color="000001"/>
              <w:bottom w:val="single" w:sz="4" w:space="0" w:color="000001"/>
              <w:insideH w:val="single" w:sz="4" w:space="0" w:color="000001"/>
            </w:tcBorders>
            <w:shd w:color="auto" w:fill="auto" w:val="clear"/>
            <w:tcMar>
              <w:left w:w="93" w:type="dxa"/>
            </w:tcMar>
            <w:vAlign w:val="center"/>
          </w:tcPr>
          <w:p>
            <w:pPr>
              <w:pStyle w:val="Normal"/>
              <w:spacing w:lineRule="auto" w:line="240" w:before="0" w:after="0"/>
              <w:jc w:val="center"/>
              <w:rPr>
                <w:rFonts w:ascii="Times New Roman" w:hAnsi="Times New Roman" w:cs="Times New Roman"/>
                <w:color w:val="000000"/>
                <w:szCs w:val="18"/>
              </w:rPr>
            </w:pPr>
            <w:r>
              <w:rPr>
                <w:rFonts w:cs="Times New Roman" w:ascii="Times New Roman" w:hAnsi="Times New Roman"/>
                <w:color w:val="000000"/>
                <w:szCs w:val="18"/>
              </w:rPr>
              <w:t>14</w:t>
            </w:r>
          </w:p>
        </w:tc>
        <w:tc>
          <w:tcPr>
            <w:tcW w:w="9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3"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color w:val="000000"/>
                <w:szCs w:val="18"/>
              </w:rPr>
              <w:t>14</w:t>
            </w:r>
          </w:p>
        </w:tc>
      </w:tr>
      <w:tr>
        <w:trPr>
          <w:trHeight w:val="248" w:hRule="atLeast"/>
        </w:trPr>
        <w:tc>
          <w:tcPr>
            <w:tcW w:w="4824" w:type="dxa"/>
            <w:tcBorders>
              <w:top w:val="single" w:sz="4" w:space="0" w:color="000001"/>
              <w:left w:val="single" w:sz="4" w:space="0" w:color="000001"/>
              <w:bottom w:val="single" w:sz="4" w:space="0" w:color="000001"/>
              <w:insideH w:val="single" w:sz="4" w:space="0" w:color="000001"/>
            </w:tcBorders>
            <w:shd w:color="auto" w:fill="auto" w:val="clear"/>
            <w:tcMar>
              <w:left w:w="93" w:type="dxa"/>
            </w:tcMar>
          </w:tcPr>
          <w:p>
            <w:pPr>
              <w:pStyle w:val="NormalWeb"/>
              <w:spacing w:before="0" w:after="0"/>
              <w:jc w:val="both"/>
              <w:rPr>
                <w:color w:val="000000"/>
                <w:sz w:val="22"/>
                <w:szCs w:val="18"/>
              </w:rPr>
            </w:pPr>
            <w:r>
              <w:rPr>
                <w:sz w:val="22"/>
                <w:szCs w:val="18"/>
              </w:rPr>
              <w:t>Численность детей в ДОУ, чел.</w:t>
            </w:r>
          </w:p>
        </w:tc>
        <w:tc>
          <w:tcPr>
            <w:tcW w:w="968" w:type="dxa"/>
            <w:tcBorders>
              <w:top w:val="single" w:sz="4" w:space="0" w:color="000001"/>
              <w:left w:val="single" w:sz="4" w:space="0" w:color="000001"/>
              <w:bottom w:val="single" w:sz="4" w:space="0" w:color="000001"/>
              <w:insideH w:val="single" w:sz="4" w:space="0" w:color="000001"/>
            </w:tcBorders>
            <w:shd w:color="auto" w:fill="auto" w:val="clear"/>
            <w:tcMar>
              <w:left w:w="93"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color w:val="000000"/>
                <w:szCs w:val="18"/>
              </w:rPr>
              <w:t>2363</w:t>
            </w:r>
          </w:p>
        </w:tc>
        <w:tc>
          <w:tcPr>
            <w:tcW w:w="967" w:type="dxa"/>
            <w:tcBorders>
              <w:top w:val="single" w:sz="4" w:space="0" w:color="000001"/>
              <w:left w:val="single" w:sz="4" w:space="0" w:color="000001"/>
              <w:bottom w:val="single" w:sz="4" w:space="0" w:color="000001"/>
              <w:insideH w:val="single" w:sz="4" w:space="0" w:color="000001"/>
            </w:tcBorders>
            <w:shd w:color="auto" w:fill="auto" w:val="clear"/>
            <w:tcMar>
              <w:left w:w="93"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color w:val="000000"/>
                <w:szCs w:val="18"/>
              </w:rPr>
              <w:t>2467</w:t>
            </w:r>
          </w:p>
        </w:tc>
        <w:tc>
          <w:tcPr>
            <w:tcW w:w="967" w:type="dxa"/>
            <w:tcBorders>
              <w:top w:val="single" w:sz="4" w:space="0" w:color="000001"/>
              <w:left w:val="single" w:sz="4" w:space="0" w:color="000001"/>
              <w:bottom w:val="single" w:sz="4" w:space="0" w:color="000001"/>
              <w:insideH w:val="single" w:sz="4" w:space="0" w:color="000001"/>
            </w:tcBorders>
            <w:shd w:color="auto" w:fill="auto" w:val="clear"/>
            <w:tcMar>
              <w:left w:w="93"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color w:val="000000"/>
                <w:szCs w:val="18"/>
              </w:rPr>
              <w:t>2502</w:t>
            </w:r>
          </w:p>
        </w:tc>
        <w:tc>
          <w:tcPr>
            <w:tcW w:w="968" w:type="dxa"/>
            <w:tcBorders>
              <w:top w:val="single" w:sz="4" w:space="0" w:color="000001"/>
              <w:left w:val="single" w:sz="4" w:space="0" w:color="000001"/>
              <w:bottom w:val="single" w:sz="4" w:space="0" w:color="000001"/>
              <w:insideH w:val="single" w:sz="4" w:space="0" w:color="000001"/>
            </w:tcBorders>
            <w:shd w:color="auto" w:fill="auto" w:val="clear"/>
            <w:tcMar>
              <w:left w:w="93"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color w:val="000000"/>
                <w:szCs w:val="18"/>
              </w:rPr>
              <w:t>2574</w:t>
            </w:r>
          </w:p>
        </w:tc>
        <w:tc>
          <w:tcPr>
            <w:tcW w:w="9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3"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color w:val="000000"/>
                <w:szCs w:val="18"/>
              </w:rPr>
              <w:t>2625</w:t>
            </w:r>
          </w:p>
        </w:tc>
      </w:tr>
      <w:tr>
        <w:trPr>
          <w:trHeight w:val="163" w:hRule="atLeast"/>
        </w:trPr>
        <w:tc>
          <w:tcPr>
            <w:tcW w:w="4824" w:type="dxa"/>
            <w:tcBorders>
              <w:top w:val="single" w:sz="4" w:space="0" w:color="000001"/>
              <w:left w:val="single" w:sz="4" w:space="0" w:color="000001"/>
              <w:bottom w:val="single" w:sz="4" w:space="0" w:color="000001"/>
              <w:insideH w:val="single" w:sz="4" w:space="0" w:color="000001"/>
            </w:tcBorders>
            <w:shd w:color="auto" w:fill="auto" w:val="clear"/>
            <w:tcMar>
              <w:left w:w="93" w:type="dxa"/>
            </w:tcMar>
          </w:tcPr>
          <w:p>
            <w:pPr>
              <w:pStyle w:val="Normal"/>
              <w:spacing w:lineRule="auto" w:line="240" w:before="0" w:after="0"/>
              <w:jc w:val="both"/>
              <w:rPr>
                <w:rFonts w:ascii="Times New Roman" w:hAnsi="Times New Roman" w:cs="Times New Roman"/>
                <w:color w:val="000000"/>
                <w:szCs w:val="18"/>
              </w:rPr>
            </w:pPr>
            <w:r>
              <w:rPr>
                <w:rFonts w:cs="Times New Roman" w:ascii="Times New Roman" w:hAnsi="Times New Roman"/>
                <w:szCs w:val="18"/>
              </w:rPr>
              <w:t>Число детей на 100 мест</w:t>
            </w:r>
          </w:p>
        </w:tc>
        <w:tc>
          <w:tcPr>
            <w:tcW w:w="968" w:type="dxa"/>
            <w:tcBorders>
              <w:top w:val="single" w:sz="4" w:space="0" w:color="000001"/>
              <w:left w:val="single" w:sz="4" w:space="0" w:color="000001"/>
              <w:bottom w:val="single" w:sz="4" w:space="0" w:color="000001"/>
              <w:insideH w:val="single" w:sz="4" w:space="0" w:color="000001"/>
            </w:tcBorders>
            <w:shd w:color="auto" w:fill="auto" w:val="clear"/>
            <w:tcMar>
              <w:left w:w="93" w:type="dxa"/>
            </w:tcMar>
            <w:vAlign w:val="center"/>
          </w:tcPr>
          <w:p>
            <w:pPr>
              <w:pStyle w:val="Normal"/>
              <w:spacing w:lineRule="auto" w:line="240" w:before="0" w:after="0"/>
              <w:jc w:val="center"/>
              <w:rPr/>
            </w:pPr>
            <w:r>
              <w:rPr>
                <w:rFonts w:ascii="Times New Roman" w:hAnsi="Times New Roman"/>
                <w:color w:val="000000"/>
                <w:szCs w:val="18"/>
              </w:rPr>
              <w:t>65,07</w:t>
            </w:r>
          </w:p>
        </w:tc>
        <w:tc>
          <w:tcPr>
            <w:tcW w:w="967" w:type="dxa"/>
            <w:tcBorders>
              <w:top w:val="single" w:sz="4" w:space="0" w:color="000001"/>
              <w:left w:val="single" w:sz="4" w:space="0" w:color="000001"/>
              <w:bottom w:val="single" w:sz="4" w:space="0" w:color="000001"/>
              <w:insideH w:val="single" w:sz="4" w:space="0" w:color="000001"/>
            </w:tcBorders>
            <w:shd w:color="auto" w:fill="auto" w:val="clear"/>
            <w:tcMar>
              <w:left w:w="93" w:type="dxa"/>
            </w:tcMar>
            <w:vAlign w:val="center"/>
          </w:tcPr>
          <w:p>
            <w:pPr>
              <w:pStyle w:val="Normal"/>
              <w:spacing w:lineRule="auto" w:line="240" w:before="0" w:after="0"/>
              <w:jc w:val="center"/>
              <w:rPr/>
            </w:pPr>
            <w:r>
              <w:rPr>
                <w:rFonts w:ascii="Times New Roman" w:hAnsi="Times New Roman"/>
                <w:color w:val="000000"/>
                <w:szCs w:val="18"/>
              </w:rPr>
              <w:t>64,73</w:t>
            </w:r>
          </w:p>
        </w:tc>
        <w:tc>
          <w:tcPr>
            <w:tcW w:w="967" w:type="dxa"/>
            <w:tcBorders>
              <w:top w:val="single" w:sz="4" w:space="0" w:color="000001"/>
              <w:left w:val="single" w:sz="4" w:space="0" w:color="000001"/>
              <w:bottom w:val="single" w:sz="4" w:space="0" w:color="000001"/>
              <w:insideH w:val="single" w:sz="4" w:space="0" w:color="000001"/>
            </w:tcBorders>
            <w:shd w:color="auto" w:fill="auto" w:val="clear"/>
            <w:tcMar>
              <w:left w:w="93" w:type="dxa"/>
            </w:tcMar>
            <w:vAlign w:val="center"/>
          </w:tcPr>
          <w:p>
            <w:pPr>
              <w:pStyle w:val="Normal"/>
              <w:spacing w:lineRule="auto" w:line="240" w:before="0" w:after="0"/>
              <w:jc w:val="center"/>
              <w:rPr/>
            </w:pPr>
            <w:r>
              <w:rPr>
                <w:rFonts w:ascii="Times New Roman" w:hAnsi="Times New Roman"/>
                <w:color w:val="000000"/>
                <w:szCs w:val="18"/>
              </w:rPr>
              <w:t>64,73</w:t>
            </w:r>
          </w:p>
        </w:tc>
        <w:tc>
          <w:tcPr>
            <w:tcW w:w="968" w:type="dxa"/>
            <w:tcBorders>
              <w:top w:val="single" w:sz="4" w:space="0" w:color="000001"/>
              <w:left w:val="single" w:sz="4" w:space="0" w:color="000001"/>
              <w:bottom w:val="single" w:sz="4" w:space="0" w:color="000001"/>
              <w:insideH w:val="single" w:sz="4" w:space="0" w:color="000001"/>
            </w:tcBorders>
            <w:shd w:color="auto" w:fill="auto" w:val="clear"/>
            <w:tcMar>
              <w:left w:w="93" w:type="dxa"/>
            </w:tcMar>
            <w:vAlign w:val="center"/>
          </w:tcPr>
          <w:p>
            <w:pPr>
              <w:pStyle w:val="Normal"/>
              <w:spacing w:lineRule="auto" w:line="240" w:before="0" w:after="0"/>
              <w:jc w:val="center"/>
              <w:rPr/>
            </w:pPr>
            <w:r>
              <w:rPr>
                <w:rFonts w:ascii="Times New Roman" w:hAnsi="Times New Roman"/>
                <w:color w:val="000000"/>
                <w:szCs w:val="18"/>
              </w:rPr>
              <w:t>64,37</w:t>
            </w:r>
          </w:p>
        </w:tc>
        <w:tc>
          <w:tcPr>
            <w:tcW w:w="9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3" w:type="dxa"/>
            </w:tcMar>
            <w:vAlign w:val="center"/>
          </w:tcPr>
          <w:p>
            <w:pPr>
              <w:pStyle w:val="Normal"/>
              <w:spacing w:lineRule="auto" w:line="240" w:before="0" w:after="0"/>
              <w:jc w:val="center"/>
              <w:rPr/>
            </w:pPr>
            <w:r>
              <w:rPr>
                <w:rFonts w:ascii="Times New Roman" w:hAnsi="Times New Roman"/>
                <w:color w:val="000000"/>
                <w:szCs w:val="18"/>
              </w:rPr>
              <w:t>47,59</w:t>
            </w:r>
          </w:p>
        </w:tc>
      </w:tr>
      <w:tr>
        <w:trPr>
          <w:trHeight w:val="218" w:hRule="atLeast"/>
        </w:trPr>
        <w:tc>
          <w:tcPr>
            <w:tcW w:w="4824" w:type="dxa"/>
            <w:tcBorders>
              <w:top w:val="single" w:sz="4" w:space="0" w:color="000001"/>
              <w:left w:val="single" w:sz="4" w:space="0" w:color="000001"/>
              <w:bottom w:val="single" w:sz="4" w:space="0" w:color="000001"/>
              <w:insideH w:val="single" w:sz="4" w:space="0" w:color="000001"/>
            </w:tcBorders>
            <w:shd w:color="auto" w:fill="auto" w:val="clear"/>
            <w:tcMar>
              <w:left w:w="93" w:type="dxa"/>
            </w:tcMar>
          </w:tcPr>
          <w:p>
            <w:pPr>
              <w:pStyle w:val="Normal"/>
              <w:spacing w:lineRule="auto" w:line="240" w:before="0" w:after="0"/>
              <w:jc w:val="both"/>
              <w:rPr>
                <w:rFonts w:ascii="Times New Roman" w:hAnsi="Times New Roman" w:cs="Times New Roman"/>
                <w:color w:val="000000"/>
                <w:szCs w:val="18"/>
              </w:rPr>
            </w:pPr>
            <w:r>
              <w:rPr>
                <w:rFonts w:cs="Times New Roman" w:ascii="Times New Roman" w:hAnsi="Times New Roman"/>
                <w:szCs w:val="18"/>
              </w:rPr>
              <w:t>Охват детей дошкольным образованием, %</w:t>
            </w:r>
          </w:p>
        </w:tc>
        <w:tc>
          <w:tcPr>
            <w:tcW w:w="968" w:type="dxa"/>
            <w:tcBorders>
              <w:top w:val="single" w:sz="4" w:space="0" w:color="000001"/>
              <w:left w:val="single" w:sz="4" w:space="0" w:color="000001"/>
              <w:bottom w:val="single" w:sz="4" w:space="0" w:color="000001"/>
              <w:insideH w:val="single" w:sz="4" w:space="0" w:color="000001"/>
            </w:tcBorders>
            <w:shd w:color="auto" w:fill="auto" w:val="clear"/>
            <w:tcMar>
              <w:left w:w="93"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color w:val="000000"/>
                <w:szCs w:val="18"/>
              </w:rPr>
              <w:t>69,1</w:t>
            </w:r>
          </w:p>
        </w:tc>
        <w:tc>
          <w:tcPr>
            <w:tcW w:w="967" w:type="dxa"/>
            <w:tcBorders>
              <w:top w:val="single" w:sz="4" w:space="0" w:color="000001"/>
              <w:left w:val="single" w:sz="4" w:space="0" w:color="000001"/>
              <w:bottom w:val="single" w:sz="4" w:space="0" w:color="000001"/>
              <w:insideH w:val="single" w:sz="4" w:space="0" w:color="000001"/>
            </w:tcBorders>
            <w:shd w:color="auto" w:fill="auto" w:val="clear"/>
            <w:tcMar>
              <w:left w:w="93"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color w:val="000000"/>
                <w:szCs w:val="18"/>
              </w:rPr>
              <w:t>70,3</w:t>
            </w:r>
          </w:p>
        </w:tc>
        <w:tc>
          <w:tcPr>
            <w:tcW w:w="967" w:type="dxa"/>
            <w:tcBorders>
              <w:top w:val="single" w:sz="4" w:space="0" w:color="000001"/>
              <w:left w:val="single" w:sz="4" w:space="0" w:color="000001"/>
              <w:bottom w:val="single" w:sz="4" w:space="0" w:color="000001"/>
              <w:insideH w:val="single" w:sz="4" w:space="0" w:color="000001"/>
            </w:tcBorders>
            <w:shd w:color="auto" w:fill="auto" w:val="clear"/>
            <w:tcMar>
              <w:left w:w="93"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color w:val="000000"/>
                <w:szCs w:val="18"/>
              </w:rPr>
              <w:t>70,7</w:t>
            </w:r>
          </w:p>
        </w:tc>
        <w:tc>
          <w:tcPr>
            <w:tcW w:w="968" w:type="dxa"/>
            <w:tcBorders>
              <w:top w:val="single" w:sz="4" w:space="0" w:color="000001"/>
              <w:left w:val="single" w:sz="4" w:space="0" w:color="000001"/>
              <w:bottom w:val="single" w:sz="4" w:space="0" w:color="000001"/>
              <w:insideH w:val="single" w:sz="4" w:space="0" w:color="000001"/>
            </w:tcBorders>
            <w:shd w:color="auto" w:fill="auto" w:val="clear"/>
            <w:tcMar>
              <w:left w:w="93"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color w:val="000000"/>
                <w:szCs w:val="18"/>
              </w:rPr>
              <w:t>67,9</w:t>
            </w:r>
          </w:p>
        </w:tc>
        <w:tc>
          <w:tcPr>
            <w:tcW w:w="9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3"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color w:val="000000"/>
                <w:szCs w:val="18"/>
              </w:rPr>
              <w:t>64,2</w:t>
            </w:r>
          </w:p>
        </w:tc>
      </w:tr>
    </w:tbl>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В системе дошкольного образования функционируют 14 муниципальных дошкольных образовательных организаций, в которых обучаются 2625 детей. Важное значение в дошкольном образовании города принадлежит обучению детей с ограниченными возможностями здоровья и инвалидностью.  Уделяется внимание развитию вариативных форм: открыты группы кратковременного пребывания детей на базе 3 дошкольных образовательных организаций, созданы консультативные центры, оказывающие квалифицированную помощь семьям, имеющим детей до 3 ле</w:t>
      </w:r>
      <w:r>
        <w:rPr>
          <w:rFonts w:cs="Times New Roman" w:ascii="Times New Roman" w:hAnsi="Times New Roman"/>
          <w:sz w:val="28"/>
          <w:szCs w:val="28"/>
          <w:shd w:fill="auto" w:val="clear"/>
        </w:rPr>
        <w:t xml:space="preserve">т. </w:t>
      </w:r>
      <w:r>
        <w:rPr>
          <w:rFonts w:eastAsia="Times New Roman" w:cs="Times New Roman" w:ascii="Times New Roman" w:hAnsi="Times New Roman"/>
          <w:bCs/>
          <w:color w:val="000000"/>
          <w:sz w:val="28"/>
          <w:szCs w:val="28"/>
          <w:shd w:fill="auto" w:val="clear"/>
          <w:lang w:eastAsia="ar-SA"/>
        </w:rPr>
        <w:t>Организована психолого-педагогическая, методическая и консультативная помощь родителям детей, воспитывающим детей с ОВЗ, родителям детей до 3 лет.</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Однако существует острая проблема кадрового обеспечения дошкольных образовательных организаций. Сохраняется тенденция старения педагогических работников. Недостаточная ротация педагогических кадров требует дальнейшего развития системы социальной поддержки педагогов. </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i/>
          <w:sz w:val="28"/>
          <w:szCs w:val="28"/>
        </w:rPr>
        <w:t>Общее образование.</w:t>
      </w:r>
      <w:r>
        <w:rPr>
          <w:rFonts w:cs="Times New Roman" w:ascii="Times New Roman" w:hAnsi="Times New Roman"/>
          <w:sz w:val="28"/>
          <w:szCs w:val="28"/>
        </w:rPr>
        <w:t xml:space="preserve"> Продолжаются процессы диверсификации форм и специализации школьного образования. </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Система общего образования города-курорта Железноводска представлена 9 общеобразовательными организациями, из них: 7 бюджетных организаций и </w:t>
        <w:br/>
        <w:t xml:space="preserve">3 казенных организации. Численность учреждений общего образования с </w:t>
        <w:br/>
        <w:t>2013 года не изменялась. В 2014 году реорганизована 1 начальная школа-детский сад путем выделения вновь созданного образовательного учреждения - детский сад № 10 «Сказка».</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Количество детей, обучающихся в образовательных организациях, составляет 4,9 тыс. человек. Вследствие демографических процессов в анализируемом периоде численность учащихся в дневных общеобразовательных организациях ежегодно повышается (рис. 16).</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firstLine="709"/>
        <w:jc w:val="both"/>
        <w:rPr>
          <w:rFonts w:ascii="Times New Roman" w:hAnsi="Times New Roman" w:cs="Times New Roman"/>
        </w:rPr>
      </w:pPr>
      <w:r>
        <w:rPr/>
        <w:drawing>
          <wp:inline distT="0" distB="0" distL="0" distR="0">
            <wp:extent cx="5486400" cy="3076575"/>
            <wp:effectExtent l="0" t="0" r="0" b="0"/>
            <wp:docPr id="1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Style29"/>
        <w:ind w:firstLine="709"/>
        <w:rPr/>
      </w:pPr>
      <w:r>
        <w:rPr/>
        <w:t>Рис. 16 – Изменение численности учащихся</w:t>
      </w:r>
    </w:p>
    <w:p>
      <w:pPr>
        <w:pStyle w:val="Style29"/>
        <w:ind w:firstLine="709"/>
        <w:rPr/>
      </w:pPr>
      <w:r>
        <w:rPr/>
        <w:t>дневных общеобразовательных организаций города, чел.</w:t>
      </w:r>
    </w:p>
    <w:p>
      <w:pPr>
        <w:pStyle w:val="Normal"/>
        <w:spacing w:lineRule="auto" w:line="240" w:before="0" w:after="0"/>
        <w:ind w:firstLine="709"/>
        <w:rPr>
          <w:rFonts w:ascii="Times New Roman" w:hAnsi="Times New Roman" w:cs="Times New Roman"/>
          <w:sz w:val="16"/>
          <w:szCs w:val="16"/>
        </w:rPr>
      </w:pPr>
      <w:r>
        <w:rPr>
          <w:rFonts w:cs="Times New Roman" w:ascii="Times New Roman" w:hAnsi="Times New Roman"/>
          <w:sz w:val="16"/>
          <w:szCs w:val="16"/>
        </w:rPr>
      </w:r>
    </w:p>
    <w:p>
      <w:pPr>
        <w:pStyle w:val="Style29"/>
        <w:ind w:firstLine="709"/>
        <w:jc w:val="both"/>
        <w:rPr>
          <w:rFonts w:eastAsia="Calibri" w:eastAsiaTheme="minorHAnsi"/>
          <w:b w:val="false"/>
          <w:b w:val="false"/>
          <w:bCs w:val="false"/>
          <w:sz w:val="28"/>
          <w:szCs w:val="28"/>
          <w:lang w:eastAsia="en-US"/>
        </w:rPr>
      </w:pPr>
      <w:r>
        <w:rPr>
          <w:rFonts w:eastAsia="Calibri" w:eastAsiaTheme="minorHAnsi"/>
          <w:b w:val="false"/>
          <w:bCs w:val="false"/>
          <w:sz w:val="28"/>
          <w:szCs w:val="28"/>
          <w:lang w:eastAsia="en-US"/>
        </w:rPr>
        <w:t>Численность обучающихся в общеобразовательных организациях превышает нормы мест по СанПиН в 60% школ. Проектная мощность школ по количеству мест составляет 4353 места, а обучалось в 2018 году - 4978 чел.  Коэффициент загрузки общеобразовательных организаций города за последние три года растет и составляет 114,4 %.</w:t>
      </w:r>
    </w:p>
    <w:p>
      <w:pPr>
        <w:pStyle w:val="Style29"/>
        <w:ind w:firstLine="709"/>
        <w:jc w:val="both"/>
        <w:rPr>
          <w:rFonts w:eastAsia="Calibri" w:eastAsiaTheme="minorHAnsi"/>
          <w:b w:val="false"/>
          <w:b w:val="false"/>
          <w:bCs w:val="false"/>
          <w:sz w:val="28"/>
          <w:szCs w:val="28"/>
          <w:lang w:eastAsia="en-US"/>
        </w:rPr>
      </w:pPr>
      <w:r>
        <w:rPr>
          <w:rFonts w:eastAsia="Calibri" w:eastAsiaTheme="minorHAnsi"/>
          <w:b w:val="false"/>
          <w:bCs w:val="false"/>
          <w:sz w:val="28"/>
          <w:szCs w:val="28"/>
          <w:lang w:eastAsia="en-US"/>
        </w:rPr>
        <w:t>Доля обучающихся в муниципальных общеобразовательных организациях, занимающихся в одну смену, в общей численности обучающихся составила в 2018 году 92 процента, что является индикатором нехватки мест в общеобразовательных организациях города.</w:t>
      </w:r>
    </w:p>
    <w:p>
      <w:pPr>
        <w:pStyle w:val="Style29"/>
        <w:ind w:firstLine="709"/>
        <w:jc w:val="right"/>
        <w:rPr/>
      </w:pPr>
      <w:r>
        <w:rPr/>
        <w:t>Таблица 7</w:t>
      </w:r>
    </w:p>
    <w:p>
      <w:pPr>
        <w:pStyle w:val="Normal"/>
        <w:spacing w:lineRule="auto" w:line="240" w:before="0" w:after="0"/>
        <w:ind w:firstLine="709"/>
        <w:jc w:val="center"/>
        <w:rPr>
          <w:rFonts w:ascii="Times New Roman" w:hAnsi="Times New Roman" w:cs="Times New Roman"/>
          <w:b/>
          <w:b/>
          <w:sz w:val="24"/>
          <w:szCs w:val="24"/>
        </w:rPr>
      </w:pPr>
      <w:r>
        <w:rPr>
          <w:rFonts w:cs="Times New Roman" w:ascii="Times New Roman" w:hAnsi="Times New Roman"/>
          <w:b/>
          <w:sz w:val="24"/>
          <w:szCs w:val="24"/>
        </w:rPr>
        <w:t>Основные показатели системы общего среднего образования</w:t>
      </w:r>
    </w:p>
    <w:tbl>
      <w:tblPr>
        <w:tblW w:w="9492" w:type="dxa"/>
        <w:jc w:val="left"/>
        <w:tblInd w:w="99" w:type="dxa"/>
        <w:tblBorders>
          <w:top w:val="single" w:sz="4" w:space="0" w:color="000001"/>
          <w:left w:val="single" w:sz="4" w:space="0" w:color="000001"/>
          <w:bottom w:val="single" w:sz="4" w:space="0" w:color="000001"/>
          <w:insideH w:val="single" w:sz="4" w:space="0" w:color="000001"/>
        </w:tblBorders>
        <w:tblCellMar>
          <w:top w:w="0" w:type="dxa"/>
          <w:left w:w="93" w:type="dxa"/>
          <w:bottom w:w="0" w:type="dxa"/>
          <w:right w:w="108" w:type="dxa"/>
        </w:tblCellMar>
        <w:tblLook w:noVBand="0" w:val="0000" w:noHBand="0" w:lastColumn="0" w:firstColumn="0" w:lastRow="0" w:firstRow="0"/>
      </w:tblPr>
      <w:tblGrid>
        <w:gridCol w:w="5622"/>
        <w:gridCol w:w="822"/>
        <w:gridCol w:w="822"/>
        <w:gridCol w:w="824"/>
        <w:gridCol w:w="700"/>
        <w:gridCol w:w="701"/>
      </w:tblGrid>
      <w:tr>
        <w:trPr>
          <w:trHeight w:val="70" w:hRule="atLeast"/>
          <w:cantSplit w:val="true"/>
        </w:trPr>
        <w:tc>
          <w:tcPr>
            <w:tcW w:w="5622" w:type="dxa"/>
            <w:tcBorders>
              <w:top w:val="single" w:sz="4" w:space="0" w:color="000001"/>
              <w:left w:val="single" w:sz="4" w:space="0" w:color="000001"/>
              <w:bottom w:val="single" w:sz="4" w:space="0" w:color="000001"/>
              <w:insideH w:val="single" w:sz="4" w:space="0" w:color="000001"/>
            </w:tcBorders>
            <w:shd w:color="auto" w:fill="E0E0E0" w:val="clear"/>
            <w:tcMar>
              <w:left w:w="93" w:type="dxa"/>
            </w:tcMar>
            <w:vAlign w:val="center"/>
          </w:tcPr>
          <w:p>
            <w:pPr>
              <w:pStyle w:val="Normal"/>
              <w:spacing w:lineRule="auto" w:line="240" w:before="0" w:after="0"/>
              <w:ind w:firstLine="709"/>
              <w:jc w:val="center"/>
              <w:rPr>
                <w:rFonts w:ascii="Times New Roman" w:hAnsi="Times New Roman" w:cs="Times New Roman"/>
                <w:b/>
                <w:b/>
                <w:szCs w:val="18"/>
              </w:rPr>
            </w:pPr>
            <w:r>
              <w:rPr>
                <w:rFonts w:cs="Times New Roman" w:ascii="Times New Roman" w:hAnsi="Times New Roman"/>
                <w:b/>
                <w:szCs w:val="18"/>
              </w:rPr>
              <w:t>Показатели</w:t>
            </w:r>
          </w:p>
        </w:tc>
        <w:tc>
          <w:tcPr>
            <w:tcW w:w="822" w:type="dxa"/>
            <w:tcBorders>
              <w:top w:val="single" w:sz="4" w:space="0" w:color="000001"/>
              <w:left w:val="single" w:sz="4" w:space="0" w:color="000001"/>
              <w:bottom w:val="single" w:sz="4" w:space="0" w:color="000001"/>
              <w:insideH w:val="single" w:sz="4" w:space="0" w:color="000001"/>
            </w:tcBorders>
            <w:shd w:color="auto" w:fill="E0E0E0" w:val="clear"/>
            <w:tcMar>
              <w:left w:w="93"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b/>
                <w:szCs w:val="18"/>
              </w:rPr>
              <w:t>2014</w:t>
            </w:r>
          </w:p>
        </w:tc>
        <w:tc>
          <w:tcPr>
            <w:tcW w:w="822" w:type="dxa"/>
            <w:tcBorders>
              <w:top w:val="single" w:sz="4" w:space="0" w:color="000001"/>
              <w:left w:val="single" w:sz="4" w:space="0" w:color="000001"/>
              <w:bottom w:val="single" w:sz="4" w:space="0" w:color="000001"/>
              <w:insideH w:val="single" w:sz="4" w:space="0" w:color="000001"/>
            </w:tcBorders>
            <w:shd w:color="auto" w:fill="E0E0E0" w:val="clear"/>
            <w:tcMar>
              <w:left w:w="93"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b/>
                <w:szCs w:val="18"/>
              </w:rPr>
              <w:t>2015</w:t>
            </w:r>
          </w:p>
        </w:tc>
        <w:tc>
          <w:tcPr>
            <w:tcW w:w="824" w:type="dxa"/>
            <w:tcBorders>
              <w:top w:val="single" w:sz="4" w:space="0" w:color="000001"/>
              <w:left w:val="single" w:sz="4" w:space="0" w:color="000001"/>
              <w:bottom w:val="single" w:sz="4" w:space="0" w:color="000001"/>
              <w:insideH w:val="single" w:sz="4" w:space="0" w:color="000001"/>
            </w:tcBorders>
            <w:shd w:color="auto" w:fill="E0E0E0" w:val="clear"/>
            <w:tcMar>
              <w:left w:w="93"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b/>
                <w:szCs w:val="18"/>
              </w:rPr>
              <w:t>2016</w:t>
            </w:r>
          </w:p>
        </w:tc>
        <w:tc>
          <w:tcPr>
            <w:tcW w:w="700" w:type="dxa"/>
            <w:tcBorders>
              <w:top w:val="single" w:sz="4" w:space="0" w:color="000001"/>
              <w:left w:val="single" w:sz="4" w:space="0" w:color="000001"/>
              <w:bottom w:val="single" w:sz="4" w:space="0" w:color="000001"/>
              <w:insideH w:val="single" w:sz="4" w:space="0" w:color="000001"/>
            </w:tcBorders>
            <w:shd w:color="auto" w:fill="E0E0E0" w:val="clear"/>
            <w:tcMar>
              <w:left w:w="93"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b/>
                <w:szCs w:val="18"/>
              </w:rPr>
              <w:t>2017</w:t>
            </w:r>
          </w:p>
        </w:tc>
        <w:tc>
          <w:tcPr>
            <w:tcW w:w="7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E0E0E0" w:val="clear"/>
            <w:tcMar>
              <w:left w:w="93"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b/>
                <w:szCs w:val="18"/>
              </w:rPr>
              <w:t>2018</w:t>
            </w:r>
          </w:p>
        </w:tc>
      </w:tr>
      <w:tr>
        <w:trPr/>
        <w:tc>
          <w:tcPr>
            <w:tcW w:w="5622" w:type="dxa"/>
            <w:tcBorders>
              <w:top w:val="single" w:sz="4" w:space="0" w:color="000001"/>
              <w:left w:val="single" w:sz="4" w:space="0" w:color="000001"/>
              <w:bottom w:val="single" w:sz="4" w:space="0" w:color="000001"/>
              <w:insideH w:val="single" w:sz="4" w:space="0" w:color="000001"/>
            </w:tcBorders>
            <w:shd w:color="auto" w:fill="auto" w:val="clear"/>
            <w:tcMar>
              <w:left w:w="93" w:type="dxa"/>
            </w:tcMar>
          </w:tcPr>
          <w:p>
            <w:pPr>
              <w:pStyle w:val="Normal"/>
              <w:spacing w:lineRule="auto" w:line="240" w:before="0" w:after="0"/>
              <w:rPr>
                <w:rFonts w:ascii="Times New Roman" w:hAnsi="Times New Roman" w:cs="Times New Roman"/>
                <w:szCs w:val="18"/>
              </w:rPr>
            </w:pPr>
            <w:r>
              <w:rPr>
                <w:rFonts w:cs="Times New Roman" w:ascii="Times New Roman" w:hAnsi="Times New Roman"/>
                <w:szCs w:val="18"/>
              </w:rPr>
              <w:t>Число учреждений</w:t>
            </w:r>
          </w:p>
        </w:tc>
        <w:tc>
          <w:tcPr>
            <w:tcW w:w="822" w:type="dxa"/>
            <w:tcBorders>
              <w:top w:val="single" w:sz="4" w:space="0" w:color="000001"/>
              <w:left w:val="single" w:sz="4" w:space="0" w:color="000001"/>
              <w:bottom w:val="single" w:sz="4" w:space="0" w:color="000001"/>
              <w:insideH w:val="single" w:sz="4" w:space="0" w:color="000001"/>
            </w:tcBorders>
            <w:shd w:color="auto" w:fill="auto" w:val="clear"/>
            <w:tcMar>
              <w:left w:w="93" w:type="dxa"/>
            </w:tcMar>
          </w:tcPr>
          <w:p>
            <w:pPr>
              <w:pStyle w:val="Normal"/>
              <w:spacing w:lineRule="auto" w:line="240" w:before="0" w:after="0"/>
              <w:jc w:val="center"/>
              <w:rPr>
                <w:rFonts w:ascii="Times New Roman" w:hAnsi="Times New Roman" w:cs="Times New Roman"/>
              </w:rPr>
            </w:pPr>
            <w:r>
              <w:rPr>
                <w:rFonts w:cs="Times New Roman" w:ascii="Times New Roman" w:hAnsi="Times New Roman"/>
                <w:szCs w:val="18"/>
              </w:rPr>
              <w:t>9</w:t>
            </w:r>
          </w:p>
        </w:tc>
        <w:tc>
          <w:tcPr>
            <w:tcW w:w="822" w:type="dxa"/>
            <w:tcBorders>
              <w:top w:val="single" w:sz="4" w:space="0" w:color="000001"/>
              <w:left w:val="single" w:sz="4" w:space="0" w:color="000001"/>
              <w:bottom w:val="single" w:sz="4" w:space="0" w:color="000001"/>
              <w:insideH w:val="single" w:sz="4" w:space="0" w:color="000001"/>
            </w:tcBorders>
            <w:shd w:color="auto" w:fill="auto" w:val="clear"/>
            <w:tcMar>
              <w:left w:w="93" w:type="dxa"/>
            </w:tcMar>
          </w:tcPr>
          <w:p>
            <w:pPr>
              <w:pStyle w:val="Normal"/>
              <w:spacing w:lineRule="auto" w:line="240" w:before="0" w:after="0"/>
              <w:jc w:val="center"/>
              <w:rPr>
                <w:rFonts w:ascii="Times New Roman" w:hAnsi="Times New Roman" w:cs="Times New Roman"/>
              </w:rPr>
            </w:pPr>
            <w:r>
              <w:rPr>
                <w:rFonts w:cs="Times New Roman" w:ascii="Times New Roman" w:hAnsi="Times New Roman"/>
                <w:szCs w:val="18"/>
              </w:rPr>
              <w:t>9</w:t>
            </w:r>
          </w:p>
        </w:tc>
        <w:tc>
          <w:tcPr>
            <w:tcW w:w="824" w:type="dxa"/>
            <w:tcBorders>
              <w:top w:val="single" w:sz="4" w:space="0" w:color="000001"/>
              <w:left w:val="single" w:sz="4" w:space="0" w:color="000001"/>
              <w:bottom w:val="single" w:sz="4" w:space="0" w:color="000001"/>
              <w:insideH w:val="single" w:sz="4" w:space="0" w:color="000001"/>
            </w:tcBorders>
            <w:shd w:color="auto" w:fill="auto" w:val="clear"/>
            <w:tcMar>
              <w:left w:w="93" w:type="dxa"/>
            </w:tcMar>
          </w:tcPr>
          <w:p>
            <w:pPr>
              <w:pStyle w:val="Normal"/>
              <w:spacing w:lineRule="auto" w:line="240" w:before="0" w:after="0"/>
              <w:jc w:val="center"/>
              <w:rPr>
                <w:rFonts w:ascii="Times New Roman" w:hAnsi="Times New Roman" w:cs="Times New Roman"/>
              </w:rPr>
            </w:pPr>
            <w:r>
              <w:rPr>
                <w:rFonts w:cs="Times New Roman" w:ascii="Times New Roman" w:hAnsi="Times New Roman"/>
                <w:szCs w:val="18"/>
              </w:rPr>
              <w:t>9</w:t>
            </w:r>
          </w:p>
        </w:tc>
        <w:tc>
          <w:tcPr>
            <w:tcW w:w="700" w:type="dxa"/>
            <w:tcBorders>
              <w:top w:val="single" w:sz="4" w:space="0" w:color="000001"/>
              <w:left w:val="single" w:sz="4" w:space="0" w:color="000001"/>
              <w:bottom w:val="single" w:sz="4" w:space="0" w:color="000001"/>
              <w:insideH w:val="single" w:sz="4" w:space="0" w:color="000001"/>
            </w:tcBorders>
            <w:shd w:color="auto" w:fill="auto" w:val="clear"/>
            <w:tcMar>
              <w:left w:w="93" w:type="dxa"/>
            </w:tcMar>
          </w:tcPr>
          <w:p>
            <w:pPr>
              <w:pStyle w:val="Normal"/>
              <w:spacing w:lineRule="auto" w:line="240" w:before="0" w:after="0"/>
              <w:jc w:val="center"/>
              <w:rPr>
                <w:rFonts w:ascii="Times New Roman" w:hAnsi="Times New Roman" w:cs="Times New Roman"/>
              </w:rPr>
            </w:pPr>
            <w:r>
              <w:rPr>
                <w:rFonts w:cs="Times New Roman" w:ascii="Times New Roman" w:hAnsi="Times New Roman"/>
                <w:szCs w:val="18"/>
              </w:rPr>
              <w:t>9</w:t>
            </w:r>
          </w:p>
        </w:tc>
        <w:tc>
          <w:tcPr>
            <w:tcW w:w="7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3" w:type="dxa"/>
            </w:tcMar>
          </w:tcPr>
          <w:p>
            <w:pPr>
              <w:pStyle w:val="Normal"/>
              <w:spacing w:lineRule="auto" w:line="240" w:before="0" w:after="0"/>
              <w:jc w:val="center"/>
              <w:rPr>
                <w:rFonts w:ascii="Times New Roman" w:hAnsi="Times New Roman" w:cs="Times New Roman"/>
              </w:rPr>
            </w:pPr>
            <w:r>
              <w:rPr>
                <w:rFonts w:cs="Times New Roman" w:ascii="Times New Roman" w:hAnsi="Times New Roman"/>
                <w:szCs w:val="18"/>
              </w:rPr>
              <w:t>9</w:t>
            </w:r>
          </w:p>
        </w:tc>
      </w:tr>
      <w:tr>
        <w:trPr/>
        <w:tc>
          <w:tcPr>
            <w:tcW w:w="5622" w:type="dxa"/>
            <w:tcBorders>
              <w:top w:val="single" w:sz="4" w:space="0" w:color="000001"/>
              <w:left w:val="single" w:sz="4" w:space="0" w:color="000001"/>
              <w:bottom w:val="single" w:sz="4" w:space="0" w:color="000001"/>
              <w:insideH w:val="single" w:sz="4" w:space="0" w:color="000001"/>
            </w:tcBorders>
            <w:shd w:color="auto" w:fill="auto" w:val="clear"/>
            <w:tcMar>
              <w:left w:w="93" w:type="dxa"/>
            </w:tcMar>
          </w:tcPr>
          <w:p>
            <w:pPr>
              <w:pStyle w:val="NormalWeb"/>
              <w:spacing w:before="0" w:after="0"/>
              <w:rPr>
                <w:sz w:val="22"/>
                <w:szCs w:val="18"/>
              </w:rPr>
            </w:pPr>
            <w:r>
              <w:rPr>
                <w:sz w:val="22"/>
                <w:szCs w:val="18"/>
              </w:rPr>
              <w:t>Численность учащихся, чел.</w:t>
            </w:r>
          </w:p>
        </w:tc>
        <w:tc>
          <w:tcPr>
            <w:tcW w:w="822" w:type="dxa"/>
            <w:tcBorders>
              <w:top w:val="single" w:sz="4" w:space="0" w:color="000001"/>
              <w:left w:val="single" w:sz="4" w:space="0" w:color="000001"/>
              <w:bottom w:val="single" w:sz="4" w:space="0" w:color="000001"/>
              <w:insideH w:val="single" w:sz="4" w:space="0" w:color="000001"/>
            </w:tcBorders>
            <w:shd w:color="auto" w:fill="auto" w:val="clear"/>
            <w:tcMar>
              <w:left w:w="93" w:type="dxa"/>
            </w:tcMar>
          </w:tcPr>
          <w:p>
            <w:pPr>
              <w:pStyle w:val="Normal"/>
              <w:spacing w:lineRule="auto" w:line="240" w:before="0" w:after="0"/>
              <w:jc w:val="center"/>
              <w:rPr>
                <w:rFonts w:ascii="Times New Roman" w:hAnsi="Times New Roman" w:cs="Times New Roman"/>
              </w:rPr>
            </w:pPr>
            <w:r>
              <w:rPr>
                <w:rFonts w:cs="Times New Roman" w:ascii="Times New Roman" w:hAnsi="Times New Roman"/>
                <w:szCs w:val="18"/>
              </w:rPr>
              <w:t>4585</w:t>
            </w:r>
          </w:p>
        </w:tc>
        <w:tc>
          <w:tcPr>
            <w:tcW w:w="822" w:type="dxa"/>
            <w:tcBorders>
              <w:top w:val="single" w:sz="4" w:space="0" w:color="000001"/>
              <w:left w:val="single" w:sz="4" w:space="0" w:color="000001"/>
              <w:bottom w:val="single" w:sz="4" w:space="0" w:color="000001"/>
              <w:insideH w:val="single" w:sz="4" w:space="0" w:color="000001"/>
            </w:tcBorders>
            <w:shd w:color="auto" w:fill="auto" w:val="clear"/>
            <w:tcMar>
              <w:left w:w="93" w:type="dxa"/>
            </w:tcMar>
          </w:tcPr>
          <w:p>
            <w:pPr>
              <w:pStyle w:val="Normal"/>
              <w:spacing w:lineRule="auto" w:line="240" w:before="0" w:after="0"/>
              <w:jc w:val="center"/>
              <w:rPr>
                <w:rFonts w:ascii="Times New Roman" w:hAnsi="Times New Roman" w:cs="Times New Roman"/>
              </w:rPr>
            </w:pPr>
            <w:r>
              <w:rPr>
                <w:rFonts w:cs="Times New Roman" w:ascii="Times New Roman" w:hAnsi="Times New Roman"/>
                <w:szCs w:val="18"/>
              </w:rPr>
              <w:t>4634</w:t>
            </w:r>
          </w:p>
        </w:tc>
        <w:tc>
          <w:tcPr>
            <w:tcW w:w="824" w:type="dxa"/>
            <w:tcBorders>
              <w:top w:val="single" w:sz="4" w:space="0" w:color="000001"/>
              <w:left w:val="single" w:sz="4" w:space="0" w:color="000001"/>
              <w:bottom w:val="single" w:sz="4" w:space="0" w:color="000001"/>
              <w:insideH w:val="single" w:sz="4" w:space="0" w:color="000001"/>
            </w:tcBorders>
            <w:shd w:color="auto" w:fill="auto" w:val="clear"/>
            <w:tcMar>
              <w:left w:w="93" w:type="dxa"/>
            </w:tcMar>
          </w:tcPr>
          <w:p>
            <w:pPr>
              <w:pStyle w:val="Normal"/>
              <w:spacing w:lineRule="auto" w:line="240" w:before="0" w:after="0"/>
              <w:jc w:val="center"/>
              <w:rPr>
                <w:rFonts w:ascii="Times New Roman" w:hAnsi="Times New Roman" w:cs="Times New Roman"/>
              </w:rPr>
            </w:pPr>
            <w:r>
              <w:rPr>
                <w:rFonts w:cs="Times New Roman" w:ascii="Times New Roman" w:hAnsi="Times New Roman"/>
                <w:szCs w:val="18"/>
              </w:rPr>
              <w:t>4749</w:t>
            </w:r>
          </w:p>
        </w:tc>
        <w:tc>
          <w:tcPr>
            <w:tcW w:w="700" w:type="dxa"/>
            <w:tcBorders>
              <w:top w:val="single" w:sz="4" w:space="0" w:color="000001"/>
              <w:left w:val="single" w:sz="4" w:space="0" w:color="000001"/>
              <w:bottom w:val="single" w:sz="4" w:space="0" w:color="000001"/>
              <w:insideH w:val="single" w:sz="4" w:space="0" w:color="000001"/>
            </w:tcBorders>
            <w:shd w:color="auto" w:fill="auto" w:val="clear"/>
            <w:tcMar>
              <w:left w:w="93" w:type="dxa"/>
            </w:tcMar>
          </w:tcPr>
          <w:p>
            <w:pPr>
              <w:pStyle w:val="Normal"/>
              <w:spacing w:lineRule="auto" w:line="240" w:before="0" w:after="0"/>
              <w:jc w:val="center"/>
              <w:rPr>
                <w:rFonts w:ascii="Times New Roman" w:hAnsi="Times New Roman" w:cs="Times New Roman"/>
              </w:rPr>
            </w:pPr>
            <w:r>
              <w:rPr>
                <w:rFonts w:cs="Times New Roman" w:ascii="Times New Roman" w:hAnsi="Times New Roman"/>
                <w:szCs w:val="18"/>
              </w:rPr>
              <w:t>4857</w:t>
            </w:r>
          </w:p>
        </w:tc>
        <w:tc>
          <w:tcPr>
            <w:tcW w:w="7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3" w:type="dxa"/>
            </w:tcMar>
          </w:tcPr>
          <w:p>
            <w:pPr>
              <w:pStyle w:val="Normal"/>
              <w:spacing w:lineRule="auto" w:line="240" w:before="0" w:after="0"/>
              <w:jc w:val="center"/>
              <w:rPr>
                <w:rFonts w:ascii="Times New Roman" w:hAnsi="Times New Roman" w:cs="Times New Roman"/>
              </w:rPr>
            </w:pPr>
            <w:r>
              <w:rPr>
                <w:rFonts w:cs="Times New Roman" w:ascii="Times New Roman" w:hAnsi="Times New Roman"/>
                <w:szCs w:val="18"/>
              </w:rPr>
              <w:t>4978</w:t>
            </w:r>
          </w:p>
        </w:tc>
      </w:tr>
      <w:tr>
        <w:trPr/>
        <w:tc>
          <w:tcPr>
            <w:tcW w:w="5622" w:type="dxa"/>
            <w:tcBorders>
              <w:top w:val="single" w:sz="4" w:space="0" w:color="000001"/>
              <w:left w:val="single" w:sz="4" w:space="0" w:color="000001"/>
              <w:bottom w:val="single" w:sz="4" w:space="0" w:color="000001"/>
              <w:insideH w:val="single" w:sz="4" w:space="0" w:color="000001"/>
            </w:tcBorders>
            <w:shd w:color="auto" w:fill="auto" w:val="clear"/>
            <w:tcMar>
              <w:left w:w="93" w:type="dxa"/>
            </w:tcMar>
          </w:tcPr>
          <w:p>
            <w:pPr>
              <w:pStyle w:val="Normal"/>
              <w:spacing w:lineRule="auto" w:line="240" w:before="0" w:after="0"/>
              <w:rPr>
                <w:rFonts w:ascii="Times New Roman" w:hAnsi="Times New Roman" w:cs="Times New Roman"/>
                <w:szCs w:val="18"/>
              </w:rPr>
            </w:pPr>
            <w:r>
              <w:rPr>
                <w:rFonts w:cs="Times New Roman" w:ascii="Times New Roman" w:hAnsi="Times New Roman"/>
                <w:szCs w:val="18"/>
              </w:rPr>
              <w:t>Численность учителей, чел.</w:t>
            </w:r>
          </w:p>
        </w:tc>
        <w:tc>
          <w:tcPr>
            <w:tcW w:w="822" w:type="dxa"/>
            <w:tcBorders>
              <w:top w:val="single" w:sz="4" w:space="0" w:color="000001"/>
              <w:left w:val="single" w:sz="4" w:space="0" w:color="000001"/>
              <w:bottom w:val="single" w:sz="4" w:space="0" w:color="000001"/>
              <w:insideH w:val="single" w:sz="4" w:space="0" w:color="000001"/>
            </w:tcBorders>
            <w:shd w:color="auto" w:fill="auto" w:val="clear"/>
            <w:tcMar>
              <w:left w:w="93" w:type="dxa"/>
            </w:tcMar>
          </w:tcPr>
          <w:p>
            <w:pPr>
              <w:pStyle w:val="Normal"/>
              <w:spacing w:lineRule="auto" w:line="240" w:before="0" w:after="0"/>
              <w:jc w:val="center"/>
              <w:rPr>
                <w:rFonts w:ascii="Times New Roman" w:hAnsi="Times New Roman" w:cs="Times New Roman"/>
                <w:shd w:fill="FFFFFF" w:val="clear"/>
              </w:rPr>
            </w:pPr>
            <w:r>
              <w:rPr>
                <w:rFonts w:cs="Times New Roman" w:ascii="Times New Roman" w:hAnsi="Times New Roman"/>
                <w:szCs w:val="18"/>
                <w:shd w:fill="FFFFFF" w:val="clear"/>
              </w:rPr>
              <w:t>253</w:t>
            </w:r>
          </w:p>
        </w:tc>
        <w:tc>
          <w:tcPr>
            <w:tcW w:w="822" w:type="dxa"/>
            <w:tcBorders>
              <w:top w:val="single" w:sz="4" w:space="0" w:color="000001"/>
              <w:left w:val="single" w:sz="4" w:space="0" w:color="000001"/>
              <w:bottom w:val="single" w:sz="4" w:space="0" w:color="000001"/>
              <w:insideH w:val="single" w:sz="4" w:space="0" w:color="000001"/>
            </w:tcBorders>
            <w:shd w:color="auto" w:fill="auto" w:val="clear"/>
            <w:tcMar>
              <w:left w:w="93" w:type="dxa"/>
            </w:tcMar>
          </w:tcPr>
          <w:p>
            <w:pPr>
              <w:pStyle w:val="Normal"/>
              <w:spacing w:lineRule="auto" w:line="240" w:before="0" w:after="0"/>
              <w:jc w:val="center"/>
              <w:rPr>
                <w:rFonts w:ascii="Times New Roman" w:hAnsi="Times New Roman" w:cs="Times New Roman"/>
                <w:shd w:fill="FFFFFF" w:val="clear"/>
              </w:rPr>
            </w:pPr>
            <w:r>
              <w:rPr>
                <w:rFonts w:cs="Times New Roman" w:ascii="Times New Roman" w:hAnsi="Times New Roman"/>
                <w:szCs w:val="18"/>
                <w:shd w:fill="FFFFFF" w:val="clear"/>
              </w:rPr>
              <w:t>254</w:t>
            </w:r>
          </w:p>
        </w:tc>
        <w:tc>
          <w:tcPr>
            <w:tcW w:w="824" w:type="dxa"/>
            <w:tcBorders>
              <w:top w:val="single" w:sz="4" w:space="0" w:color="000001"/>
              <w:left w:val="single" w:sz="4" w:space="0" w:color="000001"/>
              <w:bottom w:val="single" w:sz="4" w:space="0" w:color="000001"/>
              <w:insideH w:val="single" w:sz="4" w:space="0" w:color="000001"/>
            </w:tcBorders>
            <w:shd w:color="auto" w:fill="auto" w:val="clear"/>
            <w:tcMar>
              <w:left w:w="93" w:type="dxa"/>
            </w:tcMar>
          </w:tcPr>
          <w:p>
            <w:pPr>
              <w:pStyle w:val="Normal"/>
              <w:spacing w:lineRule="auto" w:line="240" w:before="0" w:after="0"/>
              <w:jc w:val="center"/>
              <w:rPr>
                <w:rFonts w:ascii="Times New Roman" w:hAnsi="Times New Roman" w:cs="Times New Roman"/>
                <w:shd w:fill="FFFFFF" w:val="clear"/>
              </w:rPr>
            </w:pPr>
            <w:r>
              <w:rPr>
                <w:rFonts w:cs="Times New Roman" w:ascii="Times New Roman" w:hAnsi="Times New Roman"/>
                <w:szCs w:val="18"/>
                <w:shd w:fill="FFFFFF" w:val="clear"/>
              </w:rPr>
              <w:t>243</w:t>
            </w:r>
          </w:p>
        </w:tc>
        <w:tc>
          <w:tcPr>
            <w:tcW w:w="700" w:type="dxa"/>
            <w:tcBorders>
              <w:top w:val="single" w:sz="4" w:space="0" w:color="000001"/>
              <w:left w:val="single" w:sz="4" w:space="0" w:color="000001"/>
              <w:bottom w:val="single" w:sz="4" w:space="0" w:color="000001"/>
              <w:insideH w:val="single" w:sz="4" w:space="0" w:color="000001"/>
            </w:tcBorders>
            <w:shd w:color="auto" w:fill="auto" w:val="clear"/>
            <w:tcMar>
              <w:left w:w="93" w:type="dxa"/>
            </w:tcMar>
          </w:tcPr>
          <w:p>
            <w:pPr>
              <w:pStyle w:val="Normal"/>
              <w:spacing w:lineRule="auto" w:line="240" w:before="0" w:after="0"/>
              <w:jc w:val="center"/>
              <w:rPr>
                <w:rFonts w:ascii="Times New Roman" w:hAnsi="Times New Roman" w:cs="Times New Roman"/>
                <w:shd w:fill="FFFFFF" w:val="clear"/>
              </w:rPr>
            </w:pPr>
            <w:r>
              <w:rPr>
                <w:rFonts w:cs="Times New Roman" w:ascii="Times New Roman" w:hAnsi="Times New Roman"/>
                <w:szCs w:val="18"/>
                <w:shd w:fill="FFFFFF" w:val="clear"/>
              </w:rPr>
              <w:t>251</w:t>
            </w:r>
          </w:p>
        </w:tc>
        <w:tc>
          <w:tcPr>
            <w:tcW w:w="7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3" w:type="dxa"/>
            </w:tcMar>
          </w:tcPr>
          <w:p>
            <w:pPr>
              <w:pStyle w:val="Normal"/>
              <w:spacing w:lineRule="auto" w:line="240" w:before="0" w:after="0"/>
              <w:jc w:val="center"/>
              <w:rPr>
                <w:rFonts w:ascii="Times New Roman" w:hAnsi="Times New Roman" w:cs="Times New Roman"/>
                <w:shd w:fill="FFFFFF" w:val="clear"/>
              </w:rPr>
            </w:pPr>
            <w:r>
              <w:rPr>
                <w:rFonts w:cs="Times New Roman" w:ascii="Times New Roman" w:hAnsi="Times New Roman"/>
                <w:szCs w:val="18"/>
                <w:shd w:fill="FFFFFF" w:val="clear"/>
              </w:rPr>
              <w:t>247</w:t>
            </w:r>
          </w:p>
        </w:tc>
      </w:tr>
      <w:tr>
        <w:trPr/>
        <w:tc>
          <w:tcPr>
            <w:tcW w:w="5622" w:type="dxa"/>
            <w:tcBorders>
              <w:top w:val="single" w:sz="4" w:space="0" w:color="000001"/>
              <w:left w:val="single" w:sz="4" w:space="0" w:color="000001"/>
              <w:bottom w:val="single" w:sz="4" w:space="0" w:color="000001"/>
              <w:insideH w:val="single" w:sz="4" w:space="0" w:color="000001"/>
            </w:tcBorders>
            <w:shd w:color="auto" w:fill="auto" w:val="clear"/>
            <w:tcMar>
              <w:left w:w="93" w:type="dxa"/>
            </w:tcMar>
          </w:tcPr>
          <w:p>
            <w:pPr>
              <w:pStyle w:val="Normal"/>
              <w:spacing w:lineRule="auto" w:line="240" w:before="0" w:after="0"/>
              <w:rPr>
                <w:rFonts w:ascii="Times New Roman" w:hAnsi="Times New Roman" w:cs="Times New Roman"/>
                <w:szCs w:val="18"/>
              </w:rPr>
            </w:pPr>
            <w:r>
              <w:rPr>
                <w:rFonts w:cs="Times New Roman" w:ascii="Times New Roman" w:hAnsi="Times New Roman"/>
                <w:szCs w:val="18"/>
              </w:rPr>
              <w:t>Средний возраст учителей</w:t>
            </w:r>
          </w:p>
        </w:tc>
        <w:tc>
          <w:tcPr>
            <w:tcW w:w="822" w:type="dxa"/>
            <w:tcBorders>
              <w:top w:val="single" w:sz="4" w:space="0" w:color="000001"/>
              <w:left w:val="single" w:sz="4" w:space="0" w:color="000001"/>
              <w:bottom w:val="single" w:sz="4" w:space="0" w:color="000001"/>
              <w:insideH w:val="single" w:sz="4" w:space="0" w:color="000001"/>
            </w:tcBorders>
            <w:shd w:color="auto" w:fill="auto" w:val="clear"/>
            <w:tcMar>
              <w:left w:w="93" w:type="dxa"/>
            </w:tcMar>
          </w:tcPr>
          <w:p>
            <w:pPr>
              <w:pStyle w:val="Normal"/>
              <w:spacing w:lineRule="auto" w:line="240" w:before="0" w:after="0"/>
              <w:jc w:val="center"/>
              <w:rPr>
                <w:rFonts w:ascii="Times New Roman" w:hAnsi="Times New Roman" w:cs="Times New Roman"/>
                <w:shd w:fill="FFFFFF" w:val="clear"/>
              </w:rPr>
            </w:pPr>
            <w:r>
              <w:rPr>
                <w:rFonts w:cs="Times New Roman" w:ascii="Times New Roman" w:hAnsi="Times New Roman"/>
                <w:szCs w:val="18"/>
                <w:shd w:fill="FFFFFF" w:val="clear"/>
              </w:rPr>
              <w:t>46,9</w:t>
            </w:r>
          </w:p>
        </w:tc>
        <w:tc>
          <w:tcPr>
            <w:tcW w:w="822" w:type="dxa"/>
            <w:tcBorders>
              <w:top w:val="single" w:sz="4" w:space="0" w:color="000001"/>
              <w:left w:val="single" w:sz="4" w:space="0" w:color="000001"/>
              <w:bottom w:val="single" w:sz="4" w:space="0" w:color="000001"/>
              <w:insideH w:val="single" w:sz="4" w:space="0" w:color="000001"/>
            </w:tcBorders>
            <w:shd w:color="auto" w:fill="auto" w:val="clear"/>
            <w:tcMar>
              <w:left w:w="93" w:type="dxa"/>
            </w:tcMar>
          </w:tcPr>
          <w:p>
            <w:pPr>
              <w:pStyle w:val="Normal"/>
              <w:spacing w:lineRule="auto" w:line="240" w:before="0" w:after="0"/>
              <w:jc w:val="center"/>
              <w:rPr>
                <w:rFonts w:ascii="Times New Roman" w:hAnsi="Times New Roman" w:cs="Times New Roman"/>
                <w:shd w:fill="FFFFFF" w:val="clear"/>
              </w:rPr>
            </w:pPr>
            <w:r>
              <w:rPr>
                <w:rFonts w:cs="Times New Roman" w:ascii="Times New Roman" w:hAnsi="Times New Roman"/>
                <w:szCs w:val="18"/>
                <w:shd w:fill="FFFFFF" w:val="clear"/>
              </w:rPr>
              <w:t>46,5</w:t>
            </w:r>
          </w:p>
        </w:tc>
        <w:tc>
          <w:tcPr>
            <w:tcW w:w="824" w:type="dxa"/>
            <w:tcBorders>
              <w:top w:val="single" w:sz="4" w:space="0" w:color="000001"/>
              <w:left w:val="single" w:sz="4" w:space="0" w:color="000001"/>
              <w:bottom w:val="single" w:sz="4" w:space="0" w:color="000001"/>
              <w:insideH w:val="single" w:sz="4" w:space="0" w:color="000001"/>
            </w:tcBorders>
            <w:shd w:color="auto" w:fill="auto" w:val="clear"/>
            <w:tcMar>
              <w:left w:w="93" w:type="dxa"/>
            </w:tcMar>
          </w:tcPr>
          <w:p>
            <w:pPr>
              <w:pStyle w:val="Normal"/>
              <w:spacing w:lineRule="auto" w:line="240" w:before="0" w:after="0"/>
              <w:jc w:val="center"/>
              <w:rPr>
                <w:rFonts w:ascii="Times New Roman" w:hAnsi="Times New Roman" w:cs="Times New Roman"/>
                <w:shd w:fill="FFFFFF" w:val="clear"/>
              </w:rPr>
            </w:pPr>
            <w:r>
              <w:rPr>
                <w:rFonts w:cs="Times New Roman" w:ascii="Times New Roman" w:hAnsi="Times New Roman"/>
                <w:szCs w:val="18"/>
                <w:shd w:fill="FFFFFF" w:val="clear"/>
              </w:rPr>
              <w:t>46,7</w:t>
            </w:r>
          </w:p>
        </w:tc>
        <w:tc>
          <w:tcPr>
            <w:tcW w:w="700" w:type="dxa"/>
            <w:tcBorders>
              <w:top w:val="single" w:sz="4" w:space="0" w:color="000001"/>
              <w:left w:val="single" w:sz="4" w:space="0" w:color="000001"/>
              <w:bottom w:val="single" w:sz="4" w:space="0" w:color="000001"/>
              <w:insideH w:val="single" w:sz="4" w:space="0" w:color="000001"/>
            </w:tcBorders>
            <w:shd w:color="auto" w:fill="auto" w:val="clear"/>
            <w:tcMar>
              <w:left w:w="93" w:type="dxa"/>
            </w:tcMar>
          </w:tcPr>
          <w:p>
            <w:pPr>
              <w:pStyle w:val="Normal"/>
              <w:spacing w:lineRule="auto" w:line="240" w:before="0" w:after="0"/>
              <w:jc w:val="center"/>
              <w:rPr>
                <w:rFonts w:ascii="Times New Roman" w:hAnsi="Times New Roman" w:cs="Times New Roman"/>
                <w:shd w:fill="FFFFFF" w:val="clear"/>
              </w:rPr>
            </w:pPr>
            <w:r>
              <w:rPr>
                <w:rFonts w:cs="Times New Roman" w:ascii="Times New Roman" w:hAnsi="Times New Roman"/>
                <w:szCs w:val="18"/>
                <w:shd w:fill="FFFFFF" w:val="clear"/>
              </w:rPr>
              <w:t>47,1</w:t>
            </w:r>
          </w:p>
        </w:tc>
        <w:tc>
          <w:tcPr>
            <w:tcW w:w="7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3" w:type="dxa"/>
            </w:tcMar>
          </w:tcPr>
          <w:p>
            <w:pPr>
              <w:pStyle w:val="Normal"/>
              <w:spacing w:lineRule="auto" w:line="240" w:before="0" w:after="0"/>
              <w:jc w:val="center"/>
              <w:rPr>
                <w:rFonts w:ascii="Times New Roman" w:hAnsi="Times New Roman" w:cs="Times New Roman"/>
                <w:shd w:fill="FFFFFF" w:val="clear"/>
              </w:rPr>
            </w:pPr>
            <w:r>
              <w:rPr>
                <w:rFonts w:cs="Times New Roman" w:ascii="Times New Roman" w:hAnsi="Times New Roman"/>
                <w:szCs w:val="18"/>
                <w:shd w:fill="FFFFFF" w:val="clear"/>
              </w:rPr>
              <w:t>47,1</w:t>
            </w:r>
          </w:p>
        </w:tc>
      </w:tr>
      <w:tr>
        <w:trPr/>
        <w:tc>
          <w:tcPr>
            <w:tcW w:w="5622" w:type="dxa"/>
            <w:tcBorders>
              <w:top w:val="single" w:sz="4" w:space="0" w:color="000001"/>
              <w:left w:val="single" w:sz="4" w:space="0" w:color="000001"/>
              <w:bottom w:val="single" w:sz="4" w:space="0" w:color="000001"/>
              <w:insideH w:val="single" w:sz="4" w:space="0" w:color="000001"/>
            </w:tcBorders>
            <w:shd w:color="auto" w:fill="auto" w:val="clear"/>
            <w:tcMar>
              <w:left w:w="93" w:type="dxa"/>
            </w:tcMar>
          </w:tcPr>
          <w:p>
            <w:pPr>
              <w:pStyle w:val="Normal"/>
              <w:spacing w:lineRule="auto" w:line="240" w:before="0" w:after="0"/>
              <w:rPr>
                <w:rFonts w:ascii="Times New Roman" w:hAnsi="Times New Roman" w:cs="Times New Roman"/>
                <w:szCs w:val="18"/>
              </w:rPr>
            </w:pPr>
            <w:r>
              <w:rPr>
                <w:rFonts w:cs="Times New Roman" w:ascii="Times New Roman" w:hAnsi="Times New Roman"/>
                <w:szCs w:val="18"/>
              </w:rPr>
              <w:t>Средний показатель наполняемости школ города – %.</w:t>
            </w:r>
          </w:p>
        </w:tc>
        <w:tc>
          <w:tcPr>
            <w:tcW w:w="822" w:type="dxa"/>
            <w:tcBorders>
              <w:top w:val="single" w:sz="4" w:space="0" w:color="000001"/>
              <w:left w:val="single" w:sz="4" w:space="0" w:color="000001"/>
              <w:bottom w:val="single" w:sz="4" w:space="0" w:color="000001"/>
              <w:insideH w:val="single" w:sz="4" w:space="0" w:color="000001"/>
            </w:tcBorders>
            <w:shd w:color="auto" w:fill="auto" w:val="clear"/>
            <w:tcMar>
              <w:left w:w="93" w:type="dxa"/>
            </w:tcMar>
          </w:tcPr>
          <w:p>
            <w:pPr>
              <w:pStyle w:val="Normal"/>
              <w:spacing w:lineRule="auto" w:line="240" w:before="0" w:after="0"/>
              <w:jc w:val="center"/>
              <w:rPr>
                <w:rFonts w:ascii="Times New Roman" w:hAnsi="Times New Roman" w:cs="Times New Roman"/>
              </w:rPr>
            </w:pPr>
            <w:r>
              <w:rPr>
                <w:rFonts w:cs="Times New Roman" w:ascii="Times New Roman" w:hAnsi="Times New Roman"/>
                <w:szCs w:val="18"/>
              </w:rPr>
              <w:t>106,3</w:t>
            </w:r>
          </w:p>
        </w:tc>
        <w:tc>
          <w:tcPr>
            <w:tcW w:w="822" w:type="dxa"/>
            <w:tcBorders>
              <w:top w:val="single" w:sz="4" w:space="0" w:color="000001"/>
              <w:left w:val="single" w:sz="4" w:space="0" w:color="000001"/>
              <w:bottom w:val="single" w:sz="4" w:space="0" w:color="000001"/>
              <w:insideH w:val="single" w:sz="4" w:space="0" w:color="000001"/>
            </w:tcBorders>
            <w:shd w:color="auto" w:fill="auto" w:val="clear"/>
            <w:tcMar>
              <w:left w:w="93" w:type="dxa"/>
            </w:tcMar>
          </w:tcPr>
          <w:p>
            <w:pPr>
              <w:pStyle w:val="Normal"/>
              <w:spacing w:lineRule="auto" w:line="240" w:before="0" w:after="0"/>
              <w:jc w:val="center"/>
              <w:rPr>
                <w:rFonts w:ascii="Times New Roman" w:hAnsi="Times New Roman" w:cs="Times New Roman"/>
              </w:rPr>
            </w:pPr>
            <w:r>
              <w:rPr>
                <w:rFonts w:cs="Times New Roman" w:ascii="Times New Roman" w:hAnsi="Times New Roman"/>
                <w:szCs w:val="18"/>
              </w:rPr>
              <w:t>106,9</w:t>
            </w:r>
          </w:p>
        </w:tc>
        <w:tc>
          <w:tcPr>
            <w:tcW w:w="824" w:type="dxa"/>
            <w:tcBorders>
              <w:top w:val="single" w:sz="4" w:space="0" w:color="000001"/>
              <w:left w:val="single" w:sz="4" w:space="0" w:color="000001"/>
              <w:bottom w:val="single" w:sz="4" w:space="0" w:color="000001"/>
              <w:insideH w:val="single" w:sz="4" w:space="0" w:color="000001"/>
            </w:tcBorders>
            <w:shd w:color="auto" w:fill="auto" w:val="clear"/>
            <w:tcMar>
              <w:left w:w="93" w:type="dxa"/>
            </w:tcMar>
          </w:tcPr>
          <w:p>
            <w:pPr>
              <w:pStyle w:val="Normal"/>
              <w:spacing w:lineRule="auto" w:line="240" w:before="0" w:after="0"/>
              <w:jc w:val="center"/>
              <w:rPr>
                <w:rFonts w:ascii="Times New Roman" w:hAnsi="Times New Roman" w:cs="Times New Roman"/>
              </w:rPr>
            </w:pPr>
            <w:r>
              <w:rPr>
                <w:rFonts w:cs="Times New Roman" w:ascii="Times New Roman" w:hAnsi="Times New Roman"/>
                <w:szCs w:val="18"/>
              </w:rPr>
              <w:t>108,9</w:t>
            </w:r>
          </w:p>
        </w:tc>
        <w:tc>
          <w:tcPr>
            <w:tcW w:w="700" w:type="dxa"/>
            <w:tcBorders>
              <w:top w:val="single" w:sz="4" w:space="0" w:color="000001"/>
              <w:left w:val="single" w:sz="4" w:space="0" w:color="000001"/>
              <w:bottom w:val="single" w:sz="4" w:space="0" w:color="000001"/>
              <w:insideH w:val="single" w:sz="4" w:space="0" w:color="000001"/>
            </w:tcBorders>
            <w:shd w:color="auto" w:fill="auto" w:val="clear"/>
            <w:tcMar>
              <w:left w:w="93" w:type="dxa"/>
            </w:tcMar>
          </w:tcPr>
          <w:p>
            <w:pPr>
              <w:pStyle w:val="Normal"/>
              <w:spacing w:lineRule="auto" w:line="240" w:before="0" w:after="0"/>
              <w:jc w:val="center"/>
              <w:rPr>
                <w:rFonts w:ascii="Times New Roman" w:hAnsi="Times New Roman" w:cs="Times New Roman"/>
              </w:rPr>
            </w:pPr>
            <w:r>
              <w:rPr>
                <w:rFonts w:cs="Times New Roman" w:ascii="Times New Roman" w:hAnsi="Times New Roman"/>
                <w:szCs w:val="18"/>
              </w:rPr>
              <w:t>111,6</w:t>
            </w:r>
          </w:p>
        </w:tc>
        <w:tc>
          <w:tcPr>
            <w:tcW w:w="7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3" w:type="dxa"/>
            </w:tcMar>
          </w:tcPr>
          <w:p>
            <w:pPr>
              <w:pStyle w:val="Normal"/>
              <w:spacing w:lineRule="auto" w:line="240" w:before="0" w:after="0"/>
              <w:jc w:val="center"/>
              <w:rPr>
                <w:rFonts w:ascii="Times New Roman" w:hAnsi="Times New Roman" w:cs="Times New Roman"/>
              </w:rPr>
            </w:pPr>
            <w:r>
              <w:rPr>
                <w:rFonts w:cs="Times New Roman" w:ascii="Times New Roman" w:hAnsi="Times New Roman"/>
                <w:szCs w:val="18"/>
              </w:rPr>
              <w:t>114,4</w:t>
            </w:r>
          </w:p>
        </w:tc>
      </w:tr>
      <w:tr>
        <w:trPr>
          <w:trHeight w:val="249" w:hRule="atLeast"/>
        </w:trPr>
        <w:tc>
          <w:tcPr>
            <w:tcW w:w="5622" w:type="dxa"/>
            <w:tcBorders>
              <w:top w:val="single" w:sz="4" w:space="0" w:color="000001"/>
              <w:left w:val="single" w:sz="4" w:space="0" w:color="000001"/>
              <w:bottom w:val="single" w:sz="4" w:space="0" w:color="000001"/>
              <w:insideH w:val="single" w:sz="4" w:space="0" w:color="000001"/>
            </w:tcBorders>
            <w:shd w:color="auto" w:fill="auto" w:val="clear"/>
            <w:tcMar>
              <w:left w:w="93" w:type="dxa"/>
            </w:tcMar>
          </w:tcPr>
          <w:p>
            <w:pPr>
              <w:pStyle w:val="Normal"/>
              <w:tabs>
                <w:tab w:val="left" w:pos="180" w:leader="none"/>
              </w:tabs>
              <w:spacing w:lineRule="auto" w:line="240" w:before="0" w:after="0"/>
              <w:rPr>
                <w:rFonts w:ascii="Times New Roman" w:hAnsi="Times New Roman" w:cs="Times New Roman"/>
                <w:szCs w:val="18"/>
              </w:rPr>
            </w:pPr>
            <w:r>
              <w:rPr>
                <w:rFonts w:cs="Times New Roman" w:ascii="Times New Roman" w:hAnsi="Times New Roman"/>
                <w:szCs w:val="18"/>
              </w:rPr>
              <w:t>Доля учащихся, занятых во вторую смену % .</w:t>
            </w:r>
          </w:p>
        </w:tc>
        <w:tc>
          <w:tcPr>
            <w:tcW w:w="822" w:type="dxa"/>
            <w:tcBorders>
              <w:top w:val="single" w:sz="4" w:space="0" w:color="000001"/>
              <w:left w:val="single" w:sz="4" w:space="0" w:color="000001"/>
              <w:bottom w:val="single" w:sz="4" w:space="0" w:color="000001"/>
              <w:insideH w:val="single" w:sz="4" w:space="0" w:color="000001"/>
            </w:tcBorders>
            <w:shd w:color="auto" w:fill="auto" w:val="clear"/>
            <w:tcMar>
              <w:left w:w="93" w:type="dxa"/>
            </w:tcMar>
          </w:tcPr>
          <w:p>
            <w:pPr>
              <w:pStyle w:val="Normal"/>
              <w:spacing w:lineRule="auto" w:line="240" w:before="0" w:after="0"/>
              <w:jc w:val="center"/>
              <w:rPr>
                <w:rFonts w:ascii="Times New Roman" w:hAnsi="Times New Roman" w:cs="Times New Roman"/>
              </w:rPr>
            </w:pPr>
            <w:r>
              <w:rPr>
                <w:rFonts w:cs="Times New Roman" w:ascii="Times New Roman" w:hAnsi="Times New Roman"/>
                <w:szCs w:val="18"/>
              </w:rPr>
              <w:t>10,3</w:t>
            </w:r>
          </w:p>
        </w:tc>
        <w:tc>
          <w:tcPr>
            <w:tcW w:w="822" w:type="dxa"/>
            <w:tcBorders>
              <w:top w:val="single" w:sz="4" w:space="0" w:color="000001"/>
              <w:left w:val="single" w:sz="4" w:space="0" w:color="000001"/>
              <w:bottom w:val="single" w:sz="4" w:space="0" w:color="000001"/>
              <w:insideH w:val="single" w:sz="4" w:space="0" w:color="000001"/>
            </w:tcBorders>
            <w:shd w:color="auto" w:fill="auto" w:val="clear"/>
            <w:tcMar>
              <w:left w:w="93" w:type="dxa"/>
            </w:tcMar>
          </w:tcPr>
          <w:p>
            <w:pPr>
              <w:pStyle w:val="Normal"/>
              <w:spacing w:lineRule="auto" w:line="240" w:before="0" w:after="0"/>
              <w:jc w:val="center"/>
              <w:rPr>
                <w:rFonts w:ascii="Times New Roman" w:hAnsi="Times New Roman" w:cs="Times New Roman"/>
              </w:rPr>
            </w:pPr>
            <w:r>
              <w:rPr>
                <w:rFonts w:cs="Times New Roman" w:ascii="Times New Roman" w:hAnsi="Times New Roman"/>
                <w:szCs w:val="18"/>
              </w:rPr>
              <w:t>10,7</w:t>
            </w:r>
          </w:p>
        </w:tc>
        <w:tc>
          <w:tcPr>
            <w:tcW w:w="824" w:type="dxa"/>
            <w:tcBorders>
              <w:top w:val="single" w:sz="4" w:space="0" w:color="000001"/>
              <w:left w:val="single" w:sz="4" w:space="0" w:color="000001"/>
              <w:bottom w:val="single" w:sz="4" w:space="0" w:color="000001"/>
              <w:insideH w:val="single" w:sz="4" w:space="0" w:color="000001"/>
            </w:tcBorders>
            <w:shd w:color="auto" w:fill="auto" w:val="clear"/>
            <w:tcMar>
              <w:left w:w="93" w:type="dxa"/>
            </w:tcMar>
          </w:tcPr>
          <w:p>
            <w:pPr>
              <w:pStyle w:val="Normal"/>
              <w:spacing w:lineRule="auto" w:line="240" w:before="0" w:after="0"/>
              <w:jc w:val="center"/>
              <w:rPr>
                <w:rFonts w:ascii="Times New Roman" w:hAnsi="Times New Roman" w:cs="Times New Roman"/>
              </w:rPr>
            </w:pPr>
            <w:r>
              <w:rPr>
                <w:rFonts w:cs="Times New Roman" w:ascii="Times New Roman" w:hAnsi="Times New Roman"/>
                <w:szCs w:val="18"/>
              </w:rPr>
              <w:t>11,1</w:t>
            </w:r>
          </w:p>
        </w:tc>
        <w:tc>
          <w:tcPr>
            <w:tcW w:w="700" w:type="dxa"/>
            <w:tcBorders>
              <w:top w:val="single" w:sz="4" w:space="0" w:color="000001"/>
              <w:left w:val="single" w:sz="4" w:space="0" w:color="000001"/>
              <w:bottom w:val="single" w:sz="4" w:space="0" w:color="000001"/>
              <w:insideH w:val="single" w:sz="4" w:space="0" w:color="000001"/>
            </w:tcBorders>
            <w:shd w:color="auto" w:fill="auto" w:val="clear"/>
            <w:tcMar>
              <w:left w:w="93" w:type="dxa"/>
            </w:tcMar>
          </w:tcPr>
          <w:p>
            <w:pPr>
              <w:pStyle w:val="Normal"/>
              <w:spacing w:lineRule="auto" w:line="240" w:before="0" w:after="0"/>
              <w:jc w:val="center"/>
              <w:rPr>
                <w:rFonts w:ascii="Times New Roman" w:hAnsi="Times New Roman" w:cs="Times New Roman"/>
              </w:rPr>
            </w:pPr>
            <w:r>
              <w:rPr>
                <w:rFonts w:cs="Times New Roman" w:ascii="Times New Roman" w:hAnsi="Times New Roman"/>
                <w:szCs w:val="18"/>
              </w:rPr>
              <w:t>11,8</w:t>
            </w:r>
          </w:p>
        </w:tc>
        <w:tc>
          <w:tcPr>
            <w:tcW w:w="7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3" w:type="dxa"/>
            </w:tcMar>
          </w:tcPr>
          <w:p>
            <w:pPr>
              <w:pStyle w:val="Normal"/>
              <w:spacing w:lineRule="auto" w:line="240" w:before="0" w:after="0"/>
              <w:jc w:val="center"/>
              <w:rPr>
                <w:rFonts w:ascii="Times New Roman" w:hAnsi="Times New Roman" w:cs="Times New Roman"/>
              </w:rPr>
            </w:pPr>
            <w:r>
              <w:rPr>
                <w:rFonts w:cs="Times New Roman" w:ascii="Times New Roman" w:hAnsi="Times New Roman"/>
                <w:szCs w:val="18"/>
              </w:rPr>
              <w:t>8,2</w:t>
            </w:r>
          </w:p>
        </w:tc>
      </w:tr>
    </w:tbl>
    <w:p>
      <w:pPr>
        <w:pStyle w:val="Normal"/>
        <w:spacing w:lineRule="auto" w:line="240" w:before="0" w:after="0"/>
        <w:ind w:firstLine="709"/>
        <w:jc w:val="both"/>
        <w:rPr>
          <w:rFonts w:ascii="Times New Roman" w:hAnsi="Times New Roman" w:cs="Times New Roman"/>
          <w:i/>
          <w:i/>
          <w:sz w:val="28"/>
          <w:szCs w:val="28"/>
        </w:rPr>
      </w:pPr>
      <w:r>
        <w:rPr>
          <w:rFonts w:cs="Times New Roman" w:ascii="Times New Roman" w:hAnsi="Times New Roman"/>
          <w:i/>
          <w:sz w:val="28"/>
          <w:szCs w:val="28"/>
        </w:rPr>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С учетом потребностей обучающихся и их родителей школьники осваивают в основном общеобразовательные программы в формах очного образования, учащиеся с ограниченными возможностями здоровья имеют возможность обучаться на дому. </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Продолжается работа по введению федеральных государственных образовательных стандартов общего образования, а также для обучающихся с ограниченными возможностями здоровья. </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Для организации образовательного процесса для детей с  ОВЗ  во  всех  образовательных организациях разработаны адаптированные основные образовательные  программы начального  общего  образования  для  детей  с  ОВЗ,  разработаны  адаптированные программы  отдельных  предметов,  специальные  индивидуальные  программы развития.  В 2   общеобразовательных организациях проведены мероприятия по формированию универсальной безбарьерной среды, обеспечивающей совместное обучение инвалидов и лиц, не имеющих нарушений развития.  </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Продолжает развиваться система вариативного профильного обучения, которая, с одной стороны, обеспечивает результаты качества обучения выпускников школ, с другой – становится платформой для реализации потенциальных возможностей молодого человека. На уровне среднего общего образования профильным обучением охвачено 100% обучающихся. Продолжается совершенствование предпрофильного обучения, обеспечивающего возможность выбора и проектирования обучающимися индивидуальной образовательной траектории. </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В общеобразовательных организациях развивается современная информационно-образовательная среда. Учителя школ проходят обучение и успешно применяют новые технологии.  Улучшается информационно-коммуникативная компетентность (ИКТ-компетентность) обучающихся.</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Однако отдельные показатели, характеризующие качество общего образования в городе, невысоки. Проблемой является недостаточный уровень оснащения школ и использования в учебном процессе устаревших персональных компьютеров. Другая проблема - низкий уровень по числу призеров и победителей Всероссийской олимпиады школьников. Не смотря на этот показатель, в городе налажена профориентационная работа, в целях содействия обучающимся 9-11 классов в выборе профессии школьники принимают участие в мероприятиях в рамках Всероссийского проекта по развитию системы ранней профориентации, Всероссийской программы «Zасобой», в анкетировании «Выбери свое будущее», компьютерном тестировании «Выбор профессии – первый шаг во взрослую жизнь», в мероприятиях Всероссийской акции по профориентации «Всероссийская профдиагностика».</w:t>
      </w:r>
    </w:p>
    <w:p>
      <w:pPr>
        <w:pStyle w:val="Normal"/>
        <w:spacing w:lineRule="auto" w:line="240" w:before="0" w:after="0"/>
        <w:ind w:firstLine="709"/>
        <w:jc w:val="both"/>
        <w:rPr>
          <w:rFonts w:ascii="Times New Roman" w:hAnsi="Times New Roman" w:cs="Times New Roman"/>
          <w:i/>
          <w:i/>
          <w:sz w:val="28"/>
          <w:szCs w:val="28"/>
        </w:rPr>
      </w:pPr>
      <w:r>
        <w:rPr>
          <w:rFonts w:cs="Times New Roman" w:ascii="Times New Roman" w:hAnsi="Times New Roman"/>
          <w:i/>
          <w:sz w:val="28"/>
          <w:szCs w:val="28"/>
        </w:rPr>
      </w:r>
    </w:p>
    <w:p>
      <w:pPr>
        <w:pStyle w:val="Standard"/>
        <w:rPr>
          <w:rFonts w:eastAsia="Calibri" w:eastAsiaTheme="minorHAnsi"/>
          <w:i/>
          <w:i/>
          <w:sz w:val="28"/>
          <w:szCs w:val="28"/>
        </w:rPr>
      </w:pPr>
      <w:r>
        <w:rPr>
          <w:rFonts w:eastAsia="Calibri" w:eastAsiaTheme="minorHAnsi"/>
          <w:i/>
          <w:sz w:val="28"/>
          <w:szCs w:val="28"/>
        </w:rPr>
        <w:t xml:space="preserve">Дополнительное образование </w:t>
      </w:r>
    </w:p>
    <w:p>
      <w:pPr>
        <w:pStyle w:val="Standard"/>
        <w:spacing w:before="0" w:after="113"/>
        <w:ind w:firstLine="850"/>
        <w:rPr>
          <w:rFonts w:eastAsia="Calibri"/>
          <w:sz w:val="28"/>
          <w:szCs w:val="28"/>
          <w:shd w:fill="FFFF00" w:val="clear"/>
        </w:rPr>
      </w:pPr>
      <w:r>
        <w:rPr>
          <w:rFonts w:eastAsia="Calibri"/>
          <w:sz w:val="28"/>
          <w:szCs w:val="28"/>
          <w:shd w:fill="auto" w:val="clear"/>
        </w:rPr>
        <w:t>В городе сложилась целостная система дополнительного образования для детей, представленная домом детского творчества, спортивной школой, школами искусств с многообразными направлениями деятельности.</w:t>
      </w:r>
    </w:p>
    <w:p>
      <w:pPr>
        <w:pStyle w:val="Standard"/>
        <w:spacing w:before="0" w:after="113"/>
        <w:ind w:firstLine="850"/>
        <w:rPr>
          <w:sz w:val="28"/>
          <w:szCs w:val="28"/>
          <w:shd w:fill="FFFF00" w:val="clear"/>
        </w:rPr>
      </w:pPr>
      <w:r>
        <w:rPr>
          <w:rFonts w:eastAsia="Calibri"/>
          <w:sz w:val="28"/>
          <w:szCs w:val="28"/>
          <w:shd w:fill="auto" w:val="clear"/>
        </w:rPr>
        <w:t>В учреждениях дополнительного образования: МБУДО «ДДТ» и МБУДО «ДЮСШ» 2018 году осуществляли работу 13 спортивных секций и 28 творческих объединений с охватом 1440 человек, из них 107 человек занимались в двух и более кружках.</w:t>
      </w:r>
    </w:p>
    <w:p>
      <w:pPr>
        <w:pStyle w:val="Standard"/>
        <w:spacing w:before="0" w:after="113"/>
        <w:ind w:firstLine="850"/>
        <w:rPr>
          <w:rFonts w:eastAsia="Calibri"/>
          <w:sz w:val="28"/>
          <w:szCs w:val="28"/>
          <w:shd w:fill="FFFF00" w:val="clear"/>
        </w:rPr>
      </w:pPr>
      <w:r>
        <w:rPr>
          <w:sz w:val="28"/>
          <w:szCs w:val="28"/>
          <w:shd w:fill="auto" w:val="clear"/>
        </w:rPr>
        <w:t>В образовательных организациях осуществляли свою деятельность 175 спортивных секций и творческих объединений с охватом 3875, из них 938 человек занимались в двух и более кружках.</w:t>
      </w:r>
    </w:p>
    <w:p>
      <w:pPr>
        <w:pStyle w:val="Normal"/>
        <w:suppressAutoHyphens w:val="true"/>
        <w:spacing w:lineRule="auto" w:line="240" w:before="0" w:after="113"/>
        <w:ind w:firstLine="850"/>
        <w:jc w:val="both"/>
        <w:rPr>
          <w:rFonts w:ascii="Times New Roman" w:hAnsi="Times New Roman" w:eastAsia="Calibri"/>
          <w:sz w:val="28"/>
          <w:szCs w:val="28"/>
          <w:shd w:fill="FFFF00" w:val="clear"/>
        </w:rPr>
      </w:pPr>
      <w:r>
        <w:rPr>
          <w:rFonts w:eastAsia="Calibri" w:cs="Times New Roman" w:ascii="Times New Roman" w:hAnsi="Times New Roman"/>
          <w:sz w:val="28"/>
          <w:szCs w:val="28"/>
          <w:shd w:fill="auto" w:val="clear"/>
        </w:rPr>
        <w:tab/>
        <w:t>В дошкольных организациях города-курорта Железноводска 2777 детей от 5 лет заняты дополнительным образованием, из них 1148 детей в двух и более кружках.</w:t>
      </w:r>
    </w:p>
    <w:p>
      <w:pPr>
        <w:pStyle w:val="Normal"/>
        <w:suppressAutoHyphens w:val="true"/>
        <w:spacing w:lineRule="auto" w:line="240" w:before="0" w:after="113"/>
        <w:ind w:firstLine="850"/>
        <w:jc w:val="both"/>
        <w:rPr>
          <w:rFonts w:ascii="Times New Roman" w:hAnsi="Times New Roman" w:eastAsia="Calibri"/>
          <w:sz w:val="28"/>
          <w:szCs w:val="28"/>
          <w:shd w:fill="FFFF00" w:val="clear"/>
        </w:rPr>
      </w:pPr>
      <w:r>
        <w:rPr>
          <w:rFonts w:eastAsia="Calibri" w:ascii="Times New Roman" w:hAnsi="Times New Roman"/>
          <w:sz w:val="28"/>
          <w:szCs w:val="28"/>
          <w:shd w:fill="auto" w:val="clear"/>
        </w:rPr>
        <w:t xml:space="preserve">В 2018 году доля детей в возрасте 5-18 лет, получающих услуги по дополнительному образованию в организациях различной организационно-правовой формы, в общей численности детей данной возрастной категории составила 94,5%. </w:t>
      </w:r>
    </w:p>
    <w:p>
      <w:pPr>
        <w:pStyle w:val="Normal"/>
        <w:suppressAutoHyphens w:val="true"/>
        <w:spacing w:lineRule="auto" w:line="240" w:before="0" w:after="113"/>
        <w:ind w:firstLine="850"/>
        <w:jc w:val="both"/>
        <w:rPr>
          <w:rFonts w:ascii="Times New Roman" w:hAnsi="Times New Roman" w:eastAsia="Calibri"/>
          <w:sz w:val="28"/>
          <w:szCs w:val="28"/>
          <w:shd w:fill="FFFF00" w:val="clear"/>
        </w:rPr>
      </w:pPr>
      <w:r>
        <w:rPr>
          <w:rFonts w:eastAsia="Calibri" w:ascii="Times New Roman" w:hAnsi="Times New Roman"/>
          <w:sz w:val="28"/>
          <w:szCs w:val="28"/>
          <w:shd w:fill="auto" w:val="clear"/>
        </w:rPr>
        <w:t xml:space="preserve">Более 3,5 тыс. детей в возрасте от 5 до 18 лет занимаются на бесплатной основе, платными услугами охвачено 3 тыс. человек. Приоритетными направлениями стали художественное и социально-педагогическое. Необходимо развитие технического творчества, которое на сегодня составляет только 8%. Связано это прежде всего с востребованностью данного направления. </w:t>
      </w:r>
    </w:p>
    <w:p>
      <w:pPr>
        <w:pStyle w:val="Normal"/>
        <w:suppressAutoHyphens w:val="true"/>
        <w:spacing w:lineRule="auto" w:line="240" w:before="0" w:after="113"/>
        <w:ind w:firstLine="850"/>
        <w:jc w:val="both"/>
        <w:rPr>
          <w:rFonts w:ascii="Times New Roman" w:hAnsi="Times New Roman"/>
          <w:sz w:val="28"/>
          <w:szCs w:val="28"/>
          <w:shd w:fill="FFFF00" w:val="clear"/>
        </w:rPr>
      </w:pPr>
      <w:r>
        <w:rPr>
          <w:rFonts w:eastAsia="Calibri" w:ascii="Times New Roman" w:hAnsi="Times New Roman"/>
          <w:sz w:val="28"/>
          <w:szCs w:val="28"/>
          <w:shd w:fill="auto" w:val="clear"/>
        </w:rPr>
        <w:t xml:space="preserve">Недостаток специалистов в сфере образовательной робототехники и инновационной деятельности, материально-техническая база учреждений дополнительного образования не позволяют развивать инновационные виды дополнительного образования. Основными задачами в развитии дополнительного образования является внедрение новых технологий профориентации, пилотных площадок по взаимодействию с предприятиями, обновление материально-технической базы учреждений. </w:t>
      </w:r>
    </w:p>
    <w:p>
      <w:pPr>
        <w:pStyle w:val="Normal"/>
        <w:suppressAutoHyphens w:val="true"/>
        <w:spacing w:lineRule="auto" w:line="240" w:before="0" w:after="113"/>
        <w:ind w:firstLine="850"/>
        <w:jc w:val="both"/>
        <w:rPr>
          <w:rFonts w:ascii="Times New Roman" w:hAnsi="Times New Roman"/>
          <w:sz w:val="28"/>
          <w:szCs w:val="28"/>
          <w:shd w:fill="FFFF00" w:val="clear"/>
        </w:rPr>
      </w:pPr>
      <w:r>
        <w:rPr>
          <w:rFonts w:ascii="Times New Roman" w:hAnsi="Times New Roman"/>
          <w:sz w:val="28"/>
          <w:szCs w:val="28"/>
          <w:shd w:fill="auto" w:val="clear"/>
        </w:rPr>
        <w:t>В соответствии с задачами проекта «Успех каждого ребенка», направленными, в том числе на самоопределение и профессиональную ориентацию всех обучающихся,  все общеобразовательные организации города принимают участие во Всероссийских открытых уроках портала «ПроеКТОриЯ».</w:t>
      </w:r>
    </w:p>
    <w:p>
      <w:pPr>
        <w:pStyle w:val="Normal"/>
        <w:spacing w:lineRule="auto" w:line="240" w:before="0" w:after="0"/>
        <w:ind w:firstLine="907"/>
        <w:jc w:val="both"/>
        <w:rPr>
          <w:rFonts w:ascii="Times New Roman" w:hAnsi="Times New Roman"/>
          <w:sz w:val="28"/>
          <w:szCs w:val="28"/>
          <w:shd w:fill="FFFF00" w:val="clear"/>
        </w:rPr>
      </w:pPr>
      <w:r>
        <w:rPr>
          <w:rFonts w:ascii="Times New Roman" w:hAnsi="Times New Roman"/>
          <w:sz w:val="28"/>
          <w:szCs w:val="28"/>
          <w:shd w:fill="auto" w:val="clear"/>
        </w:rPr>
        <w:t>Следует заметить, что уже с февраля 2018 года  школы  города подключились к трансляциям открытых уроков. За прошедший год в онлайн-мероприятиях приняли участие обучающиеся 8-11 классов .</w:t>
      </w:r>
    </w:p>
    <w:p>
      <w:pPr>
        <w:pStyle w:val="Normal"/>
        <w:spacing w:lineRule="auto" w:line="240" w:before="0" w:after="0"/>
        <w:ind w:firstLine="907"/>
        <w:jc w:val="both"/>
        <w:rPr>
          <w:rFonts w:ascii="Times New Roman" w:hAnsi="Times New Roman"/>
          <w:sz w:val="28"/>
          <w:szCs w:val="28"/>
          <w:shd w:fill="FFFF00" w:val="clear"/>
        </w:rPr>
      </w:pPr>
      <w:r>
        <w:rPr>
          <w:rFonts w:ascii="Times New Roman" w:hAnsi="Times New Roman"/>
          <w:sz w:val="28"/>
          <w:szCs w:val="28"/>
          <w:shd w:fill="auto" w:val="clear"/>
        </w:rPr>
        <w:t xml:space="preserve">Показатель участия школьников города в 2019 году увеличится и будет составлять 23,1% . Для достижения планируемых результатов педагоги общеобразовательных организаций продолжают регулярно использовать инновационный формат открытого урока в учебно-воспитательном процессе в режиме прямого вещания или скачивания на персональные устройства в целях формирования эффективной системы ранней профориентации и профнавигации учащихся. </w:t>
      </w:r>
    </w:p>
    <w:p>
      <w:pPr>
        <w:pStyle w:val="Normal"/>
        <w:spacing w:lineRule="auto" w:line="240" w:before="0" w:after="0"/>
        <w:ind w:firstLine="907"/>
        <w:jc w:val="both"/>
        <w:rPr>
          <w:rFonts w:ascii="Times New Roman" w:hAnsi="Times New Roman"/>
          <w:sz w:val="28"/>
          <w:szCs w:val="28"/>
        </w:rPr>
      </w:pPr>
      <w:r>
        <w:rPr>
          <w:rFonts w:ascii="Times New Roman" w:hAnsi="Times New Roman"/>
          <w:sz w:val="28"/>
          <w:szCs w:val="28"/>
          <w:shd w:fill="auto" w:val="clear"/>
        </w:rPr>
        <w:t>В итоге к 2024 году посредством Всероссийских открытых уроков «ПроеКТОриЯ» во всех школах дети будут иметь возможность осознанно выбирать свою профтраекторию и пути карьерного роста, а показатель их участия в онлайн-уроках «ПроеКТОриЯ» по ранней профориентации будет соответствовать плановому значению региональной составляющей НП «Образование»: не менее 85%.</w:t>
      </w:r>
    </w:p>
    <w:p>
      <w:pPr>
        <w:pStyle w:val="Normal"/>
        <w:rPr>
          <w:rFonts w:ascii="Times New Roman" w:hAnsi="Times New Roman"/>
          <w:sz w:val="28"/>
          <w:szCs w:val="28"/>
          <w:shd w:fill="auto" w:val="clear"/>
        </w:rPr>
      </w:pPr>
      <w:r>
        <w:rPr>
          <w:rFonts w:ascii="Times New Roman" w:hAnsi="Times New Roman"/>
          <w:sz w:val="28"/>
          <w:szCs w:val="28"/>
          <w:shd w:fill="auto" w:val="clear"/>
        </w:rPr>
      </w:r>
    </w:p>
    <w:p>
      <w:pPr>
        <w:pStyle w:val="Normal"/>
        <w:spacing w:lineRule="auto" w:line="240" w:before="0" w:after="0"/>
        <w:jc w:val="both"/>
        <w:rPr>
          <w:shd w:fill="FFFF00" w:val="clear"/>
        </w:rPr>
      </w:pPr>
      <w:r>
        <w:rPr>
          <w:rFonts w:eastAsia="Times New Roman" w:cs="Times New Roman" w:ascii="Times New Roman" w:hAnsi="Times New Roman"/>
          <w:color w:val="252525"/>
          <w:sz w:val="28"/>
          <w:szCs w:val="28"/>
          <w:shd w:fill="auto" w:val="clear"/>
          <w:lang w:eastAsia="ru-RU"/>
        </w:rPr>
        <w:t xml:space="preserve">В целях ранней профессиональной ориентации учащиеся 1-11 классов принимают участие в различных мероприятих: во Всероссийской акции «Урок Цифры»», которая помогает учащимся сориентироваться в перспективных профессиях будущего; </w:t>
      </w:r>
      <w:r>
        <w:rPr>
          <w:rFonts w:cs="Times New Roman" w:ascii="Times New Roman" w:hAnsi="Times New Roman"/>
          <w:sz w:val="28"/>
          <w:szCs w:val="28"/>
          <w:shd w:fill="auto" w:val="clear"/>
        </w:rPr>
        <w:t>образовательной программе «Одна школа - Одна страна», по повышению престижа рабочих профессий, совершенствованию профориентации культурного обмена.</w:t>
      </w:r>
    </w:p>
    <w:p>
      <w:pPr>
        <w:pStyle w:val="Normal"/>
        <w:spacing w:lineRule="auto" w:line="240" w:before="0" w:after="0"/>
        <w:ind w:firstLine="708"/>
        <w:jc w:val="both"/>
        <w:rPr>
          <w:shd w:fill="auto" w:val="clear"/>
        </w:rPr>
      </w:pPr>
      <w:r>
        <w:rPr>
          <w:shd w:fill="auto" w:val="clear"/>
        </w:rPr>
      </w:r>
    </w:p>
    <w:p>
      <w:pPr>
        <w:pStyle w:val="Normal"/>
        <w:spacing w:lineRule="auto" w:line="240" w:before="0" w:after="0"/>
        <w:ind w:firstLine="709"/>
        <w:jc w:val="both"/>
        <w:rPr>
          <w:rFonts w:ascii="Times New Roman" w:hAnsi="Times New Roman" w:cs="Times New Roman"/>
          <w:sz w:val="28"/>
          <w:szCs w:val="28"/>
          <w:shd w:fill="FFFF00" w:val="clear"/>
        </w:rPr>
      </w:pPr>
      <w:r>
        <w:rPr>
          <w:rFonts w:cs="Times New Roman" w:ascii="Times New Roman" w:hAnsi="Times New Roman"/>
          <w:color w:val="000000"/>
          <w:sz w:val="28"/>
          <w:szCs w:val="28"/>
          <w:shd w:fill="auto" w:val="clear"/>
        </w:rPr>
        <w:t>Д</w:t>
      </w:r>
      <w:r>
        <w:rPr>
          <w:rFonts w:eastAsia="Calibri" w:cs="Times New Roman" w:ascii="Times New Roman" w:hAnsi="Times New Roman"/>
          <w:color w:val="000000"/>
          <w:sz w:val="28"/>
          <w:szCs w:val="28"/>
          <w:shd w:fill="auto" w:val="clear"/>
        </w:rPr>
        <w:t>ля профессионального самоопределения и построения индивидуальной образовательной траектории</w:t>
      </w:r>
      <w:r>
        <w:rPr>
          <w:rFonts w:cs="Times New Roman" w:ascii="Times New Roman" w:hAnsi="Times New Roman"/>
          <w:sz w:val="28"/>
          <w:szCs w:val="28"/>
          <w:shd w:fill="auto" w:val="clear"/>
        </w:rPr>
        <w:t xml:space="preserve"> учащиеся 6-11 классов приняли участие в  проекте ранней профессиональной ориентации «Билет в будущее». </w:t>
      </w:r>
    </w:p>
    <w:p>
      <w:pPr>
        <w:pStyle w:val="Normal"/>
        <w:spacing w:lineRule="auto" w:line="240" w:before="0" w:after="0"/>
        <w:ind w:firstLine="708"/>
        <w:jc w:val="both"/>
        <w:rPr>
          <w:shd w:fill="FFFF00" w:val="clear"/>
        </w:rPr>
      </w:pPr>
      <w:r>
        <w:rPr>
          <w:rFonts w:cs="Times New Roman" w:ascii="Times New Roman" w:hAnsi="Times New Roman"/>
          <w:sz w:val="28"/>
          <w:szCs w:val="28"/>
          <w:shd w:fill="auto" w:val="clear"/>
        </w:rPr>
        <w:t xml:space="preserve">В рамках проекта учащиеся прошли  </w:t>
      </w:r>
      <w:r>
        <w:rPr>
          <w:rFonts w:cs="Times New Roman" w:ascii="Times New Roman" w:hAnsi="Times New Roman"/>
          <w:color w:val="000000"/>
          <w:sz w:val="28"/>
          <w:szCs w:val="28"/>
          <w:shd w:fill="auto" w:val="clear"/>
        </w:rPr>
        <w:t xml:space="preserve">тестировании </w:t>
      </w:r>
      <w:r>
        <w:rPr>
          <w:rFonts w:eastAsia="Calibri" w:cs="Times New Roman" w:ascii="Times New Roman" w:hAnsi="Times New Roman"/>
          <w:color w:val="000000"/>
          <w:sz w:val="28"/>
          <w:szCs w:val="28"/>
          <w:shd w:fill="auto" w:val="clear"/>
        </w:rPr>
        <w:t>с использованием специальных методик диагностики, призванных определить склонности и таланты школьника</w:t>
      </w:r>
      <w:r>
        <w:rPr>
          <w:rFonts w:cs="Times New Roman" w:ascii="Times New Roman" w:hAnsi="Times New Roman"/>
          <w:color w:val="000000"/>
          <w:sz w:val="28"/>
          <w:szCs w:val="28"/>
          <w:shd w:fill="auto" w:val="clear"/>
        </w:rPr>
        <w:t xml:space="preserve">, также посетили </w:t>
      </w:r>
      <w:r>
        <w:rPr>
          <w:rFonts w:eastAsia="Times New Roman" w:cs="Times New Roman" w:ascii="Times New Roman" w:hAnsi="Times New Roman"/>
          <w:color w:val="252525"/>
          <w:sz w:val="28"/>
          <w:szCs w:val="28"/>
          <w:shd w:fill="auto" w:val="clear"/>
          <w:lang w:eastAsia="ru-RU"/>
        </w:rPr>
        <w:t>практические профориентационные мероприятия, направленных на знакомство с миром профессий и погружение в содержание конкретных профессиональных индустрий и компетенций.</w:t>
      </w:r>
    </w:p>
    <w:p>
      <w:pPr>
        <w:pStyle w:val="Normal"/>
        <w:tabs>
          <w:tab w:val="left" w:pos="851" w:leader="none"/>
        </w:tabs>
        <w:spacing w:lineRule="auto" w:line="240" w:before="0" w:after="0"/>
        <w:ind w:firstLine="709"/>
        <w:jc w:val="both"/>
        <w:rPr>
          <w:shd w:fill="auto" w:val="clear"/>
        </w:rPr>
      </w:pPr>
      <w:r>
        <w:rPr>
          <w:shd w:fill="auto" w:val="clear"/>
        </w:rPr>
      </w:r>
    </w:p>
    <w:p>
      <w:pPr>
        <w:pStyle w:val="Normal"/>
        <w:tabs>
          <w:tab w:val="left" w:pos="851" w:leader="none"/>
        </w:tabs>
        <w:spacing w:lineRule="auto" w:line="240" w:before="0" w:after="0"/>
        <w:ind w:firstLine="709"/>
        <w:jc w:val="both"/>
        <w:rPr>
          <w:rFonts w:ascii="Times New Roman" w:hAnsi="Times New Roman" w:eastAsia="Calibri" w:cs="Times New Roman"/>
          <w:sz w:val="28"/>
          <w:szCs w:val="28"/>
          <w:shd w:fill="FFFF00" w:val="clear"/>
        </w:rPr>
      </w:pPr>
      <w:r>
        <w:rPr>
          <w:rFonts w:eastAsia="Calibri" w:cs="Times New Roman" w:ascii="Times New Roman" w:hAnsi="Times New Roman"/>
          <w:sz w:val="28"/>
          <w:szCs w:val="28"/>
          <w:shd w:fill="auto" w:val="clear"/>
        </w:rPr>
        <w:t xml:space="preserve">В целях формирования навыков социального поведения, развития творческой активности, с детьми </w:t>
      </w:r>
      <w:r>
        <w:rPr>
          <w:rFonts w:cs="Times New Roman" w:ascii="Times New Roman" w:hAnsi="Times New Roman"/>
          <w:sz w:val="28"/>
          <w:szCs w:val="28"/>
          <w:shd w:fill="auto" w:val="clear"/>
        </w:rPr>
        <w:t>–</w:t>
      </w:r>
      <w:r>
        <w:rPr>
          <w:rFonts w:eastAsia="Calibri" w:cs="Times New Roman" w:ascii="Times New Roman" w:hAnsi="Times New Roman"/>
          <w:sz w:val="28"/>
          <w:szCs w:val="28"/>
          <w:shd w:fill="auto" w:val="clear"/>
        </w:rPr>
        <w:t xml:space="preserve"> инвалидами</w:t>
      </w:r>
      <w:r>
        <w:rPr>
          <w:rFonts w:cs="Times New Roman" w:ascii="Times New Roman" w:hAnsi="Times New Roman"/>
          <w:sz w:val="28"/>
          <w:szCs w:val="28"/>
          <w:shd w:fill="auto" w:val="clear"/>
        </w:rPr>
        <w:t xml:space="preserve"> и детьми с ОВЗ</w:t>
      </w:r>
      <w:r>
        <w:rPr>
          <w:rFonts w:eastAsia="Calibri" w:cs="Times New Roman" w:ascii="Times New Roman" w:hAnsi="Times New Roman"/>
          <w:sz w:val="28"/>
          <w:szCs w:val="28"/>
          <w:shd w:fill="auto" w:val="clear"/>
        </w:rPr>
        <w:t xml:space="preserve">, находящими как на индивидуальном обучении, так и с обучающимися очно, проводится воспитательная работа. Дети данной категории наравне со всеми обучающимися имеют возможность участвовать в общешкольных мероприятиях (тематических классных часах, конкурсах, викторинах, тематических неделях и т.д.), посещать часы развивающего досуга (анкетирование, беседы, интерактивные и развивающие игры, тренинги, проектная деятельность и др.). </w:t>
      </w:r>
    </w:p>
    <w:p>
      <w:pPr>
        <w:pStyle w:val="Normal"/>
        <w:spacing w:lineRule="auto" w:line="240" w:before="0" w:after="0"/>
        <w:ind w:firstLine="851"/>
        <w:jc w:val="both"/>
        <w:rPr>
          <w:rFonts w:ascii="Times New Roman" w:hAnsi="Times New Roman" w:eastAsia="Calibri" w:cs="Times New Roman"/>
          <w:sz w:val="28"/>
          <w:szCs w:val="28"/>
          <w:shd w:fill="FFFF00" w:val="clear"/>
        </w:rPr>
      </w:pPr>
      <w:r>
        <w:rPr>
          <w:rFonts w:eastAsia="Calibri" w:cs="Times New Roman" w:ascii="Times New Roman" w:hAnsi="Times New Roman"/>
          <w:sz w:val="28"/>
          <w:szCs w:val="28"/>
          <w:shd w:fill="auto" w:val="clear"/>
        </w:rPr>
        <w:t xml:space="preserve">В целях создания условий для полноценной интеграции детей-инвалидов в образовательный процесс и успешной социализации детей с ограниченными возможностями здоровья, нуждающихся в обучении на дому, в городе-курорте Железноводске реализуется направление «Развитие дистанционного образования детей-инвалидов». </w:t>
      </w:r>
    </w:p>
    <w:p>
      <w:pPr>
        <w:pStyle w:val="Normal"/>
        <w:spacing w:lineRule="auto" w:line="240" w:before="0" w:after="0"/>
        <w:ind w:firstLine="708"/>
        <w:jc w:val="both"/>
        <w:rPr>
          <w:rFonts w:ascii="yandex-sans" w:hAnsi="yandex-sans" w:eastAsia="Times New Roman" w:cs="yandex-sans"/>
          <w:b/>
          <w:b/>
          <w:i/>
          <w:i/>
          <w:color w:val="000000"/>
          <w:sz w:val="28"/>
          <w:szCs w:val="23"/>
          <w:lang w:eastAsia="ru-RU"/>
        </w:rPr>
      </w:pPr>
      <w:r>
        <w:rPr>
          <w:rFonts w:eastAsia="Calibri" w:cs="Times New Roman" w:ascii="Times New Roman" w:hAnsi="Times New Roman"/>
          <w:sz w:val="28"/>
          <w:szCs w:val="28"/>
          <w:shd w:fill="auto" w:val="clear"/>
        </w:rPr>
        <w:t xml:space="preserve">На сегодняшний день в рамках данного направления  с использованием дистанционных технологий  в общеобразовательных организациях города-курорта Железноводска обучается </w:t>
      </w:r>
      <w:r>
        <w:rPr>
          <w:rFonts w:cs="Times New Roman" w:ascii="Times New Roman" w:hAnsi="Times New Roman"/>
          <w:sz w:val="28"/>
          <w:szCs w:val="28"/>
          <w:shd w:fill="auto" w:val="clear"/>
        </w:rPr>
        <w:t>4</w:t>
      </w:r>
      <w:r>
        <w:rPr>
          <w:rFonts w:eastAsia="Calibri" w:cs="Times New Roman" w:ascii="Times New Roman" w:hAnsi="Times New Roman"/>
          <w:sz w:val="28"/>
          <w:szCs w:val="28"/>
          <w:shd w:fill="auto" w:val="clear"/>
        </w:rPr>
        <w:t xml:space="preserve"> </w:t>
      </w:r>
      <w:r>
        <w:rPr>
          <w:rFonts w:cs="Times New Roman" w:ascii="Times New Roman" w:hAnsi="Times New Roman"/>
          <w:sz w:val="28"/>
          <w:szCs w:val="28"/>
          <w:shd w:fill="auto" w:val="clear"/>
        </w:rPr>
        <w:t>ребенка</w:t>
      </w:r>
      <w:r>
        <w:rPr>
          <w:rFonts w:eastAsia="Calibri" w:cs="Times New Roman" w:ascii="Times New Roman" w:hAnsi="Times New Roman"/>
          <w:sz w:val="28"/>
          <w:szCs w:val="28"/>
          <w:shd w:fill="auto" w:val="clear"/>
        </w:rPr>
        <w:t>-инвалид</w:t>
      </w:r>
      <w:r>
        <w:rPr>
          <w:rFonts w:cs="Times New Roman" w:ascii="Times New Roman" w:hAnsi="Times New Roman"/>
          <w:sz w:val="28"/>
          <w:szCs w:val="28"/>
          <w:shd w:fill="auto" w:val="clear"/>
        </w:rPr>
        <w:t>а</w:t>
      </w:r>
      <w:r>
        <w:rPr>
          <w:rFonts w:eastAsia="Calibri" w:cs="Times New Roman" w:ascii="Times New Roman" w:hAnsi="Times New Roman"/>
          <w:sz w:val="28"/>
          <w:szCs w:val="28"/>
          <w:shd w:fill="auto" w:val="clear"/>
        </w:rPr>
        <w:t>, обеспеченных специальным оборудованием (МБОУ ИСОШ № 4 им. А.М. Клинового, МБОУ ЛК им. А.Ф.Дьякова).</w:t>
      </w:r>
    </w:p>
    <w:p>
      <w:pPr>
        <w:pStyle w:val="Standard"/>
        <w:jc w:val="center"/>
        <w:rPr>
          <w:b/>
          <w:b/>
          <w:i/>
          <w:i/>
          <w:sz w:val="28"/>
          <w:shd w:fill="auto" w:val="clear"/>
        </w:rPr>
      </w:pPr>
      <w:r>
        <w:rPr>
          <w:b/>
          <w:i/>
          <w:sz w:val="28"/>
          <w:shd w:fill="auto" w:val="clear"/>
        </w:rPr>
      </w:r>
    </w:p>
    <w:p>
      <w:pPr>
        <w:pStyle w:val="Standard"/>
        <w:jc w:val="center"/>
        <w:rPr>
          <w:b/>
          <w:b/>
          <w:i/>
          <w:i/>
          <w:sz w:val="28"/>
        </w:rPr>
      </w:pPr>
      <w:r>
        <w:rPr>
          <w:b/>
          <w:i/>
          <w:sz w:val="28"/>
          <w:shd w:fill="auto" w:val="clear"/>
        </w:rPr>
        <w:t>Здравоохранение, физическая культура и спорт</w:t>
      </w:r>
    </w:p>
    <w:p>
      <w:pPr>
        <w:pStyle w:val="Standard"/>
        <w:jc w:val="center"/>
        <w:rPr>
          <w:sz w:val="28"/>
          <w:shd w:fill="auto" w:val="clear"/>
        </w:rPr>
      </w:pPr>
      <w:r>
        <w:rPr>
          <w:sz w:val="28"/>
          <w:shd w:fill="auto" w:val="clear"/>
        </w:rPr>
      </w:r>
    </w:p>
    <w:p>
      <w:pPr>
        <w:pStyle w:val="Standard"/>
        <w:rPr>
          <w:sz w:val="28"/>
        </w:rPr>
      </w:pPr>
      <w:r>
        <w:rPr>
          <w:sz w:val="28"/>
        </w:rPr>
        <w:t>Динамика медико-демографических показателей здоровья жителей города Железноводска по-прежнему остается неблагоприятной.</w:t>
      </w:r>
    </w:p>
    <w:p>
      <w:pPr>
        <w:pStyle w:val="Standard"/>
        <w:rPr>
          <w:sz w:val="28"/>
        </w:rPr>
      </w:pPr>
      <w:r>
        <w:rPr>
          <w:sz w:val="28"/>
        </w:rPr>
        <w:t xml:space="preserve">В </w:t>
      </w:r>
      <w:r>
        <w:rPr>
          <w:b/>
          <w:sz w:val="28"/>
        </w:rPr>
        <w:t>структуре заболеваемости детского населения</w:t>
      </w:r>
      <w:r>
        <w:rPr>
          <w:sz w:val="28"/>
        </w:rPr>
        <w:t xml:space="preserve"> города Железноводска первое место занимают болезни органов дыхания, второе - травмы и отравления, третье - инфекционные и паразитарные заболевания данная тенденция соответствует краевой и общероссийской структуре заболеваемости. За предыдущий год отмечается значительный рост болезней органов пищеварения.</w:t>
      </w:r>
    </w:p>
    <w:p>
      <w:pPr>
        <w:pStyle w:val="Standard"/>
        <w:rPr>
          <w:sz w:val="28"/>
        </w:rPr>
      </w:pPr>
      <w:r>
        <w:rPr>
          <w:sz w:val="28"/>
        </w:rPr>
        <w:t xml:space="preserve">В </w:t>
      </w:r>
      <w:r>
        <w:rPr>
          <w:b/>
          <w:sz w:val="28"/>
        </w:rPr>
        <w:t>структуре заболеваемости взрослого населения</w:t>
      </w:r>
      <w:r>
        <w:rPr>
          <w:sz w:val="28"/>
        </w:rPr>
        <w:t xml:space="preserve"> первое место занимают болезни органов дыхания, второе - болезни системы кровообращения, третье – травмы, отравления и другие последствия воздействия внешних причин. Тенденции заболеваемости в городе полностью соответствуют краевым и общероссийским показателям.</w:t>
      </w:r>
    </w:p>
    <w:p>
      <w:pPr>
        <w:pStyle w:val="Standard"/>
        <w:rPr>
          <w:sz w:val="28"/>
        </w:rPr>
      </w:pPr>
      <w:r>
        <w:rPr>
          <w:sz w:val="28"/>
        </w:rPr>
        <w:t>Состояние муниципального здравоохранения характеризуется следующими показателями (Таблица 8):</w:t>
      </w:r>
    </w:p>
    <w:p>
      <w:pPr>
        <w:pStyle w:val="Standard"/>
        <w:jc w:val="right"/>
        <w:rPr>
          <w:sz w:val="28"/>
        </w:rPr>
      </w:pPr>
      <w:r>
        <w:rPr>
          <w:sz w:val="28"/>
        </w:rPr>
      </w:r>
    </w:p>
    <w:p>
      <w:pPr>
        <w:pStyle w:val="Standard"/>
        <w:jc w:val="right"/>
        <w:rPr>
          <w:b/>
          <w:b/>
        </w:rPr>
      </w:pPr>
      <w:r>
        <w:rPr>
          <w:b/>
        </w:rPr>
        <w:t>Талица 8</w:t>
      </w:r>
    </w:p>
    <w:p>
      <w:pPr>
        <w:pStyle w:val="Standard"/>
        <w:jc w:val="center"/>
        <w:rPr>
          <w:b/>
          <w:b/>
        </w:rPr>
      </w:pPr>
      <w:r>
        <w:rPr>
          <w:b/>
        </w:rPr>
        <w:t>Основные показатели здравоохранения</w:t>
      </w:r>
    </w:p>
    <w:tbl>
      <w:tblPr>
        <w:tblW w:w="9526" w:type="dxa"/>
        <w:jc w:val="left"/>
        <w:tblInd w:w="109" w:type="dxa"/>
        <w:tblBorders>
          <w:top w:val="single" w:sz="4" w:space="0" w:color="000001"/>
          <w:left w:val="single" w:sz="4" w:space="0" w:color="00000A"/>
          <w:bottom w:val="single" w:sz="4" w:space="0" w:color="00000A"/>
          <w:right w:val="single" w:sz="4" w:space="0" w:color="000001"/>
          <w:insideH w:val="single" w:sz="4" w:space="0" w:color="00000A"/>
          <w:insideV w:val="single" w:sz="4" w:space="0" w:color="000001"/>
        </w:tblBorders>
        <w:tblCellMar>
          <w:top w:w="0" w:type="dxa"/>
          <w:left w:w="103" w:type="dxa"/>
          <w:bottom w:w="0" w:type="dxa"/>
          <w:right w:w="108" w:type="dxa"/>
        </w:tblCellMar>
        <w:tblLook w:noVBand="0" w:val="0000" w:noHBand="0" w:lastColumn="0" w:firstColumn="0" w:lastRow="0" w:firstRow="0"/>
      </w:tblPr>
      <w:tblGrid>
        <w:gridCol w:w="3856"/>
        <w:gridCol w:w="850"/>
        <w:gridCol w:w="992"/>
        <w:gridCol w:w="992"/>
        <w:gridCol w:w="991"/>
        <w:gridCol w:w="992"/>
        <w:gridCol w:w="852"/>
      </w:tblGrid>
      <w:tr>
        <w:trPr>
          <w:tblHeader w:val="true"/>
          <w:trHeight w:val="178" w:hRule="atLeast"/>
        </w:trPr>
        <w:tc>
          <w:tcPr>
            <w:tcW w:w="4706" w:type="dxa"/>
            <w:gridSpan w:val="2"/>
            <w:tcBorders>
              <w:top w:val="single" w:sz="4" w:space="0" w:color="000001"/>
              <w:left w:val="single" w:sz="4" w:space="0" w:color="00000A"/>
              <w:bottom w:val="single" w:sz="4" w:space="0" w:color="00000A"/>
              <w:right w:val="single" w:sz="4" w:space="0" w:color="000001"/>
              <w:insideH w:val="single" w:sz="4" w:space="0" w:color="00000A"/>
              <w:insideV w:val="single" w:sz="4" w:space="0" w:color="000001"/>
            </w:tcBorders>
            <w:shd w:color="auto" w:fill="E6E6E6" w:val="clear"/>
            <w:tcMar>
              <w:left w:w="103" w:type="dxa"/>
            </w:tcMar>
            <w:vAlign w:val="center"/>
          </w:tcPr>
          <w:p>
            <w:pPr>
              <w:pStyle w:val="Normal"/>
              <w:spacing w:lineRule="auto" w:line="240" w:before="0" w:after="0"/>
              <w:jc w:val="center"/>
              <w:rPr>
                <w:rFonts w:ascii="Times New Roman" w:hAnsi="Times New Roman" w:cs="Times New Roman"/>
                <w:b/>
                <w:b/>
                <w:bCs/>
                <w:sz w:val="20"/>
                <w:szCs w:val="18"/>
              </w:rPr>
            </w:pPr>
            <w:r>
              <w:rPr>
                <w:rFonts w:cs="Times New Roman" w:ascii="Times New Roman" w:hAnsi="Times New Roman"/>
                <w:b/>
                <w:sz w:val="20"/>
                <w:szCs w:val="18"/>
              </w:rPr>
              <w:t>Показатель</w:t>
            </w:r>
          </w:p>
        </w:tc>
        <w:tc>
          <w:tcPr>
            <w:tcW w:w="992" w:type="dxa"/>
            <w:tcBorders>
              <w:top w:val="single" w:sz="4" w:space="0" w:color="000001"/>
              <w:left w:val="single" w:sz="4" w:space="0" w:color="000001"/>
              <w:bottom w:val="single" w:sz="4" w:space="0" w:color="000001"/>
              <w:insideH w:val="single" w:sz="4" w:space="0" w:color="000001"/>
            </w:tcBorders>
            <w:shd w:color="auto" w:fill="E6E6E6" w:val="clear"/>
            <w:tcMar>
              <w:left w:w="103" w:type="dxa"/>
            </w:tcMar>
            <w:vAlign w:val="center"/>
          </w:tcPr>
          <w:p>
            <w:pPr>
              <w:pStyle w:val="Normal"/>
              <w:spacing w:lineRule="auto" w:line="240" w:before="0" w:after="0"/>
              <w:jc w:val="center"/>
              <w:rPr>
                <w:rFonts w:ascii="Times New Roman" w:hAnsi="Times New Roman" w:cs="Times New Roman"/>
                <w:b/>
                <w:b/>
                <w:bCs/>
                <w:sz w:val="20"/>
                <w:szCs w:val="18"/>
              </w:rPr>
            </w:pPr>
            <w:r>
              <w:rPr>
                <w:rFonts w:cs="Times New Roman" w:ascii="Times New Roman" w:hAnsi="Times New Roman"/>
                <w:b/>
                <w:bCs/>
                <w:sz w:val="20"/>
                <w:szCs w:val="18"/>
              </w:rPr>
              <w:t>2014 г.</w:t>
            </w:r>
          </w:p>
        </w:tc>
        <w:tc>
          <w:tcPr>
            <w:tcW w:w="992" w:type="dxa"/>
            <w:tcBorders>
              <w:top w:val="single" w:sz="4" w:space="0" w:color="000001"/>
              <w:left w:val="single" w:sz="4" w:space="0" w:color="000001"/>
              <w:bottom w:val="single" w:sz="4" w:space="0" w:color="000001"/>
              <w:insideH w:val="single" w:sz="4" w:space="0" w:color="000001"/>
            </w:tcBorders>
            <w:shd w:color="auto" w:fill="E6E6E6" w:val="clear"/>
            <w:tcMar>
              <w:left w:w="103" w:type="dxa"/>
            </w:tcMar>
            <w:vAlign w:val="center"/>
          </w:tcPr>
          <w:p>
            <w:pPr>
              <w:pStyle w:val="Normal"/>
              <w:spacing w:lineRule="auto" w:line="240" w:before="0" w:after="0"/>
              <w:jc w:val="center"/>
              <w:rPr>
                <w:rFonts w:ascii="Times New Roman" w:hAnsi="Times New Roman" w:cs="Times New Roman"/>
                <w:b/>
                <w:b/>
                <w:bCs/>
                <w:sz w:val="20"/>
                <w:szCs w:val="18"/>
              </w:rPr>
            </w:pPr>
            <w:r>
              <w:rPr>
                <w:rFonts w:cs="Times New Roman" w:ascii="Times New Roman" w:hAnsi="Times New Roman"/>
                <w:b/>
                <w:bCs/>
                <w:sz w:val="20"/>
                <w:szCs w:val="18"/>
              </w:rPr>
              <w:t>2015 г.</w:t>
            </w:r>
          </w:p>
        </w:tc>
        <w:tc>
          <w:tcPr>
            <w:tcW w:w="991" w:type="dxa"/>
            <w:tcBorders>
              <w:top w:val="single" w:sz="4" w:space="0" w:color="000001"/>
              <w:left w:val="single" w:sz="4" w:space="0" w:color="000001"/>
              <w:bottom w:val="single" w:sz="4" w:space="0" w:color="000001"/>
              <w:insideH w:val="single" w:sz="4" w:space="0" w:color="000001"/>
            </w:tcBorders>
            <w:shd w:color="auto" w:fill="E6E6E6" w:val="clear"/>
            <w:tcMar>
              <w:left w:w="103" w:type="dxa"/>
            </w:tcMar>
            <w:vAlign w:val="center"/>
          </w:tcPr>
          <w:p>
            <w:pPr>
              <w:pStyle w:val="Normal"/>
              <w:spacing w:lineRule="auto" w:line="240" w:before="0" w:after="0"/>
              <w:jc w:val="center"/>
              <w:rPr>
                <w:rFonts w:ascii="Times New Roman" w:hAnsi="Times New Roman" w:cs="Times New Roman"/>
                <w:b/>
                <w:b/>
                <w:bCs/>
                <w:sz w:val="20"/>
                <w:szCs w:val="18"/>
              </w:rPr>
            </w:pPr>
            <w:r>
              <w:rPr>
                <w:rFonts w:cs="Times New Roman" w:ascii="Times New Roman" w:hAnsi="Times New Roman"/>
                <w:b/>
                <w:bCs/>
                <w:sz w:val="20"/>
                <w:szCs w:val="18"/>
              </w:rPr>
              <w:t>2016 г.</w:t>
            </w:r>
          </w:p>
        </w:tc>
        <w:tc>
          <w:tcPr>
            <w:tcW w:w="992" w:type="dxa"/>
            <w:tcBorders>
              <w:top w:val="single" w:sz="4" w:space="0" w:color="000001"/>
              <w:left w:val="single" w:sz="4" w:space="0" w:color="000001"/>
              <w:bottom w:val="single" w:sz="4" w:space="0" w:color="000001"/>
              <w:insideH w:val="single" w:sz="4" w:space="0" w:color="000001"/>
            </w:tcBorders>
            <w:shd w:color="auto" w:fill="E6E6E6" w:val="clear"/>
            <w:tcMar>
              <w:left w:w="103" w:type="dxa"/>
            </w:tcMar>
            <w:vAlign w:val="center"/>
          </w:tcPr>
          <w:p>
            <w:pPr>
              <w:pStyle w:val="Normal"/>
              <w:spacing w:lineRule="auto" w:line="240" w:before="0" w:after="0"/>
              <w:jc w:val="center"/>
              <w:rPr>
                <w:rFonts w:ascii="Times New Roman" w:hAnsi="Times New Roman" w:cs="Times New Roman"/>
                <w:b/>
                <w:b/>
                <w:bCs/>
                <w:sz w:val="20"/>
                <w:szCs w:val="18"/>
              </w:rPr>
            </w:pPr>
            <w:r>
              <w:rPr>
                <w:rFonts w:cs="Times New Roman" w:ascii="Times New Roman" w:hAnsi="Times New Roman"/>
                <w:b/>
                <w:bCs/>
                <w:sz w:val="20"/>
                <w:szCs w:val="18"/>
              </w:rPr>
              <w:t>2017 г.</w:t>
            </w:r>
          </w:p>
        </w:tc>
        <w:tc>
          <w:tcPr>
            <w:tcW w:w="8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E6E6E6" w:val="clear"/>
            <w:tcMar>
              <w:left w:w="103" w:type="dxa"/>
            </w:tcMar>
            <w:vAlign w:val="center"/>
          </w:tcPr>
          <w:p>
            <w:pPr>
              <w:pStyle w:val="Normal"/>
              <w:spacing w:lineRule="auto" w:line="240" w:before="0" w:after="0"/>
              <w:jc w:val="center"/>
              <w:rPr>
                <w:rFonts w:ascii="Times New Roman" w:hAnsi="Times New Roman" w:cs="Times New Roman"/>
                <w:b/>
                <w:b/>
                <w:bCs/>
                <w:sz w:val="20"/>
                <w:szCs w:val="18"/>
              </w:rPr>
            </w:pPr>
            <w:r>
              <w:rPr>
                <w:rFonts w:cs="Times New Roman" w:ascii="Times New Roman" w:hAnsi="Times New Roman"/>
                <w:b/>
                <w:bCs/>
                <w:sz w:val="20"/>
                <w:szCs w:val="18"/>
              </w:rPr>
              <w:t>2018 г.</w:t>
            </w:r>
          </w:p>
        </w:tc>
      </w:tr>
      <w:tr>
        <w:trPr>
          <w:trHeight w:val="380" w:hRule="atLeast"/>
        </w:trPr>
        <w:tc>
          <w:tcPr>
            <w:tcW w:w="3856" w:type="dxa"/>
            <w:tcBorders>
              <w:top w:val="single" w:sz="4" w:space="0" w:color="00000A"/>
              <w:left w:val="single" w:sz="4" w:space="0" w:color="00000A"/>
              <w:bottom w:val="single" w:sz="4" w:space="0" w:color="00000A"/>
              <w:insideH w:val="single" w:sz="4" w:space="0" w:color="00000A"/>
            </w:tcBorders>
            <w:shd w:color="auto" w:fill="auto" w:val="clear"/>
            <w:tcMar>
              <w:left w:w="103" w:type="dxa"/>
            </w:tcMar>
          </w:tcPr>
          <w:p>
            <w:pPr>
              <w:pStyle w:val="Normal"/>
              <w:spacing w:lineRule="auto" w:line="240" w:before="0" w:after="0"/>
              <w:rPr>
                <w:rFonts w:ascii="Times New Roman" w:hAnsi="Times New Roman" w:cs="Times New Roman"/>
                <w:sz w:val="20"/>
                <w:szCs w:val="18"/>
              </w:rPr>
            </w:pPr>
            <w:r>
              <w:rPr>
                <w:rFonts w:cs="Times New Roman" w:ascii="Times New Roman" w:hAnsi="Times New Roman"/>
                <w:sz w:val="20"/>
                <w:szCs w:val="18"/>
              </w:rPr>
              <w:t xml:space="preserve">1. Количество больнично-амбулаторных учреждений, ед. </w:t>
            </w:r>
          </w:p>
        </w:tc>
        <w:tc>
          <w:tcPr>
            <w:tcW w:w="850" w:type="dxa"/>
            <w:tcBorders>
              <w:bottom w:val="single" w:sz="4" w:space="0" w:color="00000A"/>
              <w:right w:val="single" w:sz="4" w:space="0" w:color="00000A"/>
              <w:insideH w:val="single" w:sz="4" w:space="0" w:color="00000A"/>
              <w:insideV w:val="single" w:sz="4" w:space="0" w:color="00000A"/>
            </w:tcBorders>
            <w:shd w:fill="auto" w:val="clear"/>
          </w:tcPr>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r>
          </w:p>
        </w:tc>
        <w:tc>
          <w:tcPr>
            <w:tcW w:w="992" w:type="dxa"/>
            <w:tcBorders>
              <w:top w:val="single" w:sz="4" w:space="0" w:color="000001"/>
              <w:left w:val="single" w:sz="4" w:space="0" w:color="00000A"/>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0"/>
                <w:szCs w:val="18"/>
                <w:lang w:val="en-US"/>
              </w:rPr>
            </w:pPr>
            <w:r>
              <w:rPr>
                <w:rFonts w:cs="Times New Roman" w:ascii="Times New Roman" w:hAnsi="Times New Roman"/>
                <w:sz w:val="20"/>
                <w:szCs w:val="18"/>
                <w:lang w:val="en-US"/>
              </w:rPr>
              <w:t>0</w:t>
            </w:r>
            <w:r>
              <w:rPr>
                <w:rFonts w:cs="Times New Roman" w:ascii="Times New Roman" w:hAnsi="Times New Roman"/>
                <w:sz w:val="20"/>
                <w:szCs w:val="18"/>
              </w:rPr>
              <w:t>,</w:t>
            </w:r>
            <w:r>
              <w:rPr>
                <w:rFonts w:cs="Times New Roman" w:ascii="Times New Roman" w:hAnsi="Times New Roman"/>
                <w:sz w:val="20"/>
                <w:szCs w:val="18"/>
                <w:lang w:val="en-US"/>
              </w:rPr>
              <w:t>19</w:t>
            </w:r>
          </w:p>
        </w:tc>
        <w:tc>
          <w:tcPr>
            <w:tcW w:w="99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0"/>
                <w:szCs w:val="18"/>
                <w:lang w:val="en-US"/>
              </w:rPr>
            </w:pPr>
            <w:r>
              <w:rPr>
                <w:rFonts w:cs="Times New Roman" w:ascii="Times New Roman" w:hAnsi="Times New Roman"/>
                <w:sz w:val="20"/>
                <w:szCs w:val="18"/>
                <w:lang w:val="en-US"/>
              </w:rPr>
              <w:t>0</w:t>
            </w:r>
            <w:r>
              <w:rPr>
                <w:rFonts w:cs="Times New Roman" w:ascii="Times New Roman" w:hAnsi="Times New Roman"/>
                <w:sz w:val="20"/>
                <w:szCs w:val="18"/>
              </w:rPr>
              <w:t>,</w:t>
            </w:r>
            <w:r>
              <w:rPr>
                <w:rFonts w:cs="Times New Roman" w:ascii="Times New Roman" w:hAnsi="Times New Roman"/>
                <w:sz w:val="20"/>
                <w:szCs w:val="18"/>
                <w:lang w:val="en-US"/>
              </w:rPr>
              <w:t>19</w:t>
            </w:r>
          </w:p>
        </w:tc>
        <w:tc>
          <w:tcPr>
            <w:tcW w:w="991"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0"/>
                <w:szCs w:val="18"/>
                <w:lang w:val="en-US"/>
              </w:rPr>
            </w:pPr>
            <w:r>
              <w:rPr>
                <w:rFonts w:cs="Times New Roman" w:ascii="Times New Roman" w:hAnsi="Times New Roman"/>
                <w:sz w:val="20"/>
                <w:szCs w:val="18"/>
                <w:lang w:val="en-US"/>
              </w:rPr>
              <w:t>0</w:t>
            </w:r>
            <w:r>
              <w:rPr>
                <w:rFonts w:cs="Times New Roman" w:ascii="Times New Roman" w:hAnsi="Times New Roman"/>
                <w:sz w:val="20"/>
                <w:szCs w:val="18"/>
              </w:rPr>
              <w:t>,</w:t>
            </w:r>
            <w:r>
              <w:rPr>
                <w:rFonts w:cs="Times New Roman" w:ascii="Times New Roman" w:hAnsi="Times New Roman"/>
                <w:sz w:val="20"/>
                <w:szCs w:val="18"/>
                <w:lang w:val="en-US"/>
              </w:rPr>
              <w:t>19</w:t>
            </w:r>
          </w:p>
        </w:tc>
        <w:tc>
          <w:tcPr>
            <w:tcW w:w="99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0"/>
                <w:szCs w:val="18"/>
                <w:lang w:val="en-US"/>
              </w:rPr>
            </w:pPr>
            <w:r>
              <w:rPr>
                <w:rFonts w:cs="Times New Roman" w:ascii="Times New Roman" w:hAnsi="Times New Roman"/>
                <w:sz w:val="20"/>
                <w:szCs w:val="18"/>
                <w:lang w:val="en-US"/>
              </w:rPr>
              <w:t>0</w:t>
            </w:r>
            <w:r>
              <w:rPr>
                <w:rFonts w:cs="Times New Roman" w:ascii="Times New Roman" w:hAnsi="Times New Roman"/>
                <w:sz w:val="20"/>
                <w:szCs w:val="18"/>
              </w:rPr>
              <w:t>,</w:t>
            </w:r>
            <w:r>
              <w:rPr>
                <w:rFonts w:cs="Times New Roman" w:ascii="Times New Roman" w:hAnsi="Times New Roman"/>
                <w:sz w:val="20"/>
                <w:szCs w:val="18"/>
                <w:lang w:val="en-US"/>
              </w:rPr>
              <w:t>19</w:t>
            </w:r>
          </w:p>
        </w:tc>
        <w:tc>
          <w:tcPr>
            <w:tcW w:w="8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0"/>
                <w:lang w:val="en-US"/>
              </w:rPr>
            </w:pPr>
            <w:r>
              <w:rPr>
                <w:rFonts w:cs="Times New Roman" w:ascii="Times New Roman" w:hAnsi="Times New Roman"/>
                <w:sz w:val="20"/>
                <w:szCs w:val="18"/>
                <w:lang w:val="en-US"/>
              </w:rPr>
              <w:t>0</w:t>
            </w:r>
            <w:r>
              <w:rPr>
                <w:rFonts w:cs="Times New Roman" w:ascii="Times New Roman" w:hAnsi="Times New Roman"/>
                <w:sz w:val="20"/>
                <w:szCs w:val="18"/>
              </w:rPr>
              <w:t>,</w:t>
            </w:r>
            <w:r>
              <w:rPr>
                <w:rFonts w:cs="Times New Roman" w:ascii="Times New Roman" w:hAnsi="Times New Roman"/>
                <w:sz w:val="20"/>
                <w:szCs w:val="18"/>
                <w:lang w:val="en-US"/>
              </w:rPr>
              <w:t>19</w:t>
            </w:r>
          </w:p>
        </w:tc>
      </w:tr>
      <w:tr>
        <w:trPr>
          <w:trHeight w:val="339" w:hRule="atLeast"/>
        </w:trPr>
        <w:tc>
          <w:tcPr>
            <w:tcW w:w="3856" w:type="dxa"/>
            <w:tcBorders>
              <w:top w:val="single" w:sz="4" w:space="0" w:color="00000A"/>
              <w:left w:val="single" w:sz="4" w:space="0" w:color="00000A"/>
              <w:bottom w:val="single" w:sz="4" w:space="0" w:color="00000A"/>
              <w:insideH w:val="single" w:sz="4" w:space="0" w:color="00000A"/>
            </w:tcBorders>
            <w:shd w:color="auto" w:fill="auto" w:val="clear"/>
            <w:tcMar>
              <w:left w:w="103" w:type="dxa"/>
            </w:tcMar>
          </w:tcPr>
          <w:p>
            <w:pPr>
              <w:pStyle w:val="Normal"/>
              <w:spacing w:lineRule="auto" w:line="240" w:before="0" w:after="0"/>
              <w:rPr>
                <w:rFonts w:ascii="Times New Roman" w:hAnsi="Times New Roman" w:cs="Times New Roman"/>
                <w:sz w:val="20"/>
                <w:szCs w:val="18"/>
              </w:rPr>
            </w:pPr>
            <w:r>
              <w:rPr>
                <w:rFonts w:cs="Times New Roman" w:ascii="Times New Roman" w:hAnsi="Times New Roman"/>
                <w:bCs/>
                <w:sz w:val="20"/>
                <w:szCs w:val="18"/>
              </w:rPr>
              <w:t>2.Число медицинских учреждений, на 10 тыс. населения</w:t>
            </w:r>
          </w:p>
        </w:tc>
        <w:tc>
          <w:tcPr>
            <w:tcW w:w="850"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r>
          </w:p>
        </w:tc>
        <w:tc>
          <w:tcPr>
            <w:tcW w:w="992" w:type="dxa"/>
            <w:tcBorders>
              <w:left w:val="single" w:sz="4" w:space="0" w:color="00000A"/>
              <w:bottom w:val="single" w:sz="4" w:space="0" w:color="000001"/>
              <w:insideH w:val="single" w:sz="4" w:space="0" w:color="000001"/>
            </w:tcBorders>
            <w:shd w:color="auto" w:fill="auto" w:val="clear"/>
            <w:tcMar>
              <w:left w:w="103" w:type="dxa"/>
            </w:tcMar>
          </w:tcPr>
          <w:p>
            <w:pPr>
              <w:pStyle w:val="Normal"/>
              <w:spacing w:lineRule="auto" w:line="240" w:before="0" w:after="0"/>
              <w:jc w:val="center"/>
              <w:rPr>
                <w:rFonts w:ascii="Times New Roman" w:hAnsi="Times New Roman" w:cs="Times New Roman"/>
                <w:sz w:val="20"/>
              </w:rPr>
            </w:pPr>
            <w:r>
              <w:rPr>
                <w:rFonts w:cs="Times New Roman" w:ascii="Times New Roman" w:hAnsi="Times New Roman"/>
                <w:sz w:val="20"/>
                <w:szCs w:val="18"/>
                <w:lang w:val="en-US"/>
              </w:rPr>
              <w:t>0</w:t>
            </w:r>
            <w:r>
              <w:rPr>
                <w:rFonts w:cs="Times New Roman" w:ascii="Times New Roman" w:hAnsi="Times New Roman"/>
                <w:sz w:val="20"/>
                <w:szCs w:val="18"/>
              </w:rPr>
              <w:t>,</w:t>
            </w:r>
            <w:r>
              <w:rPr>
                <w:rFonts w:cs="Times New Roman" w:ascii="Times New Roman" w:hAnsi="Times New Roman"/>
                <w:sz w:val="20"/>
                <w:szCs w:val="18"/>
                <w:lang w:val="en-US"/>
              </w:rPr>
              <w:t>19</w:t>
            </w:r>
          </w:p>
        </w:tc>
        <w:tc>
          <w:tcPr>
            <w:tcW w:w="992" w:type="dxa"/>
            <w:tcBorders>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rFonts w:ascii="Times New Roman" w:hAnsi="Times New Roman" w:cs="Times New Roman"/>
                <w:sz w:val="20"/>
              </w:rPr>
            </w:pPr>
            <w:r>
              <w:rPr>
                <w:rFonts w:cs="Times New Roman" w:ascii="Times New Roman" w:hAnsi="Times New Roman"/>
                <w:sz w:val="20"/>
                <w:szCs w:val="18"/>
                <w:lang w:val="en-US"/>
              </w:rPr>
              <w:t>0</w:t>
            </w:r>
            <w:r>
              <w:rPr>
                <w:rFonts w:cs="Times New Roman" w:ascii="Times New Roman" w:hAnsi="Times New Roman"/>
                <w:sz w:val="20"/>
                <w:szCs w:val="18"/>
              </w:rPr>
              <w:t>,</w:t>
            </w:r>
            <w:r>
              <w:rPr>
                <w:rFonts w:cs="Times New Roman" w:ascii="Times New Roman" w:hAnsi="Times New Roman"/>
                <w:sz w:val="20"/>
                <w:szCs w:val="18"/>
                <w:lang w:val="en-US"/>
              </w:rPr>
              <w:t>19</w:t>
            </w:r>
          </w:p>
        </w:tc>
        <w:tc>
          <w:tcPr>
            <w:tcW w:w="991" w:type="dxa"/>
            <w:tcBorders>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rFonts w:ascii="Times New Roman" w:hAnsi="Times New Roman" w:cs="Times New Roman"/>
                <w:sz w:val="20"/>
              </w:rPr>
            </w:pPr>
            <w:r>
              <w:rPr>
                <w:rFonts w:cs="Times New Roman" w:ascii="Times New Roman" w:hAnsi="Times New Roman"/>
                <w:sz w:val="20"/>
                <w:szCs w:val="18"/>
                <w:lang w:val="en-US"/>
              </w:rPr>
              <w:t>0</w:t>
            </w:r>
            <w:r>
              <w:rPr>
                <w:rFonts w:cs="Times New Roman" w:ascii="Times New Roman" w:hAnsi="Times New Roman"/>
                <w:sz w:val="20"/>
                <w:szCs w:val="18"/>
              </w:rPr>
              <w:t>,</w:t>
            </w:r>
            <w:r>
              <w:rPr>
                <w:rFonts w:cs="Times New Roman" w:ascii="Times New Roman" w:hAnsi="Times New Roman"/>
                <w:sz w:val="20"/>
                <w:szCs w:val="18"/>
                <w:lang w:val="en-US"/>
              </w:rPr>
              <w:t>19</w:t>
            </w:r>
          </w:p>
        </w:tc>
        <w:tc>
          <w:tcPr>
            <w:tcW w:w="992" w:type="dxa"/>
            <w:tcBorders>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rFonts w:ascii="Times New Roman" w:hAnsi="Times New Roman" w:cs="Times New Roman"/>
                <w:sz w:val="20"/>
              </w:rPr>
            </w:pPr>
            <w:r>
              <w:rPr>
                <w:rFonts w:cs="Times New Roman" w:ascii="Times New Roman" w:hAnsi="Times New Roman"/>
                <w:sz w:val="20"/>
                <w:szCs w:val="18"/>
                <w:lang w:val="en-US"/>
              </w:rPr>
              <w:t>0</w:t>
            </w:r>
            <w:r>
              <w:rPr>
                <w:rFonts w:cs="Times New Roman" w:ascii="Times New Roman" w:hAnsi="Times New Roman"/>
                <w:sz w:val="20"/>
                <w:szCs w:val="18"/>
              </w:rPr>
              <w:t>,</w:t>
            </w:r>
            <w:r>
              <w:rPr>
                <w:rFonts w:cs="Times New Roman" w:ascii="Times New Roman" w:hAnsi="Times New Roman"/>
                <w:sz w:val="20"/>
                <w:szCs w:val="18"/>
                <w:lang w:val="en-US"/>
              </w:rPr>
              <w:t>19</w:t>
            </w:r>
          </w:p>
        </w:tc>
        <w:tc>
          <w:tcPr>
            <w:tcW w:w="852" w:type="dxa"/>
            <w:tcBorders>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Normal"/>
              <w:spacing w:lineRule="auto" w:line="240" w:before="0" w:after="0"/>
              <w:jc w:val="center"/>
              <w:rPr>
                <w:rFonts w:ascii="Times New Roman" w:hAnsi="Times New Roman" w:cs="Times New Roman"/>
                <w:sz w:val="20"/>
              </w:rPr>
            </w:pPr>
            <w:r>
              <w:rPr>
                <w:rFonts w:cs="Times New Roman" w:ascii="Times New Roman" w:hAnsi="Times New Roman"/>
                <w:sz w:val="20"/>
                <w:szCs w:val="18"/>
                <w:lang w:val="en-US"/>
              </w:rPr>
              <w:t>0</w:t>
            </w:r>
            <w:r>
              <w:rPr>
                <w:rFonts w:cs="Times New Roman" w:ascii="Times New Roman" w:hAnsi="Times New Roman"/>
                <w:sz w:val="20"/>
                <w:szCs w:val="18"/>
              </w:rPr>
              <w:t>,</w:t>
            </w:r>
            <w:r>
              <w:rPr>
                <w:rFonts w:cs="Times New Roman" w:ascii="Times New Roman" w:hAnsi="Times New Roman"/>
                <w:sz w:val="20"/>
                <w:szCs w:val="18"/>
                <w:lang w:val="en-US"/>
              </w:rPr>
              <w:t>19</w:t>
            </w:r>
          </w:p>
        </w:tc>
      </w:tr>
      <w:tr>
        <w:trPr>
          <w:trHeight w:val="339" w:hRule="atLeast"/>
        </w:trPr>
        <w:tc>
          <w:tcPr>
            <w:tcW w:w="3856" w:type="dxa"/>
            <w:tcBorders>
              <w:top w:val="single" w:sz="4" w:space="0" w:color="00000A"/>
              <w:left w:val="single" w:sz="4" w:space="0" w:color="00000A"/>
              <w:bottom w:val="single" w:sz="4" w:space="0" w:color="00000A"/>
              <w:insideH w:val="single" w:sz="4" w:space="0" w:color="00000A"/>
            </w:tcBorders>
            <w:shd w:color="auto" w:fill="auto" w:val="clear"/>
            <w:tcMar>
              <w:left w:w="103" w:type="dxa"/>
            </w:tcMar>
          </w:tcPr>
          <w:p>
            <w:pPr>
              <w:pStyle w:val="Normal"/>
              <w:spacing w:lineRule="auto" w:line="240" w:before="0" w:after="0"/>
              <w:rPr>
                <w:rFonts w:ascii="Times New Roman" w:hAnsi="Times New Roman" w:cs="Times New Roman"/>
                <w:sz w:val="20"/>
                <w:szCs w:val="18"/>
              </w:rPr>
            </w:pPr>
            <w:r>
              <w:rPr>
                <w:rFonts w:cs="Times New Roman" w:ascii="Times New Roman" w:hAnsi="Times New Roman"/>
                <w:bCs/>
                <w:sz w:val="20"/>
                <w:szCs w:val="18"/>
              </w:rPr>
              <w:t>3. Число больничных медицинских учреждений, на 10 тыс. населения</w:t>
            </w:r>
          </w:p>
        </w:tc>
        <w:tc>
          <w:tcPr>
            <w:tcW w:w="850"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r>
          </w:p>
        </w:tc>
        <w:tc>
          <w:tcPr>
            <w:tcW w:w="992" w:type="dxa"/>
            <w:tcBorders>
              <w:left w:val="single" w:sz="4" w:space="0" w:color="00000A"/>
              <w:bottom w:val="single" w:sz="4" w:space="0" w:color="000001"/>
              <w:insideH w:val="single" w:sz="4" w:space="0" w:color="000001"/>
            </w:tcBorders>
            <w:shd w:color="auto" w:fill="auto" w:val="clear"/>
            <w:tcMar>
              <w:left w:w="103" w:type="dxa"/>
            </w:tcMar>
          </w:tcPr>
          <w:p>
            <w:pPr>
              <w:pStyle w:val="Normal"/>
              <w:spacing w:lineRule="auto" w:line="240" w:before="0" w:after="0"/>
              <w:jc w:val="center"/>
              <w:rPr>
                <w:rFonts w:ascii="Times New Roman" w:hAnsi="Times New Roman" w:cs="Times New Roman"/>
                <w:sz w:val="20"/>
              </w:rPr>
            </w:pPr>
            <w:r>
              <w:rPr>
                <w:rFonts w:cs="Times New Roman" w:ascii="Times New Roman" w:hAnsi="Times New Roman"/>
                <w:sz w:val="20"/>
                <w:szCs w:val="18"/>
                <w:lang w:val="en-US"/>
              </w:rPr>
              <w:t>0</w:t>
            </w:r>
            <w:r>
              <w:rPr>
                <w:rFonts w:cs="Times New Roman" w:ascii="Times New Roman" w:hAnsi="Times New Roman"/>
                <w:sz w:val="20"/>
                <w:szCs w:val="18"/>
              </w:rPr>
              <w:t>,</w:t>
            </w:r>
            <w:r>
              <w:rPr>
                <w:rFonts w:cs="Times New Roman" w:ascii="Times New Roman" w:hAnsi="Times New Roman"/>
                <w:sz w:val="20"/>
                <w:szCs w:val="18"/>
                <w:lang w:val="en-US"/>
              </w:rPr>
              <w:t>19</w:t>
            </w:r>
          </w:p>
        </w:tc>
        <w:tc>
          <w:tcPr>
            <w:tcW w:w="992" w:type="dxa"/>
            <w:tcBorders>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rFonts w:ascii="Times New Roman" w:hAnsi="Times New Roman" w:cs="Times New Roman"/>
                <w:sz w:val="20"/>
              </w:rPr>
            </w:pPr>
            <w:r>
              <w:rPr>
                <w:rFonts w:cs="Times New Roman" w:ascii="Times New Roman" w:hAnsi="Times New Roman"/>
                <w:sz w:val="20"/>
                <w:szCs w:val="18"/>
                <w:lang w:val="en-US"/>
              </w:rPr>
              <w:t>0</w:t>
            </w:r>
            <w:r>
              <w:rPr>
                <w:rFonts w:cs="Times New Roman" w:ascii="Times New Roman" w:hAnsi="Times New Roman"/>
                <w:sz w:val="20"/>
                <w:szCs w:val="18"/>
              </w:rPr>
              <w:t>,</w:t>
            </w:r>
            <w:r>
              <w:rPr>
                <w:rFonts w:cs="Times New Roman" w:ascii="Times New Roman" w:hAnsi="Times New Roman"/>
                <w:sz w:val="20"/>
                <w:szCs w:val="18"/>
                <w:lang w:val="en-US"/>
              </w:rPr>
              <w:t>19</w:t>
            </w:r>
          </w:p>
        </w:tc>
        <w:tc>
          <w:tcPr>
            <w:tcW w:w="991" w:type="dxa"/>
            <w:tcBorders>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rFonts w:ascii="Times New Roman" w:hAnsi="Times New Roman" w:cs="Times New Roman"/>
                <w:sz w:val="20"/>
              </w:rPr>
            </w:pPr>
            <w:r>
              <w:rPr>
                <w:rFonts w:cs="Times New Roman" w:ascii="Times New Roman" w:hAnsi="Times New Roman"/>
                <w:sz w:val="20"/>
                <w:szCs w:val="18"/>
                <w:lang w:val="en-US"/>
              </w:rPr>
              <w:t>0</w:t>
            </w:r>
            <w:r>
              <w:rPr>
                <w:rFonts w:cs="Times New Roman" w:ascii="Times New Roman" w:hAnsi="Times New Roman"/>
                <w:sz w:val="20"/>
                <w:szCs w:val="18"/>
              </w:rPr>
              <w:t>,</w:t>
            </w:r>
            <w:r>
              <w:rPr>
                <w:rFonts w:cs="Times New Roman" w:ascii="Times New Roman" w:hAnsi="Times New Roman"/>
                <w:sz w:val="20"/>
                <w:szCs w:val="18"/>
                <w:lang w:val="en-US"/>
              </w:rPr>
              <w:t>19</w:t>
            </w:r>
          </w:p>
        </w:tc>
        <w:tc>
          <w:tcPr>
            <w:tcW w:w="992" w:type="dxa"/>
            <w:tcBorders>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rFonts w:ascii="Times New Roman" w:hAnsi="Times New Roman" w:cs="Times New Roman"/>
                <w:sz w:val="20"/>
              </w:rPr>
            </w:pPr>
            <w:r>
              <w:rPr>
                <w:rFonts w:cs="Times New Roman" w:ascii="Times New Roman" w:hAnsi="Times New Roman"/>
                <w:sz w:val="20"/>
                <w:szCs w:val="18"/>
                <w:lang w:val="en-US"/>
              </w:rPr>
              <w:t>0</w:t>
            </w:r>
            <w:r>
              <w:rPr>
                <w:rFonts w:cs="Times New Roman" w:ascii="Times New Roman" w:hAnsi="Times New Roman"/>
                <w:sz w:val="20"/>
                <w:szCs w:val="18"/>
              </w:rPr>
              <w:t>,</w:t>
            </w:r>
            <w:r>
              <w:rPr>
                <w:rFonts w:cs="Times New Roman" w:ascii="Times New Roman" w:hAnsi="Times New Roman"/>
                <w:sz w:val="20"/>
                <w:szCs w:val="18"/>
                <w:lang w:val="en-US"/>
              </w:rPr>
              <w:t>19</w:t>
            </w:r>
          </w:p>
        </w:tc>
        <w:tc>
          <w:tcPr>
            <w:tcW w:w="852" w:type="dxa"/>
            <w:tcBorders>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Normal"/>
              <w:spacing w:lineRule="auto" w:line="240" w:before="0" w:after="0"/>
              <w:jc w:val="center"/>
              <w:rPr>
                <w:rFonts w:ascii="Times New Roman" w:hAnsi="Times New Roman" w:cs="Times New Roman"/>
                <w:sz w:val="20"/>
              </w:rPr>
            </w:pPr>
            <w:r>
              <w:rPr>
                <w:rFonts w:cs="Times New Roman" w:ascii="Times New Roman" w:hAnsi="Times New Roman"/>
                <w:sz w:val="20"/>
                <w:szCs w:val="18"/>
                <w:lang w:val="en-US"/>
              </w:rPr>
              <w:t>0</w:t>
            </w:r>
            <w:r>
              <w:rPr>
                <w:rFonts w:cs="Times New Roman" w:ascii="Times New Roman" w:hAnsi="Times New Roman"/>
                <w:sz w:val="20"/>
                <w:szCs w:val="18"/>
              </w:rPr>
              <w:t>,</w:t>
            </w:r>
            <w:r>
              <w:rPr>
                <w:rFonts w:cs="Times New Roman" w:ascii="Times New Roman" w:hAnsi="Times New Roman"/>
                <w:sz w:val="20"/>
                <w:szCs w:val="18"/>
                <w:lang w:val="en-US"/>
              </w:rPr>
              <w:t>19</w:t>
            </w:r>
          </w:p>
        </w:tc>
      </w:tr>
      <w:tr>
        <w:trPr>
          <w:trHeight w:val="339" w:hRule="atLeast"/>
        </w:trPr>
        <w:tc>
          <w:tcPr>
            <w:tcW w:w="3856" w:type="dxa"/>
            <w:tcBorders>
              <w:top w:val="single" w:sz="4" w:space="0" w:color="00000A"/>
              <w:left w:val="single" w:sz="4" w:space="0" w:color="00000A"/>
              <w:bottom w:val="single" w:sz="4" w:space="0" w:color="00000A"/>
              <w:insideH w:val="single" w:sz="4" w:space="0" w:color="00000A"/>
            </w:tcBorders>
            <w:shd w:color="auto" w:fill="auto" w:val="clear"/>
            <w:tcMar>
              <w:left w:w="103" w:type="dxa"/>
            </w:tcMar>
          </w:tcPr>
          <w:p>
            <w:pPr>
              <w:pStyle w:val="Normal"/>
              <w:spacing w:lineRule="auto" w:line="240" w:before="0" w:after="0"/>
              <w:rPr>
                <w:rFonts w:ascii="Times New Roman" w:hAnsi="Times New Roman" w:cs="Times New Roman"/>
                <w:sz w:val="20"/>
                <w:szCs w:val="18"/>
              </w:rPr>
            </w:pPr>
            <w:r>
              <w:rPr>
                <w:rFonts w:cs="Times New Roman" w:ascii="Times New Roman" w:hAnsi="Times New Roman"/>
                <w:bCs/>
                <w:sz w:val="20"/>
                <w:szCs w:val="18"/>
              </w:rPr>
              <w:t>4. Число амбулаторно-поликлинических медицинских учреждений, на 10 тыс. населения</w:t>
            </w:r>
          </w:p>
        </w:tc>
        <w:tc>
          <w:tcPr>
            <w:tcW w:w="850"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r>
          </w:p>
        </w:tc>
        <w:tc>
          <w:tcPr>
            <w:tcW w:w="992" w:type="dxa"/>
            <w:tcBorders>
              <w:left w:val="single" w:sz="4" w:space="0" w:color="00000A"/>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t>-</w:t>
            </w:r>
          </w:p>
        </w:tc>
        <w:tc>
          <w:tcPr>
            <w:tcW w:w="992" w:type="dxa"/>
            <w:tcBorders>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t>-</w:t>
            </w:r>
          </w:p>
        </w:tc>
        <w:tc>
          <w:tcPr>
            <w:tcW w:w="991" w:type="dxa"/>
            <w:tcBorders>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t>-</w:t>
            </w:r>
          </w:p>
        </w:tc>
        <w:tc>
          <w:tcPr>
            <w:tcW w:w="992" w:type="dxa"/>
            <w:tcBorders>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t>-</w:t>
            </w:r>
          </w:p>
        </w:tc>
        <w:tc>
          <w:tcPr>
            <w:tcW w:w="852" w:type="dxa"/>
            <w:tcBorders>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0"/>
              </w:rPr>
            </w:pPr>
            <w:r>
              <w:rPr>
                <w:rFonts w:cs="Times New Roman" w:ascii="Times New Roman" w:hAnsi="Times New Roman"/>
                <w:sz w:val="20"/>
              </w:rPr>
              <w:t>-</w:t>
            </w:r>
          </w:p>
        </w:tc>
      </w:tr>
      <w:tr>
        <w:trPr>
          <w:trHeight w:val="339" w:hRule="atLeast"/>
        </w:trPr>
        <w:tc>
          <w:tcPr>
            <w:tcW w:w="3856" w:type="dxa"/>
            <w:tcBorders>
              <w:top w:val="single" w:sz="4" w:space="0" w:color="00000A"/>
              <w:left w:val="single" w:sz="4" w:space="0" w:color="00000A"/>
              <w:bottom w:val="single" w:sz="4" w:space="0" w:color="00000A"/>
              <w:insideH w:val="single" w:sz="4" w:space="0" w:color="00000A"/>
            </w:tcBorders>
            <w:shd w:color="auto" w:fill="auto" w:val="clear"/>
            <w:tcMar>
              <w:left w:w="103" w:type="dxa"/>
            </w:tcMar>
          </w:tcPr>
          <w:p>
            <w:pPr>
              <w:pStyle w:val="Normal"/>
              <w:spacing w:lineRule="auto" w:line="240" w:before="0" w:after="0"/>
              <w:rPr>
                <w:rFonts w:ascii="Times New Roman" w:hAnsi="Times New Roman" w:cs="Times New Roman"/>
                <w:sz w:val="20"/>
                <w:szCs w:val="18"/>
              </w:rPr>
            </w:pPr>
            <w:r>
              <w:rPr>
                <w:rFonts w:cs="Times New Roman" w:ascii="Times New Roman" w:hAnsi="Times New Roman"/>
                <w:sz w:val="20"/>
                <w:szCs w:val="18"/>
              </w:rPr>
              <w:t xml:space="preserve">5. Количество больничных коек, - </w:t>
            </w:r>
          </w:p>
          <w:p>
            <w:pPr>
              <w:pStyle w:val="Normal"/>
              <w:spacing w:lineRule="auto" w:line="240" w:before="0" w:after="0"/>
              <w:rPr>
                <w:rFonts w:ascii="Times New Roman" w:hAnsi="Times New Roman" w:cs="Times New Roman"/>
                <w:sz w:val="20"/>
                <w:szCs w:val="18"/>
              </w:rPr>
            </w:pPr>
            <w:r>
              <w:rPr>
                <w:rFonts w:cs="Times New Roman" w:ascii="Times New Roman" w:hAnsi="Times New Roman"/>
                <w:sz w:val="20"/>
                <w:szCs w:val="18"/>
              </w:rPr>
              <w:t>ед./10 000 чел. населения</w:t>
            </w:r>
          </w:p>
        </w:tc>
        <w:tc>
          <w:tcPr>
            <w:tcW w:w="850"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pacing w:lineRule="auto" w:line="240" w:before="0" w:after="0"/>
              <w:jc w:val="right"/>
              <w:rPr>
                <w:rFonts w:ascii="Times New Roman" w:hAnsi="Times New Roman" w:cs="Times New Roman"/>
                <w:sz w:val="20"/>
                <w:szCs w:val="18"/>
              </w:rPr>
            </w:pPr>
            <w:r>
              <w:rPr>
                <w:rFonts w:cs="Times New Roman" w:ascii="Times New Roman" w:hAnsi="Times New Roman"/>
                <w:sz w:val="20"/>
                <w:szCs w:val="18"/>
              </w:rPr>
            </w:r>
          </w:p>
          <w:p>
            <w:pPr>
              <w:pStyle w:val="Normal"/>
              <w:spacing w:lineRule="auto" w:line="240" w:before="0" w:after="0"/>
              <w:jc w:val="right"/>
              <w:rPr>
                <w:rFonts w:ascii="Times New Roman" w:hAnsi="Times New Roman" w:cs="Times New Roman"/>
                <w:sz w:val="20"/>
                <w:szCs w:val="18"/>
              </w:rPr>
            </w:pPr>
            <w:r>
              <w:rPr>
                <w:rFonts w:cs="Times New Roman" w:ascii="Times New Roman" w:hAnsi="Times New Roman"/>
                <w:sz w:val="20"/>
                <w:szCs w:val="18"/>
              </w:rPr>
            </w:r>
          </w:p>
        </w:tc>
        <w:tc>
          <w:tcPr>
            <w:tcW w:w="992" w:type="dxa"/>
            <w:tcBorders>
              <w:left w:val="single" w:sz="4" w:space="0" w:color="00000A"/>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t>49,2</w:t>
            </w:r>
          </w:p>
        </w:tc>
        <w:tc>
          <w:tcPr>
            <w:tcW w:w="992" w:type="dxa"/>
            <w:tcBorders>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t>49,2</w:t>
            </w:r>
          </w:p>
        </w:tc>
        <w:tc>
          <w:tcPr>
            <w:tcW w:w="991" w:type="dxa"/>
            <w:tcBorders>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t>49,2</w:t>
            </w:r>
          </w:p>
        </w:tc>
        <w:tc>
          <w:tcPr>
            <w:tcW w:w="992" w:type="dxa"/>
            <w:tcBorders>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t>49,2</w:t>
            </w:r>
          </w:p>
        </w:tc>
        <w:tc>
          <w:tcPr>
            <w:tcW w:w="852" w:type="dxa"/>
            <w:tcBorders>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t>49,2</w:t>
            </w:r>
          </w:p>
        </w:tc>
      </w:tr>
      <w:tr>
        <w:trPr>
          <w:trHeight w:val="639" w:hRule="atLeast"/>
        </w:trPr>
        <w:tc>
          <w:tcPr>
            <w:tcW w:w="3856" w:type="dxa"/>
            <w:tcBorders>
              <w:top w:val="single" w:sz="4" w:space="0" w:color="00000A"/>
              <w:left w:val="single" w:sz="4" w:space="0" w:color="00000A"/>
              <w:bottom w:val="single" w:sz="4" w:space="0" w:color="00000A"/>
              <w:insideH w:val="single" w:sz="4" w:space="0" w:color="00000A"/>
            </w:tcBorders>
            <w:shd w:color="auto" w:fill="auto" w:val="clear"/>
            <w:tcMar>
              <w:left w:w="103" w:type="dxa"/>
            </w:tcMar>
          </w:tcPr>
          <w:p>
            <w:pPr>
              <w:pStyle w:val="Normal"/>
              <w:spacing w:lineRule="auto" w:line="240" w:before="0" w:after="0"/>
              <w:rPr>
                <w:rFonts w:ascii="Times New Roman" w:hAnsi="Times New Roman" w:cs="Times New Roman"/>
                <w:sz w:val="20"/>
                <w:szCs w:val="18"/>
              </w:rPr>
            </w:pPr>
            <w:r>
              <w:rPr>
                <w:rFonts w:cs="Times New Roman" w:ascii="Times New Roman" w:hAnsi="Times New Roman"/>
                <w:sz w:val="20"/>
                <w:szCs w:val="18"/>
              </w:rPr>
              <w:t>6. Численность врачей всех специальностей - чел./10 000 чел.</w:t>
            </w:r>
          </w:p>
          <w:p>
            <w:pPr>
              <w:pStyle w:val="Normal"/>
              <w:spacing w:lineRule="auto" w:line="240" w:before="0" w:after="0"/>
              <w:rPr>
                <w:rFonts w:ascii="Times New Roman" w:hAnsi="Times New Roman" w:cs="Times New Roman"/>
                <w:sz w:val="20"/>
                <w:szCs w:val="18"/>
              </w:rPr>
            </w:pPr>
            <w:r>
              <w:rPr>
                <w:rFonts w:cs="Times New Roman" w:ascii="Times New Roman" w:hAnsi="Times New Roman"/>
                <w:sz w:val="20"/>
                <w:szCs w:val="18"/>
              </w:rPr>
            </w:r>
          </w:p>
        </w:tc>
        <w:tc>
          <w:tcPr>
            <w:tcW w:w="850"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pacing w:lineRule="auto" w:line="240" w:before="0" w:after="0"/>
              <w:jc w:val="right"/>
              <w:rPr>
                <w:rFonts w:ascii="Times New Roman" w:hAnsi="Times New Roman" w:cs="Times New Roman"/>
                <w:sz w:val="20"/>
                <w:szCs w:val="18"/>
              </w:rPr>
            </w:pPr>
            <w:r>
              <w:rPr>
                <w:rFonts w:cs="Times New Roman" w:ascii="Times New Roman" w:hAnsi="Times New Roman"/>
                <w:sz w:val="20"/>
                <w:szCs w:val="18"/>
              </w:rPr>
            </w:r>
          </w:p>
          <w:p>
            <w:pPr>
              <w:pStyle w:val="Normal"/>
              <w:spacing w:lineRule="auto" w:line="240" w:before="0" w:after="0"/>
              <w:jc w:val="right"/>
              <w:rPr>
                <w:rFonts w:ascii="Times New Roman" w:hAnsi="Times New Roman" w:cs="Times New Roman"/>
                <w:sz w:val="20"/>
                <w:szCs w:val="18"/>
              </w:rPr>
            </w:pPr>
            <w:r>
              <w:rPr>
                <w:rFonts w:cs="Times New Roman" w:ascii="Times New Roman" w:hAnsi="Times New Roman"/>
                <w:sz w:val="20"/>
                <w:szCs w:val="18"/>
              </w:rPr>
              <w:t>норма:</w:t>
            </w:r>
          </w:p>
          <w:p>
            <w:pPr>
              <w:pStyle w:val="Normal"/>
              <w:spacing w:lineRule="auto" w:line="240" w:before="0" w:after="0"/>
              <w:jc w:val="right"/>
              <w:rPr>
                <w:rFonts w:ascii="Times New Roman" w:hAnsi="Times New Roman" w:cs="Times New Roman"/>
                <w:sz w:val="20"/>
                <w:szCs w:val="18"/>
              </w:rPr>
            </w:pPr>
            <w:r>
              <w:rPr>
                <w:rFonts w:cs="Times New Roman" w:ascii="Times New Roman" w:hAnsi="Times New Roman"/>
                <w:sz w:val="20"/>
                <w:szCs w:val="18"/>
              </w:rPr>
              <w:t>факт:</w:t>
            </w:r>
          </w:p>
        </w:tc>
        <w:tc>
          <w:tcPr>
            <w:tcW w:w="992" w:type="dxa"/>
            <w:tcBorders>
              <w:top w:val="single" w:sz="4" w:space="0" w:color="000001"/>
              <w:left w:val="single" w:sz="4" w:space="0" w:color="00000A"/>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r>
          </w:p>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t>42</w:t>
            </w:r>
          </w:p>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t>20</w:t>
            </w:r>
          </w:p>
        </w:tc>
        <w:tc>
          <w:tcPr>
            <w:tcW w:w="99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r>
          </w:p>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t>42</w:t>
            </w:r>
          </w:p>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t>19</w:t>
            </w:r>
          </w:p>
        </w:tc>
        <w:tc>
          <w:tcPr>
            <w:tcW w:w="991"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r>
          </w:p>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t>42</w:t>
            </w:r>
          </w:p>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t>20</w:t>
            </w:r>
          </w:p>
        </w:tc>
        <w:tc>
          <w:tcPr>
            <w:tcW w:w="99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r>
          </w:p>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t>42</w:t>
            </w:r>
          </w:p>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t>19</w:t>
            </w:r>
          </w:p>
        </w:tc>
        <w:tc>
          <w:tcPr>
            <w:tcW w:w="8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r>
          </w:p>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t>42</w:t>
            </w:r>
          </w:p>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t>21</w:t>
            </w:r>
          </w:p>
        </w:tc>
      </w:tr>
      <w:tr>
        <w:trPr>
          <w:trHeight w:val="665" w:hRule="atLeast"/>
        </w:trPr>
        <w:tc>
          <w:tcPr>
            <w:tcW w:w="3856" w:type="dxa"/>
            <w:tcBorders>
              <w:top w:val="single" w:sz="4" w:space="0" w:color="00000A"/>
              <w:left w:val="single" w:sz="4" w:space="0" w:color="00000A"/>
              <w:bottom w:val="single" w:sz="4" w:space="0" w:color="00000A"/>
              <w:insideH w:val="single" w:sz="4" w:space="0" w:color="00000A"/>
            </w:tcBorders>
            <w:shd w:color="auto" w:fill="auto" w:val="clear"/>
            <w:tcMar>
              <w:left w:w="103" w:type="dxa"/>
            </w:tcMar>
          </w:tcPr>
          <w:p>
            <w:pPr>
              <w:pStyle w:val="Normal"/>
              <w:spacing w:lineRule="auto" w:line="240" w:before="0" w:after="0"/>
              <w:rPr>
                <w:rFonts w:ascii="Times New Roman" w:hAnsi="Times New Roman" w:cs="Times New Roman"/>
                <w:sz w:val="20"/>
                <w:szCs w:val="18"/>
              </w:rPr>
            </w:pPr>
            <w:r>
              <w:rPr>
                <w:rFonts w:cs="Times New Roman" w:ascii="Times New Roman" w:hAnsi="Times New Roman"/>
                <w:sz w:val="20"/>
                <w:szCs w:val="18"/>
              </w:rPr>
              <w:t>7. Численность среднего медицинского персонала, чел./10 000 чел.</w:t>
            </w:r>
          </w:p>
          <w:p>
            <w:pPr>
              <w:pStyle w:val="Normal"/>
              <w:spacing w:lineRule="auto" w:line="240" w:before="0" w:after="0"/>
              <w:rPr>
                <w:rFonts w:ascii="Times New Roman" w:hAnsi="Times New Roman" w:cs="Times New Roman"/>
                <w:sz w:val="20"/>
                <w:szCs w:val="18"/>
              </w:rPr>
            </w:pPr>
            <w:r>
              <w:rPr>
                <w:rFonts w:cs="Times New Roman" w:ascii="Times New Roman" w:hAnsi="Times New Roman"/>
                <w:sz w:val="20"/>
                <w:szCs w:val="18"/>
              </w:rPr>
            </w:r>
          </w:p>
        </w:tc>
        <w:tc>
          <w:tcPr>
            <w:tcW w:w="850"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pacing w:lineRule="auto" w:line="240" w:before="0" w:after="0"/>
              <w:jc w:val="right"/>
              <w:rPr>
                <w:rFonts w:ascii="Times New Roman" w:hAnsi="Times New Roman" w:cs="Times New Roman"/>
                <w:sz w:val="20"/>
                <w:szCs w:val="18"/>
              </w:rPr>
            </w:pPr>
            <w:r>
              <w:rPr>
                <w:rFonts w:cs="Times New Roman" w:ascii="Times New Roman" w:hAnsi="Times New Roman"/>
                <w:sz w:val="20"/>
                <w:szCs w:val="18"/>
              </w:rPr>
            </w:r>
          </w:p>
          <w:p>
            <w:pPr>
              <w:pStyle w:val="Normal"/>
              <w:spacing w:lineRule="auto" w:line="240" w:before="0" w:after="0"/>
              <w:jc w:val="right"/>
              <w:rPr>
                <w:rFonts w:ascii="Times New Roman" w:hAnsi="Times New Roman" w:cs="Times New Roman"/>
                <w:sz w:val="20"/>
                <w:szCs w:val="18"/>
              </w:rPr>
            </w:pPr>
            <w:r>
              <w:rPr>
                <w:rFonts w:cs="Times New Roman" w:ascii="Times New Roman" w:hAnsi="Times New Roman"/>
                <w:sz w:val="20"/>
                <w:szCs w:val="18"/>
              </w:rPr>
              <w:t>норма:</w:t>
            </w:r>
          </w:p>
          <w:p>
            <w:pPr>
              <w:pStyle w:val="Normal"/>
              <w:spacing w:lineRule="auto" w:line="240" w:before="0" w:after="0"/>
              <w:jc w:val="right"/>
              <w:rPr>
                <w:rFonts w:ascii="Times New Roman" w:hAnsi="Times New Roman" w:cs="Times New Roman"/>
                <w:sz w:val="20"/>
                <w:szCs w:val="18"/>
              </w:rPr>
            </w:pPr>
            <w:r>
              <w:rPr>
                <w:rFonts w:cs="Times New Roman" w:ascii="Times New Roman" w:hAnsi="Times New Roman"/>
                <w:sz w:val="20"/>
                <w:szCs w:val="18"/>
              </w:rPr>
              <w:t>факт:</w:t>
            </w:r>
          </w:p>
        </w:tc>
        <w:tc>
          <w:tcPr>
            <w:tcW w:w="992" w:type="dxa"/>
            <w:tcBorders>
              <w:top w:val="single" w:sz="4" w:space="0" w:color="000001"/>
              <w:left w:val="single" w:sz="4" w:space="0" w:color="00000A"/>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r>
          </w:p>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t>88</w:t>
            </w:r>
          </w:p>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t>53</w:t>
            </w:r>
          </w:p>
        </w:tc>
        <w:tc>
          <w:tcPr>
            <w:tcW w:w="99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r>
          </w:p>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t>88</w:t>
            </w:r>
          </w:p>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t>50</w:t>
            </w:r>
          </w:p>
        </w:tc>
        <w:tc>
          <w:tcPr>
            <w:tcW w:w="991"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r>
          </w:p>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t>88</w:t>
            </w:r>
          </w:p>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t>53</w:t>
            </w:r>
          </w:p>
        </w:tc>
        <w:tc>
          <w:tcPr>
            <w:tcW w:w="99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r>
          </w:p>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t>88</w:t>
            </w:r>
          </w:p>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t>51</w:t>
            </w:r>
          </w:p>
        </w:tc>
        <w:tc>
          <w:tcPr>
            <w:tcW w:w="8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0"/>
              </w:rPr>
            </w:pPr>
            <w:r>
              <w:rPr>
                <w:rFonts w:cs="Times New Roman" w:ascii="Times New Roman" w:hAnsi="Times New Roman"/>
                <w:sz w:val="20"/>
              </w:rPr>
            </w:r>
          </w:p>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t>88</w:t>
            </w:r>
          </w:p>
          <w:p>
            <w:pPr>
              <w:pStyle w:val="Normal"/>
              <w:spacing w:lineRule="auto" w:line="240" w:before="0" w:after="0"/>
              <w:jc w:val="center"/>
              <w:rPr>
                <w:rFonts w:ascii="Times New Roman" w:hAnsi="Times New Roman" w:cs="Times New Roman"/>
                <w:sz w:val="20"/>
              </w:rPr>
            </w:pPr>
            <w:r>
              <w:rPr>
                <w:rFonts w:cs="Times New Roman" w:ascii="Times New Roman" w:hAnsi="Times New Roman"/>
                <w:sz w:val="20"/>
                <w:szCs w:val="18"/>
              </w:rPr>
              <w:t>54</w:t>
            </w:r>
          </w:p>
        </w:tc>
      </w:tr>
      <w:tr>
        <w:trPr>
          <w:trHeight w:val="566" w:hRule="atLeast"/>
        </w:trPr>
        <w:tc>
          <w:tcPr>
            <w:tcW w:w="3856" w:type="dxa"/>
            <w:tcBorders>
              <w:top w:val="single" w:sz="4" w:space="0" w:color="00000A"/>
              <w:left w:val="single" w:sz="4" w:space="0" w:color="00000A"/>
              <w:bottom w:val="single" w:sz="4" w:space="0" w:color="00000A"/>
              <w:insideH w:val="single" w:sz="4" w:space="0" w:color="00000A"/>
            </w:tcBorders>
            <w:shd w:color="auto" w:fill="auto" w:val="clear"/>
            <w:tcMar>
              <w:left w:w="103" w:type="dxa"/>
            </w:tcMar>
          </w:tcPr>
          <w:p>
            <w:pPr>
              <w:pStyle w:val="Normal"/>
              <w:spacing w:lineRule="auto" w:line="240" w:before="0" w:after="0"/>
              <w:rPr>
                <w:rFonts w:ascii="Times New Roman" w:hAnsi="Times New Roman" w:cs="Times New Roman"/>
                <w:sz w:val="20"/>
                <w:szCs w:val="18"/>
              </w:rPr>
            </w:pPr>
            <w:r>
              <w:rPr>
                <w:rFonts w:cs="Times New Roman" w:ascii="Times New Roman" w:hAnsi="Times New Roman"/>
                <w:sz w:val="20"/>
                <w:szCs w:val="18"/>
              </w:rPr>
              <w:t>8. Мощность амбулаторно-поликлинических учреждений,</w:t>
            </w:r>
          </w:p>
          <w:p>
            <w:pPr>
              <w:pStyle w:val="Normal"/>
              <w:spacing w:lineRule="auto" w:line="240" w:before="0" w:after="0"/>
              <w:rPr>
                <w:rFonts w:ascii="Times New Roman" w:hAnsi="Times New Roman" w:cs="Times New Roman"/>
                <w:sz w:val="20"/>
                <w:szCs w:val="18"/>
              </w:rPr>
            </w:pPr>
            <w:r>
              <w:rPr>
                <w:rFonts w:cs="Times New Roman" w:ascii="Times New Roman" w:hAnsi="Times New Roman"/>
                <w:sz w:val="20"/>
                <w:szCs w:val="18"/>
              </w:rPr>
              <w:t>- посещений на 10 000 населения</w:t>
            </w:r>
          </w:p>
        </w:tc>
        <w:tc>
          <w:tcPr>
            <w:tcW w:w="850"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r>
          </w:p>
        </w:tc>
        <w:tc>
          <w:tcPr>
            <w:tcW w:w="992" w:type="dxa"/>
            <w:tcBorders>
              <w:top w:val="single" w:sz="4" w:space="0" w:color="000001"/>
              <w:left w:val="single" w:sz="4" w:space="0" w:color="00000A"/>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t>34804</w:t>
            </w:r>
          </w:p>
        </w:tc>
        <w:tc>
          <w:tcPr>
            <w:tcW w:w="99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t>34804</w:t>
            </w:r>
          </w:p>
        </w:tc>
        <w:tc>
          <w:tcPr>
            <w:tcW w:w="991"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t>34804</w:t>
            </w:r>
          </w:p>
        </w:tc>
        <w:tc>
          <w:tcPr>
            <w:tcW w:w="99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t>34804</w:t>
            </w:r>
          </w:p>
        </w:tc>
        <w:tc>
          <w:tcPr>
            <w:tcW w:w="8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t>34804</w:t>
            </w:r>
          </w:p>
        </w:tc>
      </w:tr>
      <w:tr>
        <w:trPr>
          <w:trHeight w:val="218" w:hRule="atLeast"/>
        </w:trPr>
        <w:tc>
          <w:tcPr>
            <w:tcW w:w="3856" w:type="dxa"/>
            <w:tcBorders>
              <w:top w:val="single" w:sz="4" w:space="0" w:color="00000A"/>
              <w:left w:val="single" w:sz="4" w:space="0" w:color="00000A"/>
              <w:bottom w:val="single" w:sz="4" w:space="0" w:color="00000A"/>
              <w:insideH w:val="single" w:sz="4" w:space="0" w:color="00000A"/>
            </w:tcBorders>
            <w:shd w:color="auto" w:fill="auto" w:val="clear"/>
            <w:tcMar>
              <w:left w:w="103" w:type="dxa"/>
            </w:tcMar>
          </w:tcPr>
          <w:p>
            <w:pPr>
              <w:pStyle w:val="Normal"/>
              <w:spacing w:lineRule="auto" w:line="240" w:before="0" w:after="0"/>
              <w:rPr>
                <w:rFonts w:ascii="Times New Roman" w:hAnsi="Times New Roman" w:cs="Times New Roman"/>
                <w:sz w:val="20"/>
                <w:szCs w:val="18"/>
              </w:rPr>
            </w:pPr>
            <w:r>
              <w:rPr>
                <w:rFonts w:cs="Times New Roman" w:ascii="Times New Roman" w:hAnsi="Times New Roman"/>
                <w:sz w:val="20"/>
                <w:szCs w:val="18"/>
              </w:rPr>
              <w:t>9. Средний возраст работающих в отрасли, лет</w:t>
            </w:r>
          </w:p>
        </w:tc>
        <w:tc>
          <w:tcPr>
            <w:tcW w:w="850"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r>
          </w:p>
        </w:tc>
        <w:tc>
          <w:tcPr>
            <w:tcW w:w="992" w:type="dxa"/>
            <w:tcBorders>
              <w:top w:val="single" w:sz="4" w:space="0" w:color="000001"/>
              <w:left w:val="single" w:sz="4" w:space="0" w:color="00000A"/>
              <w:bottom w:val="single" w:sz="4" w:space="0" w:color="00000A"/>
              <w:insideH w:val="single" w:sz="4" w:space="0" w:color="00000A"/>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t>42</w:t>
            </w:r>
          </w:p>
        </w:tc>
        <w:tc>
          <w:tcPr>
            <w:tcW w:w="99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t>42</w:t>
            </w:r>
          </w:p>
        </w:tc>
        <w:tc>
          <w:tcPr>
            <w:tcW w:w="991"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t>42</w:t>
            </w:r>
          </w:p>
        </w:tc>
        <w:tc>
          <w:tcPr>
            <w:tcW w:w="99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t>42</w:t>
            </w:r>
          </w:p>
        </w:tc>
        <w:tc>
          <w:tcPr>
            <w:tcW w:w="8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0"/>
                <w:szCs w:val="18"/>
              </w:rPr>
            </w:pPr>
            <w:r>
              <w:rPr>
                <w:rFonts w:cs="Times New Roman" w:ascii="Times New Roman" w:hAnsi="Times New Roman"/>
                <w:sz w:val="20"/>
                <w:szCs w:val="18"/>
              </w:rPr>
              <w:t>42</w:t>
            </w:r>
          </w:p>
        </w:tc>
      </w:tr>
    </w:tbl>
    <w:p>
      <w:pPr>
        <w:pStyle w:val="Standard"/>
        <w:jc w:val="center"/>
        <w:rPr>
          <w:sz w:val="28"/>
        </w:rPr>
      </w:pPr>
      <w:r>
        <w:rPr>
          <w:sz w:val="28"/>
        </w:rPr>
      </w:r>
    </w:p>
    <w:p>
      <w:pPr>
        <w:pStyle w:val="Standard"/>
        <w:rPr>
          <w:sz w:val="28"/>
        </w:rPr>
      </w:pPr>
      <w:r>
        <w:rPr>
          <w:sz w:val="28"/>
        </w:rPr>
        <w:t>Основные показатели здравоохранения в основном соотносятся с аналогичными показателями по Ставропольскому краю. Как и в городах Ставропольского края, в Железноводске остро стоит проблема – дефицита медицинских кадров. Обеспеченность врачами на 10 000 населения составляет по городу Железноводску в 2018 году (21), она ниже, чем в среднем по краю (43,4), по СКФО и РФ (соответственно 41,1 и 47,5). Обеспеченность средним медицинским персоналом (54) также значительно ниже краевых показателей (98,7), показателей по СКФО и РФ (93 и 105,6 соответственно).</w:t>
      </w:r>
    </w:p>
    <w:p>
      <w:pPr>
        <w:pStyle w:val="Standard"/>
        <w:rPr>
          <w:sz w:val="28"/>
        </w:rPr>
      </w:pPr>
      <w:r>
        <w:rPr>
          <w:sz w:val="28"/>
        </w:rPr>
      </w:r>
    </w:p>
    <w:p>
      <w:pPr>
        <w:pStyle w:val="Standard"/>
        <w:jc w:val="right"/>
        <w:rPr>
          <w:b/>
          <w:b/>
        </w:rPr>
      </w:pPr>
      <w:r>
        <w:rPr>
          <w:b/>
        </w:rPr>
        <w:t>Таблица 9</w:t>
      </w:r>
    </w:p>
    <w:p>
      <w:pPr>
        <w:pStyle w:val="Standard"/>
        <w:jc w:val="center"/>
        <w:rPr>
          <w:b/>
          <w:b/>
        </w:rPr>
      </w:pPr>
      <w:r>
        <w:rPr>
          <w:b/>
        </w:rPr>
        <w:t>Обеспеченность медицинским персоналом</w:t>
      </w:r>
    </w:p>
    <w:tbl>
      <w:tblPr>
        <w:tblW w:w="9370" w:type="dxa"/>
        <w:jc w:val="left"/>
        <w:tblInd w:w="5" w:type="dxa"/>
        <w:tblBorders>
          <w:top w:val="single" w:sz="4" w:space="0" w:color="000001"/>
          <w:left w:val="single" w:sz="4" w:space="0" w:color="000001"/>
          <w:bottom w:val="single" w:sz="4" w:space="0" w:color="000001"/>
          <w:insideH w:val="single" w:sz="4" w:space="0" w:color="000001"/>
        </w:tblBorders>
        <w:tblCellMar>
          <w:top w:w="0" w:type="dxa"/>
          <w:left w:w="-5" w:type="dxa"/>
          <w:bottom w:w="0" w:type="dxa"/>
          <w:right w:w="0" w:type="dxa"/>
        </w:tblCellMar>
        <w:tblLook w:noVBand="0" w:val="0000" w:noHBand="0" w:lastColumn="0" w:firstColumn="0" w:lastRow="0" w:firstRow="0"/>
      </w:tblPr>
      <w:tblGrid>
        <w:gridCol w:w="1517"/>
        <w:gridCol w:w="641"/>
        <w:gridCol w:w="641"/>
        <w:gridCol w:w="641"/>
        <w:gridCol w:w="641"/>
        <w:gridCol w:w="728"/>
        <w:gridCol w:w="1"/>
        <w:gridCol w:w="840"/>
        <w:gridCol w:w="926"/>
        <w:gridCol w:w="927"/>
        <w:gridCol w:w="927"/>
        <w:gridCol w:w="938"/>
      </w:tblGrid>
      <w:tr>
        <w:trPr>
          <w:trHeight w:val="90" w:hRule="atLeast"/>
          <w:cantSplit w:val="true"/>
        </w:trPr>
        <w:tc>
          <w:tcPr>
            <w:tcW w:w="1517" w:type="dxa"/>
            <w:vMerge w:val="restart"/>
            <w:tcBorders>
              <w:top w:val="single" w:sz="4" w:space="0" w:color="000001"/>
              <w:left w:val="single" w:sz="4" w:space="0" w:color="000001"/>
              <w:bottom w:val="single" w:sz="4" w:space="0" w:color="000001"/>
              <w:insideH w:val="single" w:sz="4" w:space="0" w:color="000001"/>
            </w:tcBorders>
            <w:shd w:color="auto" w:fill="E6E6E6" w:val="clear"/>
            <w:tcMar>
              <w:left w:w="-5" w:type="dxa"/>
            </w:tcMar>
            <w:vAlign w:val="center"/>
          </w:tcPr>
          <w:p>
            <w:pPr>
              <w:pStyle w:val="Normal"/>
              <w:snapToGrid w:val="false"/>
              <w:spacing w:lineRule="auto" w:line="240" w:before="0" w:after="0"/>
              <w:jc w:val="center"/>
              <w:rPr>
                <w:rFonts w:ascii="Times New Roman" w:hAnsi="Times New Roman" w:cs="Times New Roman"/>
                <w:b/>
                <w:b/>
                <w:bCs/>
              </w:rPr>
            </w:pPr>
            <w:r>
              <w:rPr>
                <w:rFonts w:cs="Times New Roman" w:ascii="Times New Roman" w:hAnsi="Times New Roman"/>
                <w:b/>
                <w:bCs/>
              </w:rPr>
            </w:r>
          </w:p>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Территория</w:t>
            </w:r>
          </w:p>
        </w:tc>
        <w:tc>
          <w:tcPr>
            <w:tcW w:w="3293" w:type="dxa"/>
            <w:gridSpan w:val="6"/>
            <w:tcBorders>
              <w:top w:val="single" w:sz="4" w:space="0" w:color="000001"/>
              <w:left w:val="single" w:sz="4" w:space="0" w:color="000001"/>
              <w:bottom w:val="single" w:sz="4" w:space="0" w:color="000001"/>
              <w:insideH w:val="single" w:sz="4" w:space="0" w:color="000001"/>
            </w:tcBorders>
            <w:shd w:color="auto" w:fill="E6E6E6" w:val="clear"/>
            <w:tcMar>
              <w:left w:w="-5" w:type="dxa"/>
            </w:tcMar>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Численность врачей, человек на 10000 населения</w:t>
            </w:r>
          </w:p>
        </w:tc>
        <w:tc>
          <w:tcPr>
            <w:tcW w:w="4558"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E6E6E6" w:val="clear"/>
            <w:tcMar>
              <w:left w:w="-5"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b/>
                <w:bCs/>
              </w:rPr>
              <w:t>Численность среднего медицинского персонала, человек на10000 населения</w:t>
            </w:r>
          </w:p>
        </w:tc>
      </w:tr>
      <w:tr>
        <w:trPr>
          <w:cantSplit w:val="true"/>
        </w:trPr>
        <w:tc>
          <w:tcPr>
            <w:tcW w:w="1517"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5" w:type="dxa"/>
            </w:tcMar>
            <w:vAlign w:val="center"/>
          </w:tcPr>
          <w:p>
            <w:pPr>
              <w:pStyle w:val="Normal"/>
              <w:snapToGrid w:val="false"/>
              <w:spacing w:lineRule="auto" w:line="240" w:before="0" w:after="0"/>
              <w:rPr>
                <w:rFonts w:ascii="Times New Roman" w:hAnsi="Times New Roman" w:cs="Times New Roman"/>
                <w:b/>
                <w:b/>
                <w:bCs/>
              </w:rPr>
            </w:pPr>
            <w:r>
              <w:rPr>
                <w:rFonts w:cs="Times New Roman" w:ascii="Times New Roman" w:hAnsi="Times New Roman"/>
                <w:b/>
                <w:bCs/>
              </w:rPr>
            </w:r>
          </w:p>
        </w:tc>
        <w:tc>
          <w:tcPr>
            <w:tcW w:w="641" w:type="dxa"/>
            <w:tcBorders>
              <w:top w:val="single" w:sz="4" w:space="0" w:color="000001"/>
              <w:left w:val="single" w:sz="4" w:space="0" w:color="000001"/>
              <w:bottom w:val="single" w:sz="4" w:space="0" w:color="000001"/>
              <w:insideH w:val="single" w:sz="4" w:space="0" w:color="000001"/>
            </w:tcBorders>
            <w:shd w:color="auto" w:fill="E6E6E6" w:val="clear"/>
            <w:tcMar>
              <w:left w:w="-5" w:type="dxa"/>
            </w:tcMar>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2014</w:t>
            </w:r>
          </w:p>
        </w:tc>
        <w:tc>
          <w:tcPr>
            <w:tcW w:w="641" w:type="dxa"/>
            <w:tcBorders>
              <w:top w:val="single" w:sz="4" w:space="0" w:color="000001"/>
              <w:left w:val="single" w:sz="4" w:space="0" w:color="000001"/>
              <w:bottom w:val="single" w:sz="4" w:space="0" w:color="000001"/>
              <w:insideH w:val="single" w:sz="4" w:space="0" w:color="000001"/>
            </w:tcBorders>
            <w:shd w:color="auto" w:fill="E6E6E6" w:val="clear"/>
            <w:tcMar>
              <w:left w:w="-5" w:type="dxa"/>
            </w:tcMar>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2015</w:t>
            </w:r>
          </w:p>
        </w:tc>
        <w:tc>
          <w:tcPr>
            <w:tcW w:w="641" w:type="dxa"/>
            <w:tcBorders>
              <w:top w:val="single" w:sz="4" w:space="0" w:color="000001"/>
              <w:left w:val="single" w:sz="4" w:space="0" w:color="000001"/>
              <w:bottom w:val="single" w:sz="4" w:space="0" w:color="000001"/>
              <w:insideH w:val="single" w:sz="4" w:space="0" w:color="000001"/>
            </w:tcBorders>
            <w:shd w:color="auto" w:fill="E6E6E6" w:val="clear"/>
            <w:tcMar>
              <w:left w:w="-5" w:type="dxa"/>
            </w:tcMar>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2016</w:t>
            </w:r>
          </w:p>
        </w:tc>
        <w:tc>
          <w:tcPr>
            <w:tcW w:w="641" w:type="dxa"/>
            <w:tcBorders>
              <w:top w:val="single" w:sz="4" w:space="0" w:color="000001"/>
              <w:left w:val="single" w:sz="4" w:space="0" w:color="000001"/>
              <w:bottom w:val="single" w:sz="4" w:space="0" w:color="000001"/>
              <w:insideH w:val="single" w:sz="4" w:space="0" w:color="000001"/>
            </w:tcBorders>
            <w:shd w:color="auto" w:fill="E6E6E6" w:val="clear"/>
            <w:tcMar>
              <w:left w:w="-5" w:type="dxa"/>
            </w:tcMar>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2017</w:t>
            </w:r>
          </w:p>
        </w:tc>
        <w:tc>
          <w:tcPr>
            <w:tcW w:w="728" w:type="dxa"/>
            <w:tcBorders>
              <w:top w:val="single" w:sz="4" w:space="0" w:color="000001"/>
              <w:left w:val="single" w:sz="4" w:space="0" w:color="000001"/>
              <w:bottom w:val="single" w:sz="4" w:space="0" w:color="000001"/>
              <w:insideH w:val="single" w:sz="4" w:space="0" w:color="000001"/>
            </w:tcBorders>
            <w:shd w:color="auto" w:fill="E6E6E6" w:val="clear"/>
            <w:tcMar>
              <w:left w:w="-5" w:type="dxa"/>
            </w:tcMar>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2018</w:t>
            </w:r>
          </w:p>
        </w:tc>
        <w:tc>
          <w:tcPr>
            <w:tcW w:w="841" w:type="dxa"/>
            <w:gridSpan w:val="2"/>
            <w:tcBorders>
              <w:top w:val="single" w:sz="4" w:space="0" w:color="000001"/>
              <w:left w:val="single" w:sz="4" w:space="0" w:color="000001"/>
              <w:bottom w:val="single" w:sz="4" w:space="0" w:color="000001"/>
              <w:insideH w:val="single" w:sz="4" w:space="0" w:color="000001"/>
            </w:tcBorders>
            <w:shd w:color="auto" w:fill="E6E6E6" w:val="clear"/>
            <w:tcMar>
              <w:left w:w="-5" w:type="dxa"/>
            </w:tcMar>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2014</w:t>
            </w:r>
          </w:p>
        </w:tc>
        <w:tc>
          <w:tcPr>
            <w:tcW w:w="926" w:type="dxa"/>
            <w:tcBorders>
              <w:top w:val="single" w:sz="4" w:space="0" w:color="000001"/>
              <w:left w:val="single" w:sz="4" w:space="0" w:color="000001"/>
              <w:bottom w:val="single" w:sz="4" w:space="0" w:color="000001"/>
              <w:insideH w:val="single" w:sz="4" w:space="0" w:color="000001"/>
            </w:tcBorders>
            <w:shd w:color="auto" w:fill="E6E6E6" w:val="clear"/>
            <w:tcMar>
              <w:left w:w="-5" w:type="dxa"/>
            </w:tcMar>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2015</w:t>
            </w:r>
          </w:p>
        </w:tc>
        <w:tc>
          <w:tcPr>
            <w:tcW w:w="927" w:type="dxa"/>
            <w:tcBorders>
              <w:top w:val="single" w:sz="4" w:space="0" w:color="000001"/>
              <w:left w:val="single" w:sz="4" w:space="0" w:color="000001"/>
              <w:bottom w:val="single" w:sz="4" w:space="0" w:color="000001"/>
              <w:insideH w:val="single" w:sz="4" w:space="0" w:color="000001"/>
            </w:tcBorders>
            <w:shd w:color="auto" w:fill="E6E6E6" w:val="clear"/>
            <w:tcMar>
              <w:left w:w="-5" w:type="dxa"/>
            </w:tcMar>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2016</w:t>
            </w:r>
          </w:p>
        </w:tc>
        <w:tc>
          <w:tcPr>
            <w:tcW w:w="927" w:type="dxa"/>
            <w:tcBorders>
              <w:top w:val="single" w:sz="4" w:space="0" w:color="000001"/>
              <w:left w:val="single" w:sz="4" w:space="0" w:color="000001"/>
              <w:bottom w:val="single" w:sz="4" w:space="0" w:color="000001"/>
              <w:insideH w:val="single" w:sz="4" w:space="0" w:color="000001"/>
            </w:tcBorders>
            <w:shd w:color="auto" w:fill="E6E6E6" w:val="clear"/>
            <w:tcMar>
              <w:left w:w="-5" w:type="dxa"/>
            </w:tcMar>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2017</w:t>
            </w:r>
          </w:p>
        </w:tc>
        <w:tc>
          <w:tcPr>
            <w:tcW w:w="9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E6E6E6" w:val="clear"/>
            <w:tcMar>
              <w:left w:w="-5" w:type="dxa"/>
            </w:tcMar>
            <w:vAlign w:val="center"/>
          </w:tcPr>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2018</w:t>
            </w:r>
          </w:p>
        </w:tc>
      </w:tr>
      <w:tr>
        <w:trPr/>
        <w:tc>
          <w:tcPr>
            <w:tcW w:w="1517" w:type="dxa"/>
            <w:tcBorders>
              <w:top w:val="single" w:sz="4" w:space="0" w:color="000001"/>
              <w:left w:val="single" w:sz="4" w:space="0" w:color="000001"/>
              <w:bottom w:val="single" w:sz="4" w:space="0" w:color="000001"/>
              <w:insideH w:val="single" w:sz="4" w:space="0" w:color="000001"/>
            </w:tcBorders>
            <w:shd w:color="auto" w:fill="auto" w:val="clear"/>
            <w:tcMar>
              <w:left w:w="-5" w:type="dxa"/>
            </w:tcMar>
          </w:tcPr>
          <w:p>
            <w:pPr>
              <w:pStyle w:val="Normal"/>
              <w:spacing w:lineRule="auto" w:line="240" w:before="0" w:after="0"/>
              <w:jc w:val="center"/>
              <w:rPr>
                <w:rFonts w:ascii="Times New Roman" w:hAnsi="Times New Roman" w:cs="Times New Roman"/>
              </w:rPr>
            </w:pPr>
            <w:r>
              <w:rPr>
                <w:rFonts w:cs="Times New Roman" w:ascii="Times New Roman" w:hAnsi="Times New Roman"/>
              </w:rPr>
              <w:t>Железноводск</w:t>
            </w:r>
          </w:p>
        </w:tc>
        <w:tc>
          <w:tcPr>
            <w:tcW w:w="641" w:type="dxa"/>
            <w:tcBorders>
              <w:top w:val="single" w:sz="4" w:space="0" w:color="000001"/>
              <w:left w:val="single" w:sz="4" w:space="0" w:color="000001"/>
              <w:bottom w:val="single" w:sz="4" w:space="0" w:color="000001"/>
              <w:insideH w:val="single" w:sz="4" w:space="0" w:color="000001"/>
            </w:tcBorders>
            <w:shd w:color="auto" w:fill="auto" w:val="clear"/>
            <w:tcMar>
              <w:left w:w="-5" w:type="dxa"/>
            </w:tcMar>
            <w:vAlign w:val="bottom"/>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20</w:t>
            </w:r>
          </w:p>
        </w:tc>
        <w:tc>
          <w:tcPr>
            <w:tcW w:w="641" w:type="dxa"/>
            <w:tcBorders>
              <w:top w:val="single" w:sz="4" w:space="0" w:color="000001"/>
              <w:left w:val="single" w:sz="4" w:space="0" w:color="000001"/>
              <w:bottom w:val="single" w:sz="4" w:space="0" w:color="000001"/>
              <w:insideH w:val="single" w:sz="4" w:space="0" w:color="000001"/>
            </w:tcBorders>
            <w:shd w:color="auto" w:fill="auto" w:val="clear"/>
            <w:tcMar>
              <w:left w:w="-5" w:type="dxa"/>
            </w:tcMar>
            <w:vAlign w:val="bottom"/>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19</w:t>
            </w:r>
          </w:p>
        </w:tc>
        <w:tc>
          <w:tcPr>
            <w:tcW w:w="641" w:type="dxa"/>
            <w:tcBorders>
              <w:top w:val="single" w:sz="4" w:space="0" w:color="000001"/>
              <w:left w:val="single" w:sz="4" w:space="0" w:color="000001"/>
              <w:bottom w:val="single" w:sz="4" w:space="0" w:color="000001"/>
              <w:insideH w:val="single" w:sz="4" w:space="0" w:color="000001"/>
            </w:tcBorders>
            <w:shd w:color="auto" w:fill="auto" w:val="clear"/>
            <w:tcMar>
              <w:left w:w="-5" w:type="dxa"/>
            </w:tcMar>
            <w:vAlign w:val="bottom"/>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20</w:t>
            </w:r>
          </w:p>
        </w:tc>
        <w:tc>
          <w:tcPr>
            <w:tcW w:w="641" w:type="dxa"/>
            <w:tcBorders>
              <w:top w:val="single" w:sz="4" w:space="0" w:color="000001"/>
              <w:left w:val="single" w:sz="4" w:space="0" w:color="000001"/>
              <w:bottom w:val="single" w:sz="4" w:space="0" w:color="000001"/>
              <w:insideH w:val="single" w:sz="4" w:space="0" w:color="000001"/>
            </w:tcBorders>
            <w:shd w:color="auto" w:fill="auto" w:val="clear"/>
            <w:tcMar>
              <w:left w:w="-5" w:type="dxa"/>
            </w:tcMar>
            <w:vAlign w:val="bottom"/>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19</w:t>
            </w:r>
          </w:p>
        </w:tc>
        <w:tc>
          <w:tcPr>
            <w:tcW w:w="728" w:type="dxa"/>
            <w:tcBorders>
              <w:top w:val="single" w:sz="4" w:space="0" w:color="000001"/>
              <w:left w:val="single" w:sz="4" w:space="0" w:color="000001"/>
              <w:bottom w:val="single" w:sz="4" w:space="0" w:color="000001"/>
              <w:insideH w:val="single" w:sz="4" w:space="0" w:color="000001"/>
            </w:tcBorders>
            <w:shd w:color="auto" w:fill="auto" w:val="clear"/>
            <w:tcMar>
              <w:left w:w="-5" w:type="dxa"/>
            </w:tcMar>
            <w:vAlign w:val="center"/>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21</w:t>
            </w:r>
          </w:p>
        </w:tc>
        <w:tc>
          <w:tcPr>
            <w:tcW w:w="841" w:type="dxa"/>
            <w:gridSpan w:val="2"/>
            <w:tcBorders>
              <w:top w:val="single" w:sz="4" w:space="0" w:color="000001"/>
              <w:left w:val="single" w:sz="4" w:space="0" w:color="000001"/>
              <w:bottom w:val="single" w:sz="4" w:space="0" w:color="000001"/>
              <w:insideH w:val="single" w:sz="4" w:space="0" w:color="000001"/>
            </w:tcBorders>
            <w:shd w:color="auto" w:fill="auto" w:val="clear"/>
            <w:tcMar>
              <w:left w:w="-5" w:type="dxa"/>
            </w:tcMar>
            <w:vAlign w:val="bottom"/>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53</w:t>
            </w:r>
          </w:p>
        </w:tc>
        <w:tc>
          <w:tcPr>
            <w:tcW w:w="926" w:type="dxa"/>
            <w:tcBorders>
              <w:top w:val="single" w:sz="4" w:space="0" w:color="000001"/>
              <w:left w:val="single" w:sz="4" w:space="0" w:color="000001"/>
              <w:bottom w:val="single" w:sz="4" w:space="0" w:color="000001"/>
              <w:insideH w:val="single" w:sz="4" w:space="0" w:color="000001"/>
            </w:tcBorders>
            <w:shd w:color="auto" w:fill="auto" w:val="clear"/>
            <w:tcMar>
              <w:left w:w="-5" w:type="dxa"/>
            </w:tcMar>
            <w:vAlign w:val="bottom"/>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51</w:t>
            </w:r>
          </w:p>
        </w:tc>
        <w:tc>
          <w:tcPr>
            <w:tcW w:w="927" w:type="dxa"/>
            <w:tcBorders>
              <w:top w:val="single" w:sz="4" w:space="0" w:color="000001"/>
              <w:left w:val="single" w:sz="4" w:space="0" w:color="000001"/>
              <w:bottom w:val="single" w:sz="4" w:space="0" w:color="000001"/>
              <w:insideH w:val="single" w:sz="4" w:space="0" w:color="000001"/>
            </w:tcBorders>
            <w:shd w:color="auto" w:fill="auto" w:val="clear"/>
            <w:tcMar>
              <w:left w:w="-5" w:type="dxa"/>
            </w:tcMar>
            <w:vAlign w:val="bottom"/>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54</w:t>
            </w:r>
          </w:p>
        </w:tc>
        <w:tc>
          <w:tcPr>
            <w:tcW w:w="927" w:type="dxa"/>
            <w:tcBorders>
              <w:top w:val="single" w:sz="4" w:space="0" w:color="000001"/>
              <w:left w:val="single" w:sz="4" w:space="0" w:color="000001"/>
              <w:bottom w:val="single" w:sz="4" w:space="0" w:color="000001"/>
              <w:insideH w:val="single" w:sz="4" w:space="0" w:color="000001"/>
            </w:tcBorders>
            <w:shd w:color="auto" w:fill="auto" w:val="clear"/>
            <w:tcMar>
              <w:left w:w="-5" w:type="dxa"/>
            </w:tcMar>
            <w:vAlign w:val="bottom"/>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53</w:t>
            </w:r>
          </w:p>
        </w:tc>
        <w:tc>
          <w:tcPr>
            <w:tcW w:w="9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vAlign w:val="center"/>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54</w:t>
            </w:r>
          </w:p>
        </w:tc>
      </w:tr>
      <w:tr>
        <w:trPr/>
        <w:tc>
          <w:tcPr>
            <w:tcW w:w="1517" w:type="dxa"/>
            <w:tcBorders>
              <w:top w:val="single" w:sz="4" w:space="0" w:color="000001"/>
              <w:left w:val="single" w:sz="4" w:space="0" w:color="000001"/>
              <w:bottom w:val="single" w:sz="4" w:space="0" w:color="000001"/>
              <w:insideH w:val="single" w:sz="4" w:space="0" w:color="000001"/>
            </w:tcBorders>
            <w:shd w:color="auto" w:fill="auto" w:val="clear"/>
            <w:tcMar>
              <w:left w:w="-5" w:type="dxa"/>
            </w:tcMar>
          </w:tcPr>
          <w:p>
            <w:pPr>
              <w:pStyle w:val="Normal"/>
              <w:spacing w:lineRule="auto" w:line="240" w:before="0" w:after="0"/>
              <w:jc w:val="center"/>
              <w:rPr>
                <w:rFonts w:ascii="Times New Roman" w:hAnsi="Times New Roman" w:cs="Times New Roman"/>
                <w:color w:val="000000"/>
              </w:rPr>
            </w:pPr>
            <w:r>
              <w:rPr>
                <w:rFonts w:cs="Times New Roman" w:ascii="Times New Roman" w:hAnsi="Times New Roman"/>
              </w:rPr>
              <w:t>Ставропольский край</w:t>
            </w:r>
          </w:p>
        </w:tc>
        <w:tc>
          <w:tcPr>
            <w:tcW w:w="641" w:type="dxa"/>
            <w:tcBorders>
              <w:top w:val="single" w:sz="4" w:space="0" w:color="000001"/>
              <w:left w:val="single" w:sz="4" w:space="0" w:color="000001"/>
              <w:bottom w:val="single" w:sz="4" w:space="0" w:color="000001"/>
              <w:insideH w:val="single" w:sz="4" w:space="0" w:color="000001"/>
            </w:tcBorders>
            <w:shd w:color="auto" w:fill="auto" w:val="clear"/>
            <w:tcMar>
              <w:left w:w="-5" w:type="dxa"/>
            </w:tcMar>
            <w:vAlign w:val="center"/>
          </w:tcPr>
          <w:p>
            <w:pPr>
              <w:pStyle w:val="Normal"/>
              <w:spacing w:lineRule="auto" w:line="240" w:before="0" w:after="0"/>
              <w:jc w:val="center"/>
              <w:rPr>
                <w:rFonts w:ascii="Times New Roman" w:hAnsi="Times New Roman" w:cs="Times New Roman"/>
                <w:color w:val="000000"/>
              </w:rPr>
            </w:pPr>
            <w:r>
              <w:rPr>
                <w:rFonts w:cs="Times New Roman" w:ascii="Times New Roman" w:hAnsi="Times New Roman"/>
                <w:color w:val="000000"/>
              </w:rPr>
              <w:t>43,3</w:t>
            </w:r>
          </w:p>
        </w:tc>
        <w:tc>
          <w:tcPr>
            <w:tcW w:w="641" w:type="dxa"/>
            <w:tcBorders>
              <w:top w:val="single" w:sz="4" w:space="0" w:color="000001"/>
              <w:left w:val="single" w:sz="4" w:space="0" w:color="000001"/>
              <w:bottom w:val="single" w:sz="4" w:space="0" w:color="000001"/>
              <w:insideH w:val="single" w:sz="4" w:space="0" w:color="000001"/>
            </w:tcBorders>
            <w:shd w:color="auto" w:fill="auto" w:val="clear"/>
            <w:tcMar>
              <w:left w:w="-5" w:type="dxa"/>
            </w:tcMar>
            <w:vAlign w:val="center"/>
          </w:tcPr>
          <w:p>
            <w:pPr>
              <w:pStyle w:val="Normal"/>
              <w:spacing w:lineRule="auto" w:line="240" w:before="0" w:after="0"/>
              <w:jc w:val="center"/>
              <w:rPr>
                <w:rFonts w:ascii="Times New Roman" w:hAnsi="Times New Roman" w:cs="Times New Roman"/>
                <w:color w:val="000000"/>
              </w:rPr>
            </w:pPr>
            <w:r>
              <w:rPr>
                <w:rFonts w:cs="Times New Roman" w:ascii="Times New Roman" w:hAnsi="Times New Roman"/>
                <w:color w:val="000000"/>
              </w:rPr>
              <w:t>41,6</w:t>
            </w:r>
          </w:p>
        </w:tc>
        <w:tc>
          <w:tcPr>
            <w:tcW w:w="641" w:type="dxa"/>
            <w:tcBorders>
              <w:top w:val="single" w:sz="4" w:space="0" w:color="000001"/>
              <w:left w:val="single" w:sz="4" w:space="0" w:color="000001"/>
              <w:bottom w:val="single" w:sz="4" w:space="0" w:color="000001"/>
              <w:insideH w:val="single" w:sz="4" w:space="0" w:color="000001"/>
            </w:tcBorders>
            <w:shd w:color="auto" w:fill="auto" w:val="clear"/>
            <w:tcMar>
              <w:left w:w="-5"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rPr>
              <w:t>42,6</w:t>
            </w:r>
          </w:p>
        </w:tc>
        <w:tc>
          <w:tcPr>
            <w:tcW w:w="641" w:type="dxa"/>
            <w:tcBorders>
              <w:top w:val="single" w:sz="4" w:space="0" w:color="000001"/>
              <w:left w:val="single" w:sz="4" w:space="0" w:color="000001"/>
              <w:bottom w:val="single" w:sz="4" w:space="0" w:color="000001"/>
              <w:insideH w:val="single" w:sz="4" w:space="0" w:color="000001"/>
            </w:tcBorders>
            <w:shd w:color="auto" w:fill="auto" w:val="clear"/>
            <w:tcMar>
              <w:left w:w="-5"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rPr>
              <w:t>43,2</w:t>
            </w:r>
          </w:p>
        </w:tc>
        <w:tc>
          <w:tcPr>
            <w:tcW w:w="728" w:type="dxa"/>
            <w:tcBorders>
              <w:top w:val="single" w:sz="4" w:space="0" w:color="000001"/>
              <w:left w:val="single" w:sz="4" w:space="0" w:color="000001"/>
              <w:bottom w:val="single" w:sz="4" w:space="0" w:color="000001"/>
              <w:insideH w:val="single" w:sz="4" w:space="0" w:color="000001"/>
            </w:tcBorders>
            <w:shd w:color="auto" w:fill="auto" w:val="clear"/>
            <w:tcMar>
              <w:left w:w="-5" w:type="dxa"/>
            </w:tcMar>
            <w:vAlign w:val="center"/>
          </w:tcPr>
          <w:p>
            <w:pPr>
              <w:pStyle w:val="Normal"/>
              <w:spacing w:lineRule="auto" w:line="240" w:before="0" w:after="0"/>
              <w:jc w:val="center"/>
              <w:rPr>
                <w:rFonts w:ascii="Times New Roman" w:hAnsi="Times New Roman" w:cs="Times New Roman"/>
                <w:color w:val="000000"/>
              </w:rPr>
            </w:pPr>
            <w:r>
              <w:rPr>
                <w:rFonts w:cs="Times New Roman" w:ascii="Times New Roman" w:hAnsi="Times New Roman"/>
                <w:color w:val="000000"/>
              </w:rPr>
              <w:t>43,4</w:t>
            </w:r>
          </w:p>
        </w:tc>
        <w:tc>
          <w:tcPr>
            <w:tcW w:w="841" w:type="dxa"/>
            <w:gridSpan w:val="2"/>
            <w:tcBorders>
              <w:top w:val="single" w:sz="4" w:space="0" w:color="000001"/>
              <w:left w:val="single" w:sz="4" w:space="0" w:color="000001"/>
              <w:bottom w:val="single" w:sz="4" w:space="0" w:color="000001"/>
              <w:insideH w:val="single" w:sz="4" w:space="0" w:color="000001"/>
            </w:tcBorders>
            <w:shd w:color="auto" w:fill="auto" w:val="clear"/>
            <w:tcMar>
              <w:left w:w="-5" w:type="dxa"/>
            </w:tcMar>
            <w:vAlign w:val="center"/>
          </w:tcPr>
          <w:p>
            <w:pPr>
              <w:pStyle w:val="Normal"/>
              <w:spacing w:lineRule="auto" w:line="240" w:before="0" w:after="0"/>
              <w:jc w:val="center"/>
              <w:rPr>
                <w:rFonts w:ascii="Times New Roman" w:hAnsi="Times New Roman" w:cs="Times New Roman"/>
                <w:color w:val="000000"/>
              </w:rPr>
            </w:pPr>
            <w:r>
              <w:rPr>
                <w:rFonts w:cs="Times New Roman" w:ascii="Times New Roman" w:hAnsi="Times New Roman"/>
                <w:color w:val="000000"/>
              </w:rPr>
              <w:t>96,6</w:t>
            </w:r>
          </w:p>
        </w:tc>
        <w:tc>
          <w:tcPr>
            <w:tcW w:w="926" w:type="dxa"/>
            <w:tcBorders>
              <w:top w:val="single" w:sz="4" w:space="0" w:color="000001"/>
              <w:left w:val="single" w:sz="4" w:space="0" w:color="000001"/>
              <w:bottom w:val="single" w:sz="4" w:space="0" w:color="000001"/>
              <w:insideH w:val="single" w:sz="4" w:space="0" w:color="000001"/>
            </w:tcBorders>
            <w:shd w:color="auto" w:fill="auto" w:val="clear"/>
            <w:tcMar>
              <w:left w:w="-5" w:type="dxa"/>
            </w:tcMar>
            <w:vAlign w:val="center"/>
          </w:tcPr>
          <w:p>
            <w:pPr>
              <w:pStyle w:val="Normal"/>
              <w:spacing w:lineRule="auto" w:line="240" w:before="0" w:after="0"/>
              <w:jc w:val="center"/>
              <w:rPr>
                <w:rFonts w:ascii="Times New Roman" w:hAnsi="Times New Roman" w:cs="Times New Roman"/>
                <w:color w:val="000000"/>
              </w:rPr>
            </w:pPr>
            <w:r>
              <w:rPr>
                <w:rFonts w:cs="Times New Roman" w:ascii="Times New Roman" w:hAnsi="Times New Roman"/>
                <w:color w:val="000000"/>
              </w:rPr>
              <w:t>97</w:t>
            </w:r>
          </w:p>
        </w:tc>
        <w:tc>
          <w:tcPr>
            <w:tcW w:w="927" w:type="dxa"/>
            <w:tcBorders>
              <w:top w:val="single" w:sz="4" w:space="0" w:color="000001"/>
              <w:left w:val="single" w:sz="4" w:space="0" w:color="000001"/>
              <w:bottom w:val="single" w:sz="4" w:space="0" w:color="000001"/>
              <w:insideH w:val="single" w:sz="4" w:space="0" w:color="000001"/>
            </w:tcBorders>
            <w:shd w:color="auto" w:fill="auto" w:val="clear"/>
            <w:tcMar>
              <w:left w:w="-5"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rPr>
              <w:t>98,2</w:t>
            </w:r>
          </w:p>
        </w:tc>
        <w:tc>
          <w:tcPr>
            <w:tcW w:w="927" w:type="dxa"/>
            <w:tcBorders>
              <w:top w:val="single" w:sz="4" w:space="0" w:color="000001"/>
              <w:left w:val="single" w:sz="4" w:space="0" w:color="000001"/>
              <w:bottom w:val="single" w:sz="4" w:space="0" w:color="000001"/>
              <w:insideH w:val="single" w:sz="4" w:space="0" w:color="000001"/>
            </w:tcBorders>
            <w:shd w:color="auto" w:fill="auto" w:val="clear"/>
            <w:tcMar>
              <w:left w:w="-5"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rPr>
              <w:t>98,5</w:t>
            </w:r>
          </w:p>
        </w:tc>
        <w:tc>
          <w:tcPr>
            <w:tcW w:w="9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rPr>
              <w:t>98,7</w:t>
            </w:r>
          </w:p>
        </w:tc>
      </w:tr>
      <w:tr>
        <w:trPr>
          <w:trHeight w:val="70" w:hRule="atLeast"/>
        </w:trPr>
        <w:tc>
          <w:tcPr>
            <w:tcW w:w="1517" w:type="dxa"/>
            <w:tcBorders>
              <w:top w:val="single" w:sz="4" w:space="0" w:color="000001"/>
              <w:left w:val="single" w:sz="4" w:space="0" w:color="000001"/>
              <w:bottom w:val="single" w:sz="4" w:space="0" w:color="000001"/>
              <w:insideH w:val="single" w:sz="4" w:space="0" w:color="000001"/>
            </w:tcBorders>
            <w:shd w:color="auto" w:fill="auto" w:val="clear"/>
            <w:tcMar>
              <w:left w:w="-5" w:type="dxa"/>
            </w:tcMar>
          </w:tcPr>
          <w:p>
            <w:pPr>
              <w:pStyle w:val="Normal"/>
              <w:spacing w:lineRule="auto" w:line="240" w:before="0" w:after="0"/>
              <w:jc w:val="center"/>
              <w:rPr>
                <w:rFonts w:ascii="Times New Roman" w:hAnsi="Times New Roman" w:cs="Times New Roman"/>
                <w:color w:val="000000"/>
              </w:rPr>
            </w:pPr>
            <w:r>
              <w:rPr>
                <w:rFonts w:cs="Times New Roman" w:ascii="Times New Roman" w:hAnsi="Times New Roman"/>
                <w:color w:val="000000"/>
              </w:rPr>
              <w:t>СКФО</w:t>
            </w:r>
          </w:p>
        </w:tc>
        <w:tc>
          <w:tcPr>
            <w:tcW w:w="641" w:type="dxa"/>
            <w:tcBorders>
              <w:top w:val="single" w:sz="4" w:space="0" w:color="000001"/>
              <w:left w:val="single" w:sz="4" w:space="0" w:color="000001"/>
              <w:bottom w:val="single" w:sz="4" w:space="0" w:color="000001"/>
              <w:insideH w:val="single" w:sz="4" w:space="0" w:color="000001"/>
            </w:tcBorders>
            <w:shd w:color="auto" w:fill="auto" w:val="clear"/>
            <w:tcMar>
              <w:left w:w="-5" w:type="dxa"/>
            </w:tcMar>
            <w:vAlign w:val="bottom"/>
          </w:tcPr>
          <w:p>
            <w:pPr>
              <w:pStyle w:val="Normal"/>
              <w:spacing w:lineRule="auto" w:line="240" w:before="0" w:after="0"/>
              <w:jc w:val="center"/>
              <w:rPr>
                <w:rFonts w:ascii="Times New Roman" w:hAnsi="Times New Roman" w:cs="Times New Roman"/>
                <w:color w:val="000000"/>
              </w:rPr>
            </w:pPr>
            <w:r>
              <w:rPr>
                <w:rFonts w:cs="Times New Roman" w:ascii="Times New Roman" w:hAnsi="Times New Roman"/>
                <w:color w:val="000000"/>
              </w:rPr>
              <w:t>41,6</w:t>
            </w:r>
          </w:p>
        </w:tc>
        <w:tc>
          <w:tcPr>
            <w:tcW w:w="641" w:type="dxa"/>
            <w:tcBorders>
              <w:top w:val="single" w:sz="4" w:space="0" w:color="000001"/>
              <w:left w:val="single" w:sz="4" w:space="0" w:color="000001"/>
              <w:bottom w:val="single" w:sz="4" w:space="0" w:color="000001"/>
              <w:insideH w:val="single" w:sz="4" w:space="0" w:color="000001"/>
            </w:tcBorders>
            <w:shd w:color="auto" w:fill="auto" w:val="clear"/>
            <w:tcMar>
              <w:left w:w="-5" w:type="dxa"/>
            </w:tcMar>
            <w:vAlign w:val="bottom"/>
          </w:tcPr>
          <w:p>
            <w:pPr>
              <w:pStyle w:val="Normal"/>
              <w:spacing w:lineRule="auto" w:line="240" w:before="0" w:after="0"/>
              <w:jc w:val="center"/>
              <w:rPr>
                <w:rFonts w:ascii="Times New Roman" w:hAnsi="Times New Roman" w:cs="Times New Roman"/>
                <w:color w:val="000000"/>
              </w:rPr>
            </w:pPr>
            <w:r>
              <w:rPr>
                <w:rFonts w:cs="Times New Roman" w:ascii="Times New Roman" w:hAnsi="Times New Roman"/>
                <w:color w:val="000000"/>
              </w:rPr>
              <w:t>39,5</w:t>
            </w:r>
          </w:p>
        </w:tc>
        <w:tc>
          <w:tcPr>
            <w:tcW w:w="641" w:type="dxa"/>
            <w:tcBorders>
              <w:top w:val="single" w:sz="4" w:space="0" w:color="000001"/>
              <w:left w:val="single" w:sz="4" w:space="0" w:color="000001"/>
              <w:bottom w:val="single" w:sz="4" w:space="0" w:color="000001"/>
              <w:insideH w:val="single" w:sz="4" w:space="0" w:color="000001"/>
            </w:tcBorders>
            <w:shd w:color="auto" w:fill="auto" w:val="clear"/>
            <w:tcMar>
              <w:left w:w="-5" w:type="dxa"/>
            </w:tcMar>
            <w:vAlign w:val="bottom"/>
          </w:tcPr>
          <w:p>
            <w:pPr>
              <w:pStyle w:val="Normal"/>
              <w:spacing w:lineRule="auto" w:line="240" w:before="0" w:after="0"/>
              <w:jc w:val="center"/>
              <w:rPr>
                <w:rFonts w:ascii="Times New Roman" w:hAnsi="Times New Roman" w:cs="Times New Roman"/>
              </w:rPr>
            </w:pPr>
            <w:r>
              <w:rPr>
                <w:rFonts w:cs="Times New Roman" w:ascii="Times New Roman" w:hAnsi="Times New Roman"/>
              </w:rPr>
              <w:t>40,7</w:t>
            </w:r>
          </w:p>
        </w:tc>
        <w:tc>
          <w:tcPr>
            <w:tcW w:w="641" w:type="dxa"/>
            <w:tcBorders>
              <w:top w:val="single" w:sz="4" w:space="0" w:color="000001"/>
              <w:left w:val="single" w:sz="4" w:space="0" w:color="000001"/>
              <w:bottom w:val="single" w:sz="4" w:space="0" w:color="000001"/>
              <w:insideH w:val="single" w:sz="4" w:space="0" w:color="000001"/>
            </w:tcBorders>
            <w:shd w:color="auto" w:fill="auto" w:val="clear"/>
            <w:tcMar>
              <w:left w:w="-5" w:type="dxa"/>
            </w:tcMar>
            <w:vAlign w:val="bottom"/>
          </w:tcPr>
          <w:p>
            <w:pPr>
              <w:pStyle w:val="Normal"/>
              <w:spacing w:lineRule="auto" w:line="240" w:before="0" w:after="0"/>
              <w:jc w:val="center"/>
              <w:rPr>
                <w:rFonts w:ascii="Times New Roman" w:hAnsi="Times New Roman" w:cs="Times New Roman"/>
              </w:rPr>
            </w:pPr>
            <w:r>
              <w:rPr>
                <w:rFonts w:cs="Times New Roman" w:ascii="Times New Roman" w:hAnsi="Times New Roman"/>
              </w:rPr>
              <w:t>41</w:t>
            </w:r>
          </w:p>
        </w:tc>
        <w:tc>
          <w:tcPr>
            <w:tcW w:w="728" w:type="dxa"/>
            <w:tcBorders>
              <w:top w:val="single" w:sz="4" w:space="0" w:color="000001"/>
              <w:left w:val="single" w:sz="4" w:space="0" w:color="000001"/>
              <w:bottom w:val="single" w:sz="4" w:space="0" w:color="000001"/>
              <w:insideH w:val="single" w:sz="4" w:space="0" w:color="000001"/>
            </w:tcBorders>
            <w:shd w:color="auto" w:fill="auto" w:val="clear"/>
            <w:tcMar>
              <w:left w:w="-5" w:type="dxa"/>
            </w:tcMar>
            <w:vAlign w:val="center"/>
          </w:tcPr>
          <w:p>
            <w:pPr>
              <w:pStyle w:val="Normal"/>
              <w:spacing w:lineRule="auto" w:line="240" w:before="0" w:after="0"/>
              <w:jc w:val="center"/>
              <w:rPr>
                <w:rFonts w:ascii="Times New Roman" w:hAnsi="Times New Roman" w:cs="Times New Roman"/>
                <w:color w:val="000000"/>
              </w:rPr>
            </w:pPr>
            <w:r>
              <w:rPr>
                <w:rFonts w:cs="Times New Roman" w:ascii="Times New Roman" w:hAnsi="Times New Roman"/>
                <w:color w:val="000000"/>
              </w:rPr>
              <w:t>41,4</w:t>
            </w:r>
          </w:p>
        </w:tc>
        <w:tc>
          <w:tcPr>
            <w:tcW w:w="841" w:type="dxa"/>
            <w:gridSpan w:val="2"/>
            <w:tcBorders>
              <w:top w:val="single" w:sz="4" w:space="0" w:color="000001"/>
              <w:left w:val="single" w:sz="4" w:space="0" w:color="000001"/>
              <w:bottom w:val="single" w:sz="4" w:space="0" w:color="000001"/>
              <w:insideH w:val="single" w:sz="4" w:space="0" w:color="000001"/>
            </w:tcBorders>
            <w:shd w:color="auto" w:fill="auto" w:val="clear"/>
            <w:tcMar>
              <w:left w:w="-5" w:type="dxa"/>
            </w:tcMar>
            <w:vAlign w:val="bottom"/>
          </w:tcPr>
          <w:p>
            <w:pPr>
              <w:pStyle w:val="Normal"/>
              <w:spacing w:lineRule="auto" w:line="240" w:before="0" w:after="0"/>
              <w:jc w:val="center"/>
              <w:rPr>
                <w:rFonts w:ascii="Times New Roman" w:hAnsi="Times New Roman" w:cs="Times New Roman"/>
                <w:color w:val="000000"/>
              </w:rPr>
            </w:pPr>
            <w:r>
              <w:rPr>
                <w:rFonts w:cs="Times New Roman" w:ascii="Times New Roman" w:hAnsi="Times New Roman"/>
                <w:color w:val="000000"/>
              </w:rPr>
              <w:t>91,4</w:t>
            </w:r>
          </w:p>
        </w:tc>
        <w:tc>
          <w:tcPr>
            <w:tcW w:w="926" w:type="dxa"/>
            <w:tcBorders>
              <w:top w:val="single" w:sz="4" w:space="0" w:color="000001"/>
              <w:left w:val="single" w:sz="4" w:space="0" w:color="000001"/>
              <w:bottom w:val="single" w:sz="4" w:space="0" w:color="000001"/>
              <w:insideH w:val="single" w:sz="4" w:space="0" w:color="000001"/>
            </w:tcBorders>
            <w:shd w:color="auto" w:fill="auto" w:val="clear"/>
            <w:tcMar>
              <w:left w:w="-5" w:type="dxa"/>
            </w:tcMar>
            <w:vAlign w:val="bottom"/>
          </w:tcPr>
          <w:p>
            <w:pPr>
              <w:pStyle w:val="Normal"/>
              <w:spacing w:lineRule="auto" w:line="240" w:before="0" w:after="0"/>
              <w:jc w:val="center"/>
              <w:rPr>
                <w:rFonts w:ascii="Times New Roman" w:hAnsi="Times New Roman" w:cs="Times New Roman"/>
                <w:color w:val="000000"/>
              </w:rPr>
            </w:pPr>
            <w:r>
              <w:rPr>
                <w:rFonts w:cs="Times New Roman" w:ascii="Times New Roman" w:hAnsi="Times New Roman"/>
                <w:color w:val="000000"/>
              </w:rPr>
              <w:t>91,3</w:t>
            </w:r>
          </w:p>
        </w:tc>
        <w:tc>
          <w:tcPr>
            <w:tcW w:w="927" w:type="dxa"/>
            <w:tcBorders>
              <w:top w:val="single" w:sz="4" w:space="0" w:color="000001"/>
              <w:left w:val="single" w:sz="4" w:space="0" w:color="000001"/>
              <w:bottom w:val="single" w:sz="4" w:space="0" w:color="000001"/>
              <w:insideH w:val="single" w:sz="4" w:space="0" w:color="000001"/>
            </w:tcBorders>
            <w:shd w:color="auto" w:fill="auto" w:val="clear"/>
            <w:tcMar>
              <w:left w:w="-5" w:type="dxa"/>
            </w:tcMar>
            <w:vAlign w:val="bottom"/>
          </w:tcPr>
          <w:p>
            <w:pPr>
              <w:pStyle w:val="Normal"/>
              <w:spacing w:lineRule="auto" w:line="240" w:before="0" w:after="0"/>
              <w:jc w:val="center"/>
              <w:rPr>
                <w:rFonts w:ascii="Times New Roman" w:hAnsi="Times New Roman" w:cs="Times New Roman"/>
              </w:rPr>
            </w:pPr>
            <w:r>
              <w:rPr>
                <w:rFonts w:cs="Times New Roman" w:ascii="Times New Roman" w:hAnsi="Times New Roman"/>
              </w:rPr>
              <w:t>92,1</w:t>
            </w:r>
          </w:p>
        </w:tc>
        <w:tc>
          <w:tcPr>
            <w:tcW w:w="927" w:type="dxa"/>
            <w:tcBorders>
              <w:top w:val="single" w:sz="4" w:space="0" w:color="000001"/>
              <w:left w:val="single" w:sz="4" w:space="0" w:color="000001"/>
              <w:bottom w:val="single" w:sz="4" w:space="0" w:color="000001"/>
              <w:insideH w:val="single" w:sz="4" w:space="0" w:color="000001"/>
            </w:tcBorders>
            <w:shd w:color="auto" w:fill="auto" w:val="clear"/>
            <w:tcMar>
              <w:left w:w="-5" w:type="dxa"/>
            </w:tcMar>
            <w:vAlign w:val="bottom"/>
          </w:tcPr>
          <w:p>
            <w:pPr>
              <w:pStyle w:val="Normal"/>
              <w:spacing w:lineRule="auto" w:line="240" w:before="0" w:after="0"/>
              <w:jc w:val="center"/>
              <w:rPr>
                <w:rFonts w:ascii="Times New Roman" w:hAnsi="Times New Roman" w:cs="Times New Roman"/>
              </w:rPr>
            </w:pPr>
            <w:r>
              <w:rPr>
                <w:rFonts w:cs="Times New Roman" w:ascii="Times New Roman" w:hAnsi="Times New Roman"/>
              </w:rPr>
              <w:t>92,6</w:t>
            </w:r>
          </w:p>
        </w:tc>
        <w:tc>
          <w:tcPr>
            <w:tcW w:w="9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rPr>
              <w:t>93</w:t>
            </w:r>
          </w:p>
        </w:tc>
      </w:tr>
      <w:tr>
        <w:trPr>
          <w:trHeight w:val="160" w:hRule="atLeast"/>
        </w:trPr>
        <w:tc>
          <w:tcPr>
            <w:tcW w:w="1517" w:type="dxa"/>
            <w:tcBorders>
              <w:top w:val="single" w:sz="4" w:space="0" w:color="000001"/>
              <w:left w:val="single" w:sz="4" w:space="0" w:color="000001"/>
              <w:bottom w:val="single" w:sz="4" w:space="0" w:color="000001"/>
              <w:insideH w:val="single" w:sz="4" w:space="0" w:color="000001"/>
            </w:tcBorders>
            <w:shd w:color="auto" w:fill="auto" w:val="clear"/>
            <w:tcMar>
              <w:left w:w="-5" w:type="dxa"/>
            </w:tcMar>
          </w:tcPr>
          <w:p>
            <w:pPr>
              <w:pStyle w:val="Normal"/>
              <w:spacing w:lineRule="auto" w:line="240" w:before="0" w:after="0"/>
              <w:jc w:val="center"/>
              <w:rPr>
                <w:rFonts w:ascii="Times New Roman" w:hAnsi="Times New Roman" w:cs="Times New Roman"/>
                <w:color w:val="000000"/>
              </w:rPr>
            </w:pPr>
            <w:r>
              <w:rPr>
                <w:rFonts w:cs="Times New Roman" w:ascii="Times New Roman" w:hAnsi="Times New Roman"/>
              </w:rPr>
              <w:t>РФ</w:t>
            </w:r>
          </w:p>
        </w:tc>
        <w:tc>
          <w:tcPr>
            <w:tcW w:w="641" w:type="dxa"/>
            <w:tcBorders>
              <w:top w:val="single" w:sz="4" w:space="0" w:color="000001"/>
              <w:left w:val="single" w:sz="4" w:space="0" w:color="000001"/>
              <w:bottom w:val="single" w:sz="4" w:space="0" w:color="000001"/>
              <w:insideH w:val="single" w:sz="4" w:space="0" w:color="000001"/>
            </w:tcBorders>
            <w:shd w:color="auto" w:fill="auto" w:val="clear"/>
            <w:tcMar>
              <w:left w:w="-5" w:type="dxa"/>
            </w:tcMar>
            <w:vAlign w:val="bottom"/>
          </w:tcPr>
          <w:p>
            <w:pPr>
              <w:pStyle w:val="Normal"/>
              <w:spacing w:lineRule="auto" w:line="240" w:before="0" w:after="0"/>
              <w:jc w:val="center"/>
              <w:rPr>
                <w:rFonts w:ascii="Times New Roman" w:hAnsi="Times New Roman" w:cs="Times New Roman"/>
                <w:color w:val="000000"/>
              </w:rPr>
            </w:pPr>
            <w:r>
              <w:rPr>
                <w:rFonts w:cs="Times New Roman" w:ascii="Times New Roman" w:hAnsi="Times New Roman"/>
                <w:color w:val="000000"/>
              </w:rPr>
              <w:t>48,5</w:t>
            </w:r>
          </w:p>
        </w:tc>
        <w:tc>
          <w:tcPr>
            <w:tcW w:w="641" w:type="dxa"/>
            <w:tcBorders>
              <w:top w:val="single" w:sz="4" w:space="0" w:color="000001"/>
              <w:left w:val="single" w:sz="4" w:space="0" w:color="000001"/>
              <w:bottom w:val="single" w:sz="4" w:space="0" w:color="000001"/>
              <w:insideH w:val="single" w:sz="4" w:space="0" w:color="000001"/>
            </w:tcBorders>
            <w:shd w:color="auto" w:fill="auto" w:val="clear"/>
            <w:tcMar>
              <w:left w:w="-5" w:type="dxa"/>
            </w:tcMar>
            <w:vAlign w:val="bottom"/>
          </w:tcPr>
          <w:p>
            <w:pPr>
              <w:pStyle w:val="Normal"/>
              <w:spacing w:lineRule="auto" w:line="240" w:before="0" w:after="0"/>
              <w:jc w:val="center"/>
              <w:rPr>
                <w:rFonts w:ascii="Times New Roman" w:hAnsi="Times New Roman" w:cs="Times New Roman"/>
                <w:color w:val="000000"/>
              </w:rPr>
            </w:pPr>
            <w:r>
              <w:rPr>
                <w:rFonts w:cs="Times New Roman" w:ascii="Times New Roman" w:hAnsi="Times New Roman"/>
                <w:color w:val="000000"/>
              </w:rPr>
              <w:t>45,9</w:t>
            </w:r>
          </w:p>
        </w:tc>
        <w:tc>
          <w:tcPr>
            <w:tcW w:w="641" w:type="dxa"/>
            <w:tcBorders>
              <w:top w:val="single" w:sz="4" w:space="0" w:color="000001"/>
              <w:left w:val="single" w:sz="4" w:space="0" w:color="000001"/>
              <w:bottom w:val="single" w:sz="4" w:space="0" w:color="000001"/>
              <w:insideH w:val="single" w:sz="4" w:space="0" w:color="000001"/>
            </w:tcBorders>
            <w:shd w:color="auto" w:fill="auto" w:val="clear"/>
            <w:tcMar>
              <w:left w:w="-5" w:type="dxa"/>
            </w:tcMar>
            <w:vAlign w:val="bottom"/>
          </w:tcPr>
          <w:p>
            <w:pPr>
              <w:pStyle w:val="Normal"/>
              <w:spacing w:lineRule="auto" w:line="240" w:before="0" w:after="0"/>
              <w:jc w:val="center"/>
              <w:rPr>
                <w:rFonts w:ascii="Times New Roman" w:hAnsi="Times New Roman" w:cs="Times New Roman"/>
              </w:rPr>
            </w:pPr>
            <w:r>
              <w:rPr>
                <w:rFonts w:cs="Times New Roman" w:ascii="Times New Roman" w:hAnsi="Times New Roman"/>
              </w:rPr>
              <w:t>46,4</w:t>
            </w:r>
          </w:p>
        </w:tc>
        <w:tc>
          <w:tcPr>
            <w:tcW w:w="641" w:type="dxa"/>
            <w:tcBorders>
              <w:top w:val="single" w:sz="4" w:space="0" w:color="000001"/>
              <w:left w:val="single" w:sz="4" w:space="0" w:color="000001"/>
              <w:bottom w:val="single" w:sz="4" w:space="0" w:color="000001"/>
              <w:insideH w:val="single" w:sz="4" w:space="0" w:color="000001"/>
            </w:tcBorders>
            <w:shd w:color="auto" w:fill="auto" w:val="clear"/>
            <w:tcMar>
              <w:left w:w="-5" w:type="dxa"/>
            </w:tcMar>
            <w:vAlign w:val="bottom"/>
          </w:tcPr>
          <w:p>
            <w:pPr>
              <w:pStyle w:val="Normal"/>
              <w:spacing w:lineRule="auto" w:line="240" w:before="0" w:after="0"/>
              <w:jc w:val="center"/>
              <w:rPr>
                <w:rFonts w:ascii="Times New Roman" w:hAnsi="Times New Roman" w:cs="Times New Roman"/>
              </w:rPr>
            </w:pPr>
            <w:r>
              <w:rPr>
                <w:rFonts w:cs="Times New Roman" w:ascii="Times New Roman" w:hAnsi="Times New Roman"/>
              </w:rPr>
              <w:t>46,9</w:t>
            </w:r>
          </w:p>
        </w:tc>
        <w:tc>
          <w:tcPr>
            <w:tcW w:w="728" w:type="dxa"/>
            <w:tcBorders>
              <w:top w:val="single" w:sz="4" w:space="0" w:color="000001"/>
              <w:left w:val="single" w:sz="4" w:space="0" w:color="000001"/>
              <w:bottom w:val="single" w:sz="4" w:space="0" w:color="000001"/>
              <w:insideH w:val="single" w:sz="4" w:space="0" w:color="000001"/>
            </w:tcBorders>
            <w:shd w:color="auto" w:fill="auto" w:val="clear"/>
            <w:tcMar>
              <w:left w:w="-5" w:type="dxa"/>
            </w:tcMar>
            <w:vAlign w:val="center"/>
          </w:tcPr>
          <w:p>
            <w:pPr>
              <w:pStyle w:val="Normal"/>
              <w:spacing w:lineRule="auto" w:line="240" w:before="0" w:after="0"/>
              <w:jc w:val="center"/>
              <w:rPr>
                <w:rFonts w:ascii="Times New Roman" w:hAnsi="Times New Roman" w:cs="Times New Roman"/>
                <w:color w:val="000000"/>
              </w:rPr>
            </w:pPr>
            <w:r>
              <w:rPr>
                <w:rFonts w:cs="Times New Roman" w:ascii="Times New Roman" w:hAnsi="Times New Roman"/>
                <w:color w:val="000000"/>
              </w:rPr>
              <w:t>47,5</w:t>
            </w:r>
          </w:p>
        </w:tc>
        <w:tc>
          <w:tcPr>
            <w:tcW w:w="841" w:type="dxa"/>
            <w:gridSpan w:val="2"/>
            <w:tcBorders>
              <w:top w:val="single" w:sz="4" w:space="0" w:color="000001"/>
              <w:left w:val="single" w:sz="4" w:space="0" w:color="000001"/>
              <w:bottom w:val="single" w:sz="4" w:space="0" w:color="000001"/>
              <w:insideH w:val="single" w:sz="4" w:space="0" w:color="000001"/>
            </w:tcBorders>
            <w:shd w:color="auto" w:fill="auto" w:val="clear"/>
            <w:tcMar>
              <w:left w:w="-5" w:type="dxa"/>
            </w:tcMar>
            <w:vAlign w:val="bottom"/>
          </w:tcPr>
          <w:p>
            <w:pPr>
              <w:pStyle w:val="Normal"/>
              <w:spacing w:lineRule="auto" w:line="240" w:before="0" w:after="0"/>
              <w:jc w:val="center"/>
              <w:rPr>
                <w:rFonts w:ascii="Times New Roman" w:hAnsi="Times New Roman" w:cs="Times New Roman"/>
                <w:color w:val="000000"/>
              </w:rPr>
            </w:pPr>
            <w:r>
              <w:rPr>
                <w:rFonts w:cs="Times New Roman" w:ascii="Times New Roman" w:hAnsi="Times New Roman"/>
                <w:color w:val="000000"/>
              </w:rPr>
              <w:t>104,3</w:t>
            </w:r>
          </w:p>
        </w:tc>
        <w:tc>
          <w:tcPr>
            <w:tcW w:w="926" w:type="dxa"/>
            <w:tcBorders>
              <w:top w:val="single" w:sz="4" w:space="0" w:color="000001"/>
              <w:left w:val="single" w:sz="4" w:space="0" w:color="000001"/>
              <w:bottom w:val="single" w:sz="4" w:space="0" w:color="000001"/>
              <w:insideH w:val="single" w:sz="4" w:space="0" w:color="000001"/>
            </w:tcBorders>
            <w:shd w:color="auto" w:fill="auto" w:val="clear"/>
            <w:tcMar>
              <w:left w:w="-5" w:type="dxa"/>
            </w:tcMar>
            <w:vAlign w:val="bottom"/>
          </w:tcPr>
          <w:p>
            <w:pPr>
              <w:pStyle w:val="Normal"/>
              <w:spacing w:lineRule="auto" w:line="240" w:before="0" w:after="0"/>
              <w:jc w:val="center"/>
              <w:rPr>
                <w:rFonts w:ascii="Times New Roman" w:hAnsi="Times New Roman" w:cs="Times New Roman"/>
                <w:color w:val="000000"/>
              </w:rPr>
            </w:pPr>
            <w:r>
              <w:rPr>
                <w:rFonts w:cs="Times New Roman" w:ascii="Times New Roman" w:hAnsi="Times New Roman"/>
                <w:color w:val="000000"/>
              </w:rPr>
              <w:t>105,8</w:t>
            </w:r>
          </w:p>
        </w:tc>
        <w:tc>
          <w:tcPr>
            <w:tcW w:w="927" w:type="dxa"/>
            <w:tcBorders>
              <w:top w:val="single" w:sz="4" w:space="0" w:color="000001"/>
              <w:left w:val="single" w:sz="4" w:space="0" w:color="000001"/>
              <w:bottom w:val="single" w:sz="4" w:space="0" w:color="000001"/>
              <w:insideH w:val="single" w:sz="4" w:space="0" w:color="000001"/>
            </w:tcBorders>
            <w:shd w:color="auto" w:fill="auto" w:val="clear"/>
            <w:tcMar>
              <w:left w:w="-5" w:type="dxa"/>
            </w:tcMar>
            <w:vAlign w:val="bottom"/>
          </w:tcPr>
          <w:p>
            <w:pPr>
              <w:pStyle w:val="Normal"/>
              <w:spacing w:lineRule="auto" w:line="240" w:before="0" w:after="0"/>
              <w:jc w:val="center"/>
              <w:rPr>
                <w:rFonts w:ascii="Times New Roman" w:hAnsi="Times New Roman" w:cs="Times New Roman"/>
              </w:rPr>
            </w:pPr>
            <w:r>
              <w:rPr>
                <w:rFonts w:cs="Times New Roman" w:ascii="Times New Roman" w:hAnsi="Times New Roman"/>
              </w:rPr>
              <w:t>104,8</w:t>
            </w:r>
          </w:p>
        </w:tc>
        <w:tc>
          <w:tcPr>
            <w:tcW w:w="927" w:type="dxa"/>
            <w:tcBorders>
              <w:top w:val="single" w:sz="4" w:space="0" w:color="000001"/>
              <w:left w:val="single" w:sz="4" w:space="0" w:color="000001"/>
              <w:bottom w:val="single" w:sz="4" w:space="0" w:color="000001"/>
              <w:insideH w:val="single" w:sz="4" w:space="0" w:color="000001"/>
            </w:tcBorders>
            <w:shd w:color="auto" w:fill="auto" w:val="clear"/>
            <w:tcMar>
              <w:left w:w="-5" w:type="dxa"/>
            </w:tcMar>
            <w:vAlign w:val="bottom"/>
          </w:tcPr>
          <w:p>
            <w:pPr>
              <w:pStyle w:val="Normal"/>
              <w:spacing w:lineRule="auto" w:line="240" w:before="0" w:after="0"/>
              <w:jc w:val="center"/>
              <w:rPr>
                <w:rFonts w:ascii="Times New Roman" w:hAnsi="Times New Roman" w:cs="Times New Roman"/>
              </w:rPr>
            </w:pPr>
            <w:r>
              <w:rPr>
                <w:rFonts w:cs="Times New Roman" w:ascii="Times New Roman" w:hAnsi="Times New Roman"/>
              </w:rPr>
              <w:t>105,3</w:t>
            </w:r>
          </w:p>
        </w:tc>
        <w:tc>
          <w:tcPr>
            <w:tcW w:w="9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rPr>
              <w:t>105,6</w:t>
            </w:r>
          </w:p>
        </w:tc>
      </w:tr>
    </w:tbl>
    <w:p>
      <w:pPr>
        <w:pStyle w:val="Standard"/>
        <w:jc w:val="center"/>
        <w:rPr>
          <w:sz w:val="28"/>
        </w:rPr>
      </w:pPr>
      <w:r>
        <w:rPr>
          <w:sz w:val="28"/>
        </w:rPr>
      </w:r>
    </w:p>
    <w:p>
      <w:pPr>
        <w:pStyle w:val="Standard"/>
        <w:rPr>
          <w:sz w:val="28"/>
        </w:rPr>
      </w:pPr>
      <w:r>
        <w:rPr>
          <w:sz w:val="28"/>
        </w:rPr>
        <w:t>Острой проблемой является моральный и физический износ больничных и поликлинических зданий и сооружений (продолжительность эксплуатации некоторых более 50 лет).</w:t>
      </w:r>
    </w:p>
    <w:p>
      <w:pPr>
        <w:pStyle w:val="Standard"/>
        <w:rPr>
          <w:sz w:val="28"/>
        </w:rPr>
      </w:pPr>
      <w:r>
        <w:rPr>
          <w:sz w:val="28"/>
        </w:rPr>
        <w:t xml:space="preserve">Приоритетом среди задач по совершенствованию медицинской помощи является профилактика заболеваний, активная работа по формированию здорового образа жизни. </w:t>
      </w:r>
    </w:p>
    <w:p>
      <w:pPr>
        <w:pStyle w:val="Standard"/>
        <w:rPr>
          <w:sz w:val="28"/>
        </w:rPr>
      </w:pPr>
      <w:r>
        <w:rPr>
          <w:sz w:val="28"/>
        </w:rPr>
        <w:t>Привлечение жителей города к занятиям физической культурой и спортом осуществляется через развитие массового спорта.</w:t>
      </w:r>
    </w:p>
    <w:p>
      <w:pPr>
        <w:pStyle w:val="Standard"/>
        <w:jc w:val="center"/>
        <w:rPr>
          <w:sz w:val="28"/>
        </w:rPr>
      </w:pPr>
      <w:r>
        <w:rPr>
          <w:sz w:val="28"/>
        </w:rPr>
      </w:r>
    </w:p>
    <w:p>
      <w:pPr>
        <w:pStyle w:val="Normal"/>
        <w:spacing w:lineRule="auto" w:line="240" w:before="0" w:after="0"/>
        <w:ind w:firstLine="709"/>
        <w:jc w:val="right"/>
        <w:rPr>
          <w:rFonts w:ascii="Times New Roman" w:hAnsi="Times New Roman" w:cs="Times New Roman"/>
          <w:sz w:val="24"/>
          <w:szCs w:val="28"/>
        </w:rPr>
      </w:pPr>
      <w:r>
        <w:rPr>
          <w:rFonts w:cs="Times New Roman" w:ascii="Times New Roman" w:hAnsi="Times New Roman"/>
          <w:b/>
          <w:sz w:val="24"/>
          <w:szCs w:val="28"/>
        </w:rPr>
        <w:t>Таблица 10</w:t>
      </w:r>
    </w:p>
    <w:p>
      <w:pPr>
        <w:pStyle w:val="Style29"/>
        <w:ind w:firstLine="709"/>
        <w:rPr>
          <w:szCs w:val="28"/>
        </w:rPr>
      </w:pPr>
      <w:r>
        <w:rPr>
          <w:szCs w:val="28"/>
        </w:rPr>
        <w:t xml:space="preserve">Спортивные сооружения в городе Железноводске </w:t>
      </w:r>
    </w:p>
    <w:tbl>
      <w:tblPr>
        <w:tblW w:w="5000" w:type="pct"/>
        <w:jc w:val="left"/>
        <w:tblInd w:w="0" w:type="dxa"/>
        <w:tblBorders>
          <w:top w:val="single" w:sz="4" w:space="0" w:color="000001"/>
          <w:left w:val="single" w:sz="4" w:space="0" w:color="000001"/>
          <w:bottom w:val="single" w:sz="4" w:space="0" w:color="000001"/>
          <w:insideH w:val="single" w:sz="4" w:space="0" w:color="000001"/>
        </w:tblBorders>
        <w:tblCellMar>
          <w:top w:w="0" w:type="dxa"/>
          <w:left w:w="103" w:type="dxa"/>
          <w:bottom w:w="0" w:type="dxa"/>
          <w:right w:w="108" w:type="dxa"/>
        </w:tblCellMar>
        <w:tblLook w:noVBand="0" w:val="0000" w:noHBand="0" w:lastColumn="0" w:firstColumn="0" w:lastRow="0" w:firstRow="0"/>
      </w:tblPr>
      <w:tblGrid>
        <w:gridCol w:w="5265"/>
        <w:gridCol w:w="874"/>
        <w:gridCol w:w="874"/>
        <w:gridCol w:w="873"/>
        <w:gridCol w:w="873"/>
        <w:gridCol w:w="879"/>
      </w:tblGrid>
      <w:tr>
        <w:trPr/>
        <w:tc>
          <w:tcPr>
            <w:tcW w:w="5265" w:type="dxa"/>
            <w:tcBorders>
              <w:top w:val="single" w:sz="4" w:space="0" w:color="000001"/>
              <w:left w:val="single" w:sz="4" w:space="0" w:color="000001"/>
              <w:bottom w:val="single" w:sz="4" w:space="0" w:color="000001"/>
              <w:insideH w:val="single" w:sz="4" w:space="0" w:color="000001"/>
            </w:tcBorders>
            <w:shd w:color="auto" w:fill="E0E0E0" w:val="clear"/>
            <w:tcMar>
              <w:left w:w="103" w:type="dxa"/>
            </w:tcMar>
            <w:vAlign w:val="cente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Показатели</w:t>
            </w:r>
          </w:p>
        </w:tc>
        <w:tc>
          <w:tcPr>
            <w:tcW w:w="874" w:type="dxa"/>
            <w:tcBorders>
              <w:top w:val="single" w:sz="4" w:space="0" w:color="000001"/>
              <w:left w:val="single" w:sz="4" w:space="0" w:color="000001"/>
              <w:bottom w:val="single" w:sz="4" w:space="0" w:color="000001"/>
              <w:insideH w:val="single" w:sz="4" w:space="0" w:color="000001"/>
            </w:tcBorders>
            <w:shd w:color="auto" w:fill="E0E0E0" w:val="clear"/>
            <w:tcMar>
              <w:left w:w="103" w:type="dxa"/>
            </w:tcMar>
            <w:vAlign w:val="cente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2014</w:t>
            </w:r>
          </w:p>
        </w:tc>
        <w:tc>
          <w:tcPr>
            <w:tcW w:w="874" w:type="dxa"/>
            <w:tcBorders>
              <w:top w:val="single" w:sz="4" w:space="0" w:color="000001"/>
              <w:left w:val="single" w:sz="4" w:space="0" w:color="000001"/>
              <w:bottom w:val="single" w:sz="4" w:space="0" w:color="000001"/>
              <w:insideH w:val="single" w:sz="4" w:space="0" w:color="000001"/>
            </w:tcBorders>
            <w:shd w:color="auto" w:fill="E0E0E0" w:val="clear"/>
            <w:tcMar>
              <w:left w:w="103" w:type="dxa"/>
            </w:tcMar>
            <w:vAlign w:val="cente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2015</w:t>
            </w:r>
          </w:p>
        </w:tc>
        <w:tc>
          <w:tcPr>
            <w:tcW w:w="873" w:type="dxa"/>
            <w:tcBorders>
              <w:top w:val="single" w:sz="4" w:space="0" w:color="000001"/>
              <w:left w:val="single" w:sz="4" w:space="0" w:color="000001"/>
              <w:bottom w:val="single" w:sz="4" w:space="0" w:color="000001"/>
              <w:insideH w:val="single" w:sz="4" w:space="0" w:color="000001"/>
            </w:tcBorders>
            <w:shd w:color="auto" w:fill="E0E0E0" w:val="clear"/>
            <w:tcMar>
              <w:left w:w="103" w:type="dxa"/>
            </w:tcMar>
            <w:vAlign w:val="cente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2016</w:t>
            </w:r>
          </w:p>
        </w:tc>
        <w:tc>
          <w:tcPr>
            <w:tcW w:w="873" w:type="dxa"/>
            <w:tcBorders>
              <w:top w:val="single" w:sz="4" w:space="0" w:color="000001"/>
              <w:left w:val="single" w:sz="4" w:space="0" w:color="000001"/>
              <w:bottom w:val="single" w:sz="4" w:space="0" w:color="000001"/>
              <w:insideH w:val="single" w:sz="4" w:space="0" w:color="000001"/>
            </w:tcBorders>
            <w:shd w:color="auto" w:fill="E0E0E0" w:val="clear"/>
            <w:tcMar>
              <w:left w:w="103" w:type="dxa"/>
            </w:tcMar>
            <w:vAlign w:val="cente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2017</w:t>
            </w:r>
          </w:p>
        </w:tc>
        <w:tc>
          <w:tcPr>
            <w:tcW w:w="8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E0E0E0"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b/>
                <w:sz w:val="24"/>
                <w:szCs w:val="24"/>
              </w:rPr>
              <w:t>2018</w:t>
            </w:r>
          </w:p>
        </w:tc>
      </w:tr>
      <w:tr>
        <w:trPr/>
        <w:tc>
          <w:tcPr>
            <w:tcW w:w="5265"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Спортивных сооружений, всего:</w:t>
            </w:r>
          </w:p>
        </w:tc>
        <w:tc>
          <w:tcPr>
            <w:tcW w:w="87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60</w:t>
            </w:r>
          </w:p>
        </w:tc>
        <w:tc>
          <w:tcPr>
            <w:tcW w:w="87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60</w:t>
            </w:r>
          </w:p>
        </w:tc>
        <w:tc>
          <w:tcPr>
            <w:tcW w:w="873"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60</w:t>
            </w:r>
          </w:p>
        </w:tc>
        <w:tc>
          <w:tcPr>
            <w:tcW w:w="873"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63</w:t>
            </w:r>
          </w:p>
        </w:tc>
        <w:tc>
          <w:tcPr>
            <w:tcW w:w="8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65</w:t>
            </w:r>
          </w:p>
        </w:tc>
      </w:tr>
      <w:tr>
        <w:trPr/>
        <w:tc>
          <w:tcPr>
            <w:tcW w:w="5265"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стадионы с трибунами на 1500 и более мест</w:t>
            </w:r>
          </w:p>
        </w:tc>
        <w:tc>
          <w:tcPr>
            <w:tcW w:w="87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7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73"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73"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r>
      <w:tr>
        <w:trPr/>
        <w:tc>
          <w:tcPr>
            <w:tcW w:w="5265"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плоскостные спортивные сооружения (площадки, поля)</w:t>
            </w:r>
          </w:p>
        </w:tc>
        <w:tc>
          <w:tcPr>
            <w:tcW w:w="87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28</w:t>
            </w:r>
          </w:p>
        </w:tc>
        <w:tc>
          <w:tcPr>
            <w:tcW w:w="87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28</w:t>
            </w:r>
          </w:p>
        </w:tc>
        <w:tc>
          <w:tcPr>
            <w:tcW w:w="873"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28</w:t>
            </w:r>
          </w:p>
        </w:tc>
        <w:tc>
          <w:tcPr>
            <w:tcW w:w="873"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29</w:t>
            </w:r>
          </w:p>
        </w:tc>
        <w:tc>
          <w:tcPr>
            <w:tcW w:w="8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29</w:t>
            </w:r>
          </w:p>
        </w:tc>
      </w:tr>
      <w:tr>
        <w:trPr/>
        <w:tc>
          <w:tcPr>
            <w:tcW w:w="5265"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спортивные залы</w:t>
            </w:r>
          </w:p>
        </w:tc>
        <w:tc>
          <w:tcPr>
            <w:tcW w:w="87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18</w:t>
            </w:r>
          </w:p>
        </w:tc>
        <w:tc>
          <w:tcPr>
            <w:tcW w:w="87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18</w:t>
            </w:r>
          </w:p>
        </w:tc>
        <w:tc>
          <w:tcPr>
            <w:tcW w:w="873"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18</w:t>
            </w:r>
          </w:p>
        </w:tc>
        <w:tc>
          <w:tcPr>
            <w:tcW w:w="873"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18</w:t>
            </w:r>
          </w:p>
        </w:tc>
        <w:tc>
          <w:tcPr>
            <w:tcW w:w="8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18</w:t>
            </w:r>
          </w:p>
        </w:tc>
      </w:tr>
      <w:tr>
        <w:trPr/>
        <w:tc>
          <w:tcPr>
            <w:tcW w:w="5265"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плавательные бассейны</w:t>
            </w:r>
          </w:p>
        </w:tc>
        <w:tc>
          <w:tcPr>
            <w:tcW w:w="87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12</w:t>
            </w:r>
          </w:p>
        </w:tc>
        <w:tc>
          <w:tcPr>
            <w:tcW w:w="87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12</w:t>
            </w:r>
          </w:p>
        </w:tc>
        <w:tc>
          <w:tcPr>
            <w:tcW w:w="873"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12</w:t>
            </w:r>
          </w:p>
        </w:tc>
        <w:tc>
          <w:tcPr>
            <w:tcW w:w="873"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12</w:t>
            </w:r>
          </w:p>
        </w:tc>
        <w:tc>
          <w:tcPr>
            <w:tcW w:w="8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12</w:t>
            </w:r>
          </w:p>
        </w:tc>
      </w:tr>
      <w:tr>
        <w:trPr/>
        <w:tc>
          <w:tcPr>
            <w:tcW w:w="5265"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стрелковые тиры</w:t>
            </w:r>
          </w:p>
        </w:tc>
        <w:tc>
          <w:tcPr>
            <w:tcW w:w="87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7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73"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873"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8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r>
      <w:tr>
        <w:trPr/>
        <w:tc>
          <w:tcPr>
            <w:tcW w:w="5265"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другие спортивные сооружения</w:t>
            </w:r>
          </w:p>
        </w:tc>
        <w:tc>
          <w:tcPr>
            <w:tcW w:w="87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87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873"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873"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8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c>
          <w:tcPr>
            <w:tcW w:w="5265"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 xml:space="preserve">Всего занимаются физической культурой и спортом </w:t>
            </w:r>
            <w:r>
              <w:rPr>
                <w:rFonts w:cs="Times New Roman" w:ascii="Times New Roman" w:hAnsi="Times New Roman"/>
                <w:sz w:val="24"/>
                <w:szCs w:val="24"/>
              </w:rPr>
              <w:t>(чел.)</w:t>
            </w:r>
          </w:p>
        </w:tc>
        <w:tc>
          <w:tcPr>
            <w:tcW w:w="87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11137</w:t>
            </w:r>
          </w:p>
        </w:tc>
        <w:tc>
          <w:tcPr>
            <w:tcW w:w="87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11255</w:t>
            </w:r>
          </w:p>
        </w:tc>
        <w:tc>
          <w:tcPr>
            <w:tcW w:w="873"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12871</w:t>
            </w:r>
          </w:p>
        </w:tc>
        <w:tc>
          <w:tcPr>
            <w:tcW w:w="873"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16360</w:t>
            </w:r>
          </w:p>
        </w:tc>
        <w:tc>
          <w:tcPr>
            <w:tcW w:w="8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20571</w:t>
            </w:r>
          </w:p>
        </w:tc>
      </w:tr>
      <w:tr>
        <w:trPr/>
        <w:tc>
          <w:tcPr>
            <w:tcW w:w="5265"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 т.ч. в спортивных секциях</w:t>
            </w:r>
          </w:p>
        </w:tc>
        <w:tc>
          <w:tcPr>
            <w:tcW w:w="87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2098</w:t>
            </w:r>
          </w:p>
        </w:tc>
        <w:tc>
          <w:tcPr>
            <w:tcW w:w="87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2768</w:t>
            </w:r>
          </w:p>
        </w:tc>
        <w:tc>
          <w:tcPr>
            <w:tcW w:w="873"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4969</w:t>
            </w:r>
          </w:p>
        </w:tc>
        <w:tc>
          <w:tcPr>
            <w:tcW w:w="873"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6701</w:t>
            </w:r>
          </w:p>
        </w:tc>
        <w:tc>
          <w:tcPr>
            <w:tcW w:w="8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10937</w:t>
            </w:r>
          </w:p>
        </w:tc>
      </w:tr>
    </w:tbl>
    <w:p>
      <w:pPr>
        <w:pStyle w:val="Normal"/>
        <w:spacing w:lineRule="auto" w:line="240" w:before="0" w:after="0"/>
        <w:ind w:firstLine="709"/>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В целом тенденция развития физической культуры и спорта по отдельным показателям несколько превышает средние краевые значения.</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Ежегодно доля средств городского бюджета, направленных на текущее содержание и развитие спорта, возрастает. </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Традиционными для города стали ежегодные краевые молодежные казачьи игры, Всероссийские соревнования по спортивному ориентированию, посвященные памяти топографа Андрея Васильевича Пастухова, массовые восхождения на гору Бештау, Чемпионат и Первенства России по горному бегу (вверх).</w:t>
      </w:r>
    </w:p>
    <w:p>
      <w:pPr>
        <w:pStyle w:val="Standard"/>
        <w:jc w:val="center"/>
        <w:rPr>
          <w:sz w:val="28"/>
        </w:rPr>
      </w:pPr>
      <w:r>
        <w:rPr>
          <w:sz w:val="28"/>
        </w:rPr>
      </w:r>
    </w:p>
    <w:p>
      <w:pPr>
        <w:pStyle w:val="Standard"/>
        <w:jc w:val="center"/>
        <w:rPr>
          <w:b/>
          <w:b/>
          <w:i/>
          <w:i/>
          <w:sz w:val="28"/>
          <w:szCs w:val="28"/>
        </w:rPr>
      </w:pPr>
      <w:r>
        <w:rPr>
          <w:b/>
          <w:i/>
          <w:sz w:val="28"/>
          <w:szCs w:val="28"/>
        </w:rPr>
        <w:t>Культура</w:t>
      </w:r>
    </w:p>
    <w:p>
      <w:pPr>
        <w:pStyle w:val="Standard"/>
        <w:jc w:val="center"/>
        <w:rPr>
          <w:b/>
          <w:b/>
          <w:i/>
          <w:i/>
          <w:sz w:val="28"/>
          <w:szCs w:val="28"/>
        </w:rPr>
      </w:pPr>
      <w:r>
        <w:rPr>
          <w:b/>
          <w:i/>
          <w:sz w:val="28"/>
          <w:szCs w:val="28"/>
        </w:rPr>
      </w:r>
    </w:p>
    <w:p>
      <w:pPr>
        <w:pStyle w:val="Normal"/>
        <w:spacing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По состоянию на 01.01.2019 года в сфере культуры функционирует           6 учреждений, из них:</w:t>
      </w:r>
    </w:p>
    <w:p>
      <w:pPr>
        <w:pStyle w:val="Normal"/>
        <w:spacing w:before="0" w:after="0"/>
        <w:ind w:firstLine="709"/>
        <w:contextualSpacing/>
        <w:jc w:val="both"/>
        <w:rPr>
          <w:shd w:fill="auto" w:val="clear"/>
        </w:rPr>
      </w:pPr>
      <w:r>
        <w:rPr>
          <w:rFonts w:cs="Times New Roman" w:ascii="Times New Roman" w:hAnsi="Times New Roman"/>
          <w:sz w:val="28"/>
          <w:szCs w:val="28"/>
          <w:shd w:fill="auto" w:val="clear"/>
        </w:rPr>
        <w:t xml:space="preserve">По состоянию на 01.01.2019 года в сфере культуры функционируют следующие учреждения: </w:t>
      </w:r>
    </w:p>
    <w:p>
      <w:pPr>
        <w:pStyle w:val="Normal"/>
        <w:spacing w:before="0" w:after="0"/>
        <w:ind w:firstLine="709"/>
        <w:contextualSpacing/>
        <w:jc w:val="both"/>
        <w:rPr>
          <w:shd w:fill="auto" w:val="clear"/>
        </w:rPr>
      </w:pPr>
      <w:r>
        <w:rPr>
          <w:rFonts w:cs="Times New Roman" w:ascii="Times New Roman" w:hAnsi="Times New Roman"/>
          <w:sz w:val="28"/>
          <w:szCs w:val="28"/>
          <w:shd w:fill="auto" w:val="clear"/>
        </w:rPr>
        <w:t>- муниципальное бюджетное учреждение культуры «Городской Дворец культуры» города-курорта Железноводска Ставропольского края (далее - МБУК «Городской дворец культуры»), включающее в себя три структурных подразделения:</w:t>
      </w:r>
    </w:p>
    <w:p>
      <w:pPr>
        <w:pStyle w:val="Normal"/>
        <w:spacing w:before="0" w:after="0"/>
        <w:ind w:firstLine="709"/>
        <w:contextualSpacing/>
        <w:jc w:val="both"/>
        <w:rPr>
          <w:shd w:fill="auto" w:val="clear"/>
        </w:rPr>
      </w:pPr>
      <w:r>
        <w:rPr>
          <w:rFonts w:cs="Times New Roman" w:ascii="Times New Roman" w:hAnsi="Times New Roman"/>
          <w:sz w:val="28"/>
          <w:szCs w:val="28"/>
          <w:shd w:fill="auto" w:val="clear"/>
        </w:rPr>
        <w:t xml:space="preserve">«Городской Дворец культуры»; </w:t>
      </w:r>
    </w:p>
    <w:p>
      <w:pPr>
        <w:pStyle w:val="Normal"/>
        <w:spacing w:before="0" w:after="0"/>
        <w:ind w:firstLine="709"/>
        <w:contextualSpacing/>
        <w:jc w:val="both"/>
        <w:rPr>
          <w:shd w:fill="auto" w:val="clear"/>
        </w:rPr>
      </w:pPr>
      <w:r>
        <w:rPr>
          <w:rFonts w:cs="Times New Roman" w:ascii="Times New Roman" w:hAnsi="Times New Roman"/>
          <w:sz w:val="28"/>
          <w:szCs w:val="28"/>
          <w:shd w:fill="auto" w:val="clear"/>
        </w:rPr>
        <w:t xml:space="preserve">Дом культуры «Машук», </w:t>
      </w:r>
    </w:p>
    <w:p>
      <w:pPr>
        <w:pStyle w:val="Normal"/>
        <w:spacing w:before="0" w:after="0"/>
        <w:ind w:firstLine="709"/>
        <w:contextualSpacing/>
        <w:jc w:val="both"/>
        <w:rPr>
          <w:shd w:fill="auto" w:val="clear"/>
        </w:rPr>
      </w:pPr>
      <w:r>
        <w:rPr>
          <w:rFonts w:cs="Times New Roman" w:ascii="Times New Roman" w:hAnsi="Times New Roman"/>
          <w:sz w:val="28"/>
          <w:szCs w:val="28"/>
          <w:shd w:fill="auto" w:val="clear"/>
        </w:rPr>
        <w:t>Дом культуры «Луч».</w:t>
      </w:r>
    </w:p>
    <w:p>
      <w:pPr>
        <w:pStyle w:val="Normal"/>
        <w:spacing w:before="0" w:after="0"/>
        <w:ind w:firstLine="709"/>
        <w:contextualSpacing/>
        <w:jc w:val="both"/>
        <w:rPr>
          <w:shd w:fill="auto" w:val="clear"/>
        </w:rPr>
      </w:pPr>
      <w:r>
        <w:rPr>
          <w:rFonts w:cs="Times New Roman" w:ascii="Times New Roman" w:hAnsi="Times New Roman"/>
          <w:sz w:val="28"/>
          <w:szCs w:val="28"/>
          <w:shd w:fill="auto" w:val="clear"/>
        </w:rPr>
        <w:t>- муниципальное бюджетное учреждение культуры «Пушкинская галерея» города-курорта Железноводска Ставропольского края (далее - МБУК «Пушкинская галерея»),</w:t>
      </w:r>
    </w:p>
    <w:p>
      <w:pPr>
        <w:pStyle w:val="Normal"/>
        <w:spacing w:before="0" w:after="0"/>
        <w:ind w:firstLine="709"/>
        <w:contextualSpacing/>
        <w:jc w:val="both"/>
        <w:rPr>
          <w:shd w:fill="auto" w:val="clear"/>
        </w:rPr>
      </w:pPr>
      <w:r>
        <w:rPr>
          <w:rFonts w:cs="Times New Roman" w:ascii="Times New Roman" w:hAnsi="Times New Roman"/>
          <w:sz w:val="28"/>
          <w:szCs w:val="28"/>
          <w:shd w:fill="auto" w:val="clear"/>
        </w:rPr>
        <w:t>- муниципальное бюджетное учреждение культуры «Железноводская централизованная библиотечная система» города-курорта Железноводска Ставропольского края (далее - МБУК «ЖЦБС»), включающее в себя семь структурных подразделений:</w:t>
      </w:r>
    </w:p>
    <w:p>
      <w:pPr>
        <w:pStyle w:val="Normal"/>
        <w:spacing w:before="0" w:after="0"/>
        <w:ind w:firstLine="709"/>
        <w:contextualSpacing/>
        <w:jc w:val="both"/>
        <w:rPr>
          <w:shd w:fill="auto" w:val="clear"/>
        </w:rPr>
      </w:pPr>
      <w:r>
        <w:rPr>
          <w:rFonts w:cs="Times New Roman" w:ascii="Times New Roman" w:hAnsi="Times New Roman"/>
          <w:sz w:val="28"/>
          <w:szCs w:val="28"/>
          <w:shd w:fill="auto" w:val="clear"/>
        </w:rPr>
        <w:t>центральная городская библиотека муниципального бюджетного учреждения культуры «Железноводская централизованная библиотечная система» города-курорта Железноводска Ставропольского края;</w:t>
      </w:r>
    </w:p>
    <w:p>
      <w:pPr>
        <w:pStyle w:val="Normal"/>
        <w:spacing w:before="0" w:after="0"/>
        <w:ind w:firstLine="709"/>
        <w:contextualSpacing/>
        <w:jc w:val="both"/>
        <w:rPr>
          <w:shd w:fill="auto" w:val="clear"/>
        </w:rPr>
      </w:pPr>
      <w:r>
        <w:rPr>
          <w:rFonts w:cs="Times New Roman" w:ascii="Times New Roman" w:hAnsi="Times New Roman"/>
          <w:sz w:val="28"/>
          <w:szCs w:val="28"/>
          <w:shd w:fill="auto" w:val="clear"/>
        </w:rPr>
        <w:t>центральная детская библиотека муниципального бюджетного учреждения культуры «Железноводская централизованная библиотечная система» города-курорта Железноводска Ставропольского края;</w:t>
      </w:r>
    </w:p>
    <w:p>
      <w:pPr>
        <w:pStyle w:val="Normal"/>
        <w:spacing w:before="0" w:after="0"/>
        <w:ind w:firstLine="709"/>
        <w:contextualSpacing/>
        <w:jc w:val="both"/>
        <w:rPr>
          <w:shd w:fill="auto" w:val="clear"/>
        </w:rPr>
      </w:pPr>
      <w:r>
        <w:rPr>
          <w:rFonts w:cs="Times New Roman" w:ascii="Times New Roman" w:hAnsi="Times New Roman"/>
          <w:sz w:val="28"/>
          <w:szCs w:val="28"/>
          <w:shd w:fill="auto" w:val="clear"/>
        </w:rPr>
        <w:t>библиотека № 1 муниципального бюджетного учреждения культуры «Железноводская централизованная библиотечная система» города-курорта Железноводска Ставропольского края;</w:t>
      </w:r>
    </w:p>
    <w:p>
      <w:pPr>
        <w:pStyle w:val="Normal"/>
        <w:spacing w:before="0" w:after="0"/>
        <w:ind w:firstLine="709"/>
        <w:contextualSpacing/>
        <w:jc w:val="both"/>
        <w:rPr>
          <w:shd w:fill="auto" w:val="clear"/>
        </w:rPr>
      </w:pPr>
      <w:r>
        <w:rPr>
          <w:rFonts w:cs="Times New Roman" w:ascii="Times New Roman" w:hAnsi="Times New Roman"/>
          <w:sz w:val="28"/>
          <w:szCs w:val="28"/>
          <w:shd w:fill="auto" w:val="clear"/>
        </w:rPr>
        <w:t>библиотека № 2 муниципального бюджетного учреждения культуры «Железноводская централизованная библиотечная система» города-курорта Железноводска Ставропольского края;</w:t>
      </w:r>
    </w:p>
    <w:p>
      <w:pPr>
        <w:pStyle w:val="Normal"/>
        <w:spacing w:before="0" w:after="0"/>
        <w:ind w:firstLine="709"/>
        <w:contextualSpacing/>
        <w:jc w:val="both"/>
        <w:rPr>
          <w:shd w:fill="auto" w:val="clear"/>
        </w:rPr>
      </w:pPr>
      <w:r>
        <w:rPr>
          <w:rFonts w:cs="Times New Roman" w:ascii="Times New Roman" w:hAnsi="Times New Roman"/>
          <w:sz w:val="28"/>
          <w:szCs w:val="28"/>
          <w:shd w:fill="auto" w:val="clear"/>
        </w:rPr>
        <w:t>библиотека № 3 муниципального бюджетного учреждения культуры «Железноводская централизованная библиотечная система» города-курорта Железноводска Ставропольского края;</w:t>
      </w:r>
    </w:p>
    <w:p>
      <w:pPr>
        <w:pStyle w:val="Normal"/>
        <w:spacing w:before="0" w:after="0"/>
        <w:ind w:firstLine="709"/>
        <w:contextualSpacing/>
        <w:jc w:val="both"/>
        <w:rPr>
          <w:shd w:fill="auto" w:val="clear"/>
        </w:rPr>
      </w:pPr>
      <w:r>
        <w:rPr>
          <w:rFonts w:cs="Times New Roman" w:ascii="Times New Roman" w:hAnsi="Times New Roman"/>
          <w:sz w:val="28"/>
          <w:szCs w:val="28"/>
          <w:shd w:fill="auto" w:val="clear"/>
        </w:rPr>
        <w:t>библиотека № 4 муниципального бюджетного учреждения культуры «Железноводская централизованная библиотечная система» города-курорта Железноводска Ставропольского края;</w:t>
      </w:r>
    </w:p>
    <w:p>
      <w:pPr>
        <w:pStyle w:val="Normal"/>
        <w:spacing w:before="0" w:after="0"/>
        <w:ind w:firstLine="709"/>
        <w:contextualSpacing/>
        <w:jc w:val="both"/>
        <w:rPr>
          <w:shd w:fill="auto" w:val="clear"/>
        </w:rPr>
      </w:pPr>
      <w:r>
        <w:rPr>
          <w:rFonts w:cs="Times New Roman" w:ascii="Times New Roman" w:hAnsi="Times New Roman"/>
          <w:sz w:val="28"/>
          <w:szCs w:val="28"/>
          <w:shd w:fill="auto" w:val="clear"/>
        </w:rPr>
        <w:t xml:space="preserve">библиотека № 5 муниципального бюджетного учреждения культуры «Железноводская централизованная библиотечная система» города-курорта Железноводска Ставропольского края. </w:t>
      </w:r>
    </w:p>
    <w:p>
      <w:pPr>
        <w:pStyle w:val="Normal"/>
        <w:spacing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shd w:fill="auto" w:val="clear"/>
        </w:rPr>
        <w:t>- 3 учреждения дополнительного об</w:t>
      </w:r>
      <w:r>
        <w:rPr>
          <w:rFonts w:cs="Times New Roman" w:ascii="Times New Roman" w:hAnsi="Times New Roman"/>
          <w:sz w:val="28"/>
          <w:szCs w:val="28"/>
        </w:rPr>
        <w:t>разования в сфере культуры муниципальное бюджетное учреждение дошкольного образования «Иноземцевская детская школа искусств» города-курорта Железноводска Ставропольского края (далее - МБУ ДО «ИДШИ»), муниципальное бюджетное учреждение дошкольного образования «Детская художественная школа им. Н.С. Качинского» города-курорта Железноводска Ставропольского края               (далее - МБУ ДО «ДХШ») и муниципальное бюджетное учреждение дошкольного образования «Детская музыкальная школа» города-курорта Железноводска Ставропольского края (далее - МБУ ДО «ДМШ»).</w:t>
      </w:r>
    </w:p>
    <w:p>
      <w:pPr>
        <w:pStyle w:val="Normal"/>
        <w:spacing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Также, при управлении культуры администрации города-курорта Железноводска функционируют следующие организации:</w:t>
      </w:r>
    </w:p>
    <w:p>
      <w:pPr>
        <w:pStyle w:val="Normal"/>
        <w:spacing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 муниципальное бюджетное учреждение «Центр молодежных проектов» города-курорта Железноводска Ставропольского края (далее - МБУ «ЦМП»);</w:t>
      </w:r>
    </w:p>
    <w:p>
      <w:pPr>
        <w:pStyle w:val="Normal"/>
        <w:spacing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 муниципальное казенное учреждение «Телерадиостудия» города-курорта Железноводска Ставропольского края (далее - МКУ «ТРС»).</w:t>
      </w:r>
    </w:p>
    <w:p>
      <w:pPr>
        <w:pStyle w:val="Normal"/>
        <w:spacing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Все они в своей совокупности ориентированы на удовлетворение различных социальных и духовных потребностей не только населения города, но и гостей курорта.</w:t>
      </w:r>
    </w:p>
    <w:p>
      <w:pPr>
        <w:pStyle w:val="Normal"/>
        <w:spacing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Культурно-развлекательный комплекс города также включает в себя:</w:t>
      </w:r>
    </w:p>
    <w:p>
      <w:pPr>
        <w:pStyle w:val="Normal"/>
        <w:spacing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 государственное бюджетное учреждение культуры Ставропольского края «Железноводский краеведческий музей», в фондах которого хранится около </w:t>
        <w:br/>
        <w:t>23 тысяч предметов, отражающих историю города, региона Кавказских Минеральных Вод и всего края.</w:t>
      </w:r>
    </w:p>
    <w:p>
      <w:pPr>
        <w:pStyle w:val="Normal"/>
        <w:spacing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 Государственный музей Л.Н.Толстого Филиал в г. Железноводске «Культурный центр им. Л.Н.Толстого».</w:t>
      </w:r>
    </w:p>
    <w:p>
      <w:pPr>
        <w:pStyle w:val="Normal"/>
        <w:spacing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Большинство из имеющихся санаториев на территории городского округа имеют в своей структуре культурно-массовый сектор, руководители и сотрудники, которого принимают активное участие в организации и проведении мероприятий в курортной зоне нашего города.</w:t>
      </w:r>
    </w:p>
    <w:p>
      <w:pPr>
        <w:pStyle w:val="Normal"/>
        <w:spacing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Стоит отметить, что на территории Железноводска расположено 96 объектов культурного наследия, из них 46 – памятники истории и архитектуры, 50 – памятники археологии.</w:t>
      </w:r>
    </w:p>
    <w:p>
      <w:pPr>
        <w:pStyle w:val="26"/>
        <w:spacing w:lineRule="auto" w:line="240" w:before="0" w:after="0"/>
        <w:ind w:firstLine="709"/>
        <w:contextualSpacing/>
        <w:jc w:val="both"/>
        <w:rPr>
          <w:rFonts w:ascii="Times New Roman" w:hAnsi="Times New Roman" w:eastAsia="Calibri" w:cs="Times New Roman" w:eastAsiaTheme="minorHAnsi"/>
        </w:rPr>
      </w:pPr>
      <w:r>
        <w:rPr>
          <w:rFonts w:eastAsia="Calibri" w:cs="Times New Roman" w:ascii="Times New Roman" w:hAnsi="Times New Roman" w:eastAsiaTheme="minorHAnsi"/>
        </w:rPr>
        <w:t>Муниципальных учреждений культуры, находящихся в аварийном состоянии на территории нашего муниципального образования, нет. Однако требуют капитального ремонта здания следующих муниципальных учреждений культуры:</w:t>
      </w:r>
    </w:p>
    <w:p>
      <w:pPr>
        <w:pStyle w:val="26"/>
        <w:spacing w:lineRule="auto" w:line="240" w:before="0" w:after="0"/>
        <w:ind w:firstLine="709"/>
        <w:contextualSpacing/>
        <w:jc w:val="both"/>
        <w:rPr>
          <w:rFonts w:ascii="Times New Roman" w:hAnsi="Times New Roman" w:eastAsia="Calibri" w:cs="Times New Roman" w:eastAsiaTheme="minorHAnsi"/>
        </w:rPr>
      </w:pPr>
      <w:r>
        <w:rPr>
          <w:rFonts w:eastAsia="Calibri" w:cs="Times New Roman" w:ascii="Times New Roman" w:hAnsi="Times New Roman" w:eastAsiaTheme="minorHAnsi"/>
        </w:rPr>
        <w:t>1) Филиалы МБУК «ЖЦБС»:</w:t>
      </w:r>
    </w:p>
    <w:p>
      <w:pPr>
        <w:pStyle w:val="26"/>
        <w:spacing w:lineRule="auto" w:line="240" w:before="0" w:after="0"/>
        <w:ind w:firstLine="709"/>
        <w:contextualSpacing/>
        <w:jc w:val="both"/>
        <w:rPr>
          <w:rFonts w:ascii="Times New Roman" w:hAnsi="Times New Roman" w:eastAsia="Calibri" w:cs="Times New Roman" w:eastAsiaTheme="minorHAnsi"/>
        </w:rPr>
      </w:pPr>
      <w:r>
        <w:rPr>
          <w:rFonts w:eastAsia="Calibri" w:cs="Times New Roman" w:ascii="Times New Roman" w:hAnsi="Times New Roman" w:eastAsiaTheme="minorHAnsi"/>
        </w:rPr>
        <w:t>- «Центральная городская библиотека»;</w:t>
      </w:r>
    </w:p>
    <w:p>
      <w:pPr>
        <w:pStyle w:val="26"/>
        <w:spacing w:lineRule="auto" w:line="240" w:before="0" w:after="0"/>
        <w:ind w:firstLine="709"/>
        <w:contextualSpacing/>
        <w:jc w:val="both"/>
        <w:rPr>
          <w:rFonts w:ascii="Times New Roman" w:hAnsi="Times New Roman" w:eastAsia="Calibri" w:cs="Times New Roman" w:eastAsiaTheme="minorHAnsi"/>
        </w:rPr>
      </w:pPr>
      <w:r>
        <w:rPr>
          <w:rFonts w:eastAsia="Calibri" w:cs="Times New Roman" w:ascii="Times New Roman" w:hAnsi="Times New Roman" w:eastAsiaTheme="minorHAnsi"/>
        </w:rPr>
        <w:t>- «Центральная детская библиотека».</w:t>
      </w:r>
    </w:p>
    <w:p>
      <w:pPr>
        <w:pStyle w:val="26"/>
        <w:spacing w:lineRule="auto" w:line="240" w:before="0" w:after="0"/>
        <w:ind w:firstLine="709"/>
        <w:contextualSpacing/>
        <w:jc w:val="both"/>
        <w:rPr>
          <w:rFonts w:ascii="Times New Roman" w:hAnsi="Times New Roman" w:eastAsia="Calibri" w:cs="Times New Roman" w:eastAsiaTheme="minorHAnsi"/>
        </w:rPr>
      </w:pPr>
      <w:r>
        <w:rPr>
          <w:rFonts w:eastAsia="Calibri" w:cs="Times New Roman" w:ascii="Times New Roman" w:hAnsi="Times New Roman" w:eastAsiaTheme="minorHAnsi"/>
        </w:rPr>
        <w:t>2) Структурные подразделения МБУК «Городской дворец культуры»:</w:t>
      </w:r>
    </w:p>
    <w:p>
      <w:pPr>
        <w:pStyle w:val="26"/>
        <w:spacing w:lineRule="auto" w:line="240" w:before="0" w:after="0"/>
        <w:ind w:firstLine="709"/>
        <w:contextualSpacing/>
        <w:jc w:val="both"/>
        <w:rPr>
          <w:rFonts w:ascii="Times New Roman" w:hAnsi="Times New Roman" w:eastAsia="Calibri" w:cs="Times New Roman" w:eastAsiaTheme="minorHAnsi"/>
        </w:rPr>
      </w:pPr>
      <w:r>
        <w:rPr>
          <w:rFonts w:eastAsia="Calibri" w:cs="Times New Roman" w:ascii="Times New Roman" w:hAnsi="Times New Roman" w:eastAsiaTheme="minorHAnsi"/>
        </w:rPr>
        <w:t>- Дом культуры «Машук»;</w:t>
      </w:r>
    </w:p>
    <w:p>
      <w:pPr>
        <w:pStyle w:val="26"/>
        <w:spacing w:lineRule="auto" w:line="240" w:before="0" w:after="0"/>
        <w:ind w:firstLine="709"/>
        <w:contextualSpacing/>
        <w:jc w:val="both"/>
        <w:rPr>
          <w:rFonts w:ascii="Times New Roman" w:hAnsi="Times New Roman" w:eastAsia="Calibri" w:cs="Times New Roman" w:eastAsiaTheme="minorHAnsi"/>
        </w:rPr>
      </w:pPr>
      <w:r>
        <w:rPr>
          <w:rFonts w:eastAsia="Calibri" w:cs="Times New Roman" w:ascii="Times New Roman" w:hAnsi="Times New Roman" w:eastAsiaTheme="minorHAnsi"/>
        </w:rPr>
        <w:t>- Дом культуры «Луч».</w:t>
      </w:r>
    </w:p>
    <w:p>
      <w:pPr>
        <w:pStyle w:val="26"/>
        <w:spacing w:lineRule="auto" w:line="240" w:before="0" w:after="0"/>
        <w:ind w:firstLine="709"/>
        <w:contextualSpacing/>
        <w:jc w:val="both"/>
        <w:rPr>
          <w:rFonts w:ascii="Times New Roman" w:hAnsi="Times New Roman" w:eastAsia="Calibri" w:cs="Times New Roman" w:eastAsiaTheme="minorHAnsi"/>
        </w:rPr>
      </w:pPr>
      <w:r>
        <w:rPr>
          <w:rFonts w:eastAsia="Calibri" w:cs="Times New Roman" w:ascii="Times New Roman" w:hAnsi="Times New Roman" w:eastAsiaTheme="minorHAnsi"/>
        </w:rPr>
        <w:t>3) МБУ ДО «ДМШ».</w:t>
      </w:r>
    </w:p>
    <w:p>
      <w:pPr>
        <w:pStyle w:val="Normal"/>
        <w:shd w:val="clear" w:color="auto" w:fill="FFFFFF"/>
        <w:spacing w:before="0" w:after="0"/>
        <w:ind w:firstLine="709"/>
        <w:jc w:val="both"/>
        <w:rPr>
          <w:rFonts w:ascii="Times New Roman" w:hAnsi="Times New Roman" w:cs="Times New Roman"/>
          <w:sz w:val="28"/>
          <w:szCs w:val="28"/>
          <w:shd w:fill="808000" w:val="clear"/>
        </w:rPr>
      </w:pPr>
      <w:r>
        <w:rPr>
          <w:rFonts w:cs="Times New Roman" w:ascii="Times New Roman" w:hAnsi="Times New Roman"/>
          <w:sz w:val="28"/>
          <w:szCs w:val="28"/>
          <w:shd w:fill="808000" w:val="clear"/>
        </w:rPr>
      </w:r>
    </w:p>
    <w:p>
      <w:pPr>
        <w:pStyle w:val="Style29"/>
        <w:jc w:val="right"/>
        <w:rPr>
          <w:szCs w:val="28"/>
        </w:rPr>
      </w:pPr>
      <w:r>
        <w:rPr>
          <w:szCs w:val="28"/>
        </w:rPr>
        <w:t>Таблица 11</w:t>
      </w:r>
    </w:p>
    <w:p>
      <w:pPr>
        <w:pStyle w:val="Style29"/>
        <w:rPr>
          <w:szCs w:val="28"/>
        </w:rPr>
      </w:pPr>
      <w:r>
        <w:rPr>
          <w:szCs w:val="28"/>
        </w:rPr>
        <w:t>Основные показатели объектов культуры</w:t>
      </w:r>
    </w:p>
    <w:tbl>
      <w:tblPr>
        <w:tblW w:w="9643" w:type="dxa"/>
        <w:jc w:val="left"/>
        <w:tblInd w:w="103" w:type="dxa"/>
        <w:tblBorders>
          <w:top w:val="single" w:sz="4" w:space="0" w:color="000001"/>
          <w:left w:val="single" w:sz="4" w:space="0" w:color="000001"/>
          <w:bottom w:val="single" w:sz="4" w:space="0" w:color="000001"/>
          <w:insideH w:val="single" w:sz="4" w:space="0" w:color="000001"/>
        </w:tblBorders>
        <w:tblCellMar>
          <w:top w:w="0" w:type="dxa"/>
          <w:left w:w="103" w:type="dxa"/>
          <w:bottom w:w="0" w:type="dxa"/>
          <w:right w:w="108" w:type="dxa"/>
        </w:tblCellMar>
        <w:tblLook w:noVBand="0" w:val="0000" w:noHBand="0" w:lastColumn="0" w:firstColumn="0" w:lastRow="0" w:firstRow="0"/>
      </w:tblPr>
      <w:tblGrid>
        <w:gridCol w:w="3795"/>
        <w:gridCol w:w="66"/>
        <w:gridCol w:w="841"/>
        <w:gridCol w:w="968"/>
        <w:gridCol w:w="894"/>
        <w:gridCol w:w="952"/>
        <w:gridCol w:w="1022"/>
        <w:gridCol w:w="26"/>
        <w:gridCol w:w="1078"/>
      </w:tblGrid>
      <w:tr>
        <w:trPr>
          <w:tblHeader w:val="true"/>
        </w:trPr>
        <w:tc>
          <w:tcPr>
            <w:tcW w:w="3795" w:type="dxa"/>
            <w:tcBorders>
              <w:top w:val="single" w:sz="4" w:space="0" w:color="000001"/>
              <w:left w:val="single" w:sz="4" w:space="0" w:color="000001"/>
              <w:bottom w:val="single" w:sz="4" w:space="0" w:color="000001"/>
              <w:insideH w:val="single" w:sz="4" w:space="0" w:color="000001"/>
            </w:tcBorders>
            <w:shd w:color="auto" w:fill="DDDDDD" w:val="clear"/>
            <w:tcMar>
              <w:left w:w="103" w:type="dxa"/>
            </w:tcMar>
            <w:vAlign w:val="center"/>
          </w:tcPr>
          <w:p>
            <w:pPr>
              <w:pStyle w:val="Normal"/>
              <w:spacing w:lineRule="auto" w:line="240" w:before="0" w:after="0"/>
              <w:jc w:val="center"/>
              <w:rPr>
                <w:rFonts w:ascii="Times New Roman" w:hAnsi="Times New Roman" w:cs="Times New Roman"/>
                <w:b/>
                <w:b/>
                <w:sz w:val="20"/>
                <w:szCs w:val="24"/>
              </w:rPr>
            </w:pPr>
            <w:r>
              <w:rPr>
                <w:rFonts w:cs="Times New Roman" w:ascii="Times New Roman" w:hAnsi="Times New Roman"/>
                <w:b/>
                <w:sz w:val="20"/>
                <w:szCs w:val="24"/>
              </w:rPr>
              <w:t>Наименование показателя</w:t>
            </w:r>
          </w:p>
        </w:tc>
        <w:tc>
          <w:tcPr>
            <w:tcW w:w="4769" w:type="dxa"/>
            <w:gridSpan w:val="7"/>
            <w:tcBorders>
              <w:top w:val="single" w:sz="4" w:space="0" w:color="000001"/>
              <w:left w:val="single" w:sz="4" w:space="0" w:color="000001"/>
              <w:bottom w:val="single" w:sz="4" w:space="0" w:color="000001"/>
              <w:insideH w:val="single" w:sz="4" w:space="0" w:color="000001"/>
            </w:tcBorders>
            <w:shd w:color="auto" w:fill="DDDDDD" w:val="clear"/>
            <w:tcMar>
              <w:left w:w="103" w:type="dxa"/>
            </w:tcMar>
            <w:vAlign w:val="center"/>
          </w:tcPr>
          <w:p>
            <w:pPr>
              <w:pStyle w:val="Normal"/>
              <w:spacing w:lineRule="auto" w:line="240" w:before="0" w:after="0"/>
              <w:jc w:val="center"/>
              <w:rPr>
                <w:rFonts w:ascii="Times New Roman" w:hAnsi="Times New Roman" w:cs="Times New Roman"/>
                <w:b/>
                <w:b/>
                <w:sz w:val="20"/>
                <w:szCs w:val="24"/>
              </w:rPr>
            </w:pPr>
            <w:r>
              <w:rPr>
                <w:rFonts w:cs="Times New Roman" w:ascii="Times New Roman" w:hAnsi="Times New Roman"/>
                <w:b/>
                <w:sz w:val="20"/>
                <w:szCs w:val="24"/>
              </w:rPr>
              <w:t>Количество</w:t>
            </w:r>
          </w:p>
        </w:tc>
        <w:tc>
          <w:tcPr>
            <w:tcW w:w="10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DDDDDD" w:val="clear"/>
            <w:tcMar>
              <w:left w:w="103" w:type="dxa"/>
            </w:tcMar>
            <w:vAlign w:val="center"/>
          </w:tcPr>
          <w:p>
            <w:pPr>
              <w:pStyle w:val="Normal"/>
              <w:spacing w:lineRule="auto" w:line="240" w:before="0" w:after="0"/>
              <w:jc w:val="center"/>
              <w:rPr>
                <w:rFonts w:ascii="Times New Roman" w:hAnsi="Times New Roman" w:cs="Times New Roman"/>
                <w:b/>
                <w:b/>
                <w:sz w:val="20"/>
                <w:szCs w:val="24"/>
              </w:rPr>
            </w:pPr>
            <w:r>
              <w:rPr>
                <w:rFonts w:cs="Times New Roman" w:ascii="Times New Roman" w:hAnsi="Times New Roman"/>
                <w:b/>
                <w:sz w:val="20"/>
                <w:szCs w:val="24"/>
              </w:rPr>
              <w:t xml:space="preserve">Темп </w:t>
            </w:r>
          </w:p>
          <w:p>
            <w:pPr>
              <w:pStyle w:val="Normal"/>
              <w:spacing w:lineRule="auto" w:line="240" w:before="0" w:after="0"/>
              <w:jc w:val="center"/>
              <w:rPr>
                <w:rFonts w:ascii="Times New Roman" w:hAnsi="Times New Roman" w:cs="Times New Roman"/>
                <w:b/>
                <w:b/>
                <w:sz w:val="20"/>
                <w:szCs w:val="24"/>
              </w:rPr>
            </w:pPr>
            <w:r>
              <w:rPr>
                <w:rFonts w:cs="Times New Roman" w:ascii="Times New Roman" w:hAnsi="Times New Roman"/>
                <w:b/>
                <w:sz w:val="20"/>
                <w:szCs w:val="24"/>
              </w:rPr>
              <w:t>роста 2018г./2014 г.</w:t>
            </w:r>
          </w:p>
        </w:tc>
      </w:tr>
      <w:tr>
        <w:trPr>
          <w:tblHeader w:val="true"/>
        </w:trPr>
        <w:tc>
          <w:tcPr>
            <w:tcW w:w="3861" w:type="dxa"/>
            <w:gridSpan w:val="2"/>
            <w:tcBorders>
              <w:top w:val="single" w:sz="4" w:space="0" w:color="000001"/>
              <w:left w:val="single" w:sz="4" w:space="0" w:color="000001"/>
              <w:bottom w:val="single" w:sz="4" w:space="0" w:color="000001"/>
              <w:insideH w:val="single" w:sz="4" w:space="0" w:color="000001"/>
            </w:tcBorders>
            <w:shd w:color="auto" w:fill="DDDDDD" w:val="clear"/>
            <w:tcMar>
              <w:left w:w="103" w:type="dxa"/>
            </w:tcMar>
            <w:vAlign w:val="center"/>
          </w:tcPr>
          <w:p>
            <w:pPr>
              <w:pStyle w:val="Normal"/>
              <w:spacing w:lineRule="auto" w:line="240" w:before="0" w:after="0"/>
              <w:jc w:val="center"/>
              <w:rPr>
                <w:rFonts w:ascii="Times New Roman" w:hAnsi="Times New Roman" w:cs="Times New Roman"/>
                <w:b/>
                <w:b/>
                <w:sz w:val="20"/>
                <w:szCs w:val="24"/>
              </w:rPr>
            </w:pPr>
            <w:r>
              <w:rPr>
                <w:rFonts w:cs="Times New Roman" w:ascii="Times New Roman" w:hAnsi="Times New Roman"/>
                <w:b/>
                <w:sz w:val="20"/>
                <w:szCs w:val="24"/>
              </w:rPr>
            </w:r>
          </w:p>
        </w:tc>
        <w:tc>
          <w:tcPr>
            <w:tcW w:w="841" w:type="dxa"/>
            <w:tcBorders>
              <w:top w:val="single" w:sz="4" w:space="0" w:color="000001"/>
              <w:left w:val="single" w:sz="4" w:space="0" w:color="000001"/>
              <w:bottom w:val="single" w:sz="4" w:space="0" w:color="000001"/>
              <w:insideH w:val="single" w:sz="4" w:space="0" w:color="000001"/>
            </w:tcBorders>
            <w:shd w:color="auto" w:fill="DDDDDD" w:val="clear"/>
            <w:tcMar>
              <w:left w:w="103" w:type="dxa"/>
            </w:tcMar>
            <w:vAlign w:val="center"/>
          </w:tcPr>
          <w:p>
            <w:pPr>
              <w:pStyle w:val="Normal"/>
              <w:spacing w:lineRule="auto" w:line="240" w:before="0" w:after="0"/>
              <w:jc w:val="center"/>
              <w:rPr/>
            </w:pPr>
            <w:r>
              <w:rPr>
                <w:rFonts w:cs="Times New Roman" w:ascii="Times New Roman" w:hAnsi="Times New Roman"/>
                <w:b/>
                <w:sz w:val="20"/>
                <w:szCs w:val="24"/>
              </w:rPr>
              <w:t>2014</w:t>
            </w:r>
          </w:p>
        </w:tc>
        <w:tc>
          <w:tcPr>
            <w:tcW w:w="968" w:type="dxa"/>
            <w:tcBorders>
              <w:top w:val="single" w:sz="4" w:space="0" w:color="000001"/>
              <w:left w:val="single" w:sz="4" w:space="0" w:color="000001"/>
              <w:bottom w:val="single" w:sz="4" w:space="0" w:color="000001"/>
              <w:insideH w:val="single" w:sz="4" w:space="0" w:color="000001"/>
            </w:tcBorders>
            <w:shd w:color="auto" w:fill="DDDDDD" w:val="clear"/>
            <w:tcMar>
              <w:left w:w="103" w:type="dxa"/>
            </w:tcMar>
            <w:vAlign w:val="center"/>
          </w:tcPr>
          <w:p>
            <w:pPr>
              <w:pStyle w:val="Normal"/>
              <w:spacing w:lineRule="auto" w:line="240" w:before="0" w:after="0"/>
              <w:jc w:val="center"/>
              <w:rPr/>
            </w:pPr>
            <w:r>
              <w:rPr>
                <w:rFonts w:cs="Times New Roman" w:ascii="Times New Roman" w:hAnsi="Times New Roman"/>
                <w:b/>
                <w:sz w:val="20"/>
                <w:szCs w:val="24"/>
              </w:rPr>
              <w:t>2015</w:t>
            </w:r>
          </w:p>
        </w:tc>
        <w:tc>
          <w:tcPr>
            <w:tcW w:w="894" w:type="dxa"/>
            <w:tcBorders>
              <w:top w:val="single" w:sz="4" w:space="0" w:color="000001"/>
              <w:left w:val="single" w:sz="4" w:space="0" w:color="000001"/>
              <w:bottom w:val="single" w:sz="4" w:space="0" w:color="000001"/>
              <w:insideH w:val="single" w:sz="4" w:space="0" w:color="000001"/>
            </w:tcBorders>
            <w:shd w:color="auto" w:fill="DDDDDD" w:val="clear"/>
            <w:tcMar>
              <w:left w:w="103" w:type="dxa"/>
            </w:tcMar>
            <w:vAlign w:val="center"/>
          </w:tcPr>
          <w:p>
            <w:pPr>
              <w:pStyle w:val="Normal"/>
              <w:spacing w:lineRule="auto" w:line="240" w:before="0" w:after="0"/>
              <w:jc w:val="center"/>
              <w:rPr/>
            </w:pPr>
            <w:r>
              <w:rPr>
                <w:rFonts w:cs="Times New Roman" w:ascii="Times New Roman" w:hAnsi="Times New Roman"/>
                <w:b/>
                <w:sz w:val="20"/>
                <w:szCs w:val="24"/>
              </w:rPr>
              <w:t>2016</w:t>
            </w:r>
          </w:p>
        </w:tc>
        <w:tc>
          <w:tcPr>
            <w:tcW w:w="952" w:type="dxa"/>
            <w:tcBorders>
              <w:top w:val="single" w:sz="4" w:space="0" w:color="000001"/>
              <w:left w:val="single" w:sz="4" w:space="0" w:color="000001"/>
              <w:bottom w:val="single" w:sz="4" w:space="0" w:color="000001"/>
              <w:insideH w:val="single" w:sz="4" w:space="0" w:color="000001"/>
            </w:tcBorders>
            <w:shd w:color="auto" w:fill="DDDDDD" w:val="clear"/>
            <w:tcMar>
              <w:left w:w="103" w:type="dxa"/>
            </w:tcMar>
            <w:vAlign w:val="center"/>
          </w:tcPr>
          <w:p>
            <w:pPr>
              <w:pStyle w:val="Normal"/>
              <w:spacing w:lineRule="auto" w:line="240" w:before="0" w:after="0"/>
              <w:jc w:val="center"/>
              <w:rPr/>
            </w:pPr>
            <w:r>
              <w:rPr>
                <w:rFonts w:cs="Times New Roman" w:ascii="Times New Roman" w:hAnsi="Times New Roman"/>
                <w:b/>
                <w:sz w:val="20"/>
                <w:szCs w:val="24"/>
              </w:rPr>
              <w:t>2017</w:t>
            </w:r>
          </w:p>
        </w:tc>
        <w:tc>
          <w:tcPr>
            <w:tcW w:w="1022" w:type="dxa"/>
            <w:tcBorders>
              <w:top w:val="single" w:sz="4" w:space="0" w:color="000001"/>
              <w:left w:val="single" w:sz="4" w:space="0" w:color="000001"/>
              <w:bottom w:val="single" w:sz="4" w:space="0" w:color="000001"/>
              <w:insideH w:val="single" w:sz="4" w:space="0" w:color="000001"/>
            </w:tcBorders>
            <w:shd w:color="auto" w:fill="DDDDDD" w:val="clear"/>
            <w:tcMar>
              <w:left w:w="103" w:type="dxa"/>
            </w:tcMar>
            <w:vAlign w:val="center"/>
          </w:tcPr>
          <w:p>
            <w:pPr>
              <w:pStyle w:val="Normal"/>
              <w:spacing w:lineRule="auto" w:line="240" w:before="0" w:after="0"/>
              <w:jc w:val="center"/>
              <w:rPr/>
            </w:pPr>
            <w:r>
              <w:rPr>
                <w:rFonts w:cs="Times New Roman" w:ascii="Times New Roman" w:hAnsi="Times New Roman"/>
                <w:b/>
                <w:sz w:val="20"/>
                <w:szCs w:val="24"/>
              </w:rPr>
              <w:t>2018</w:t>
            </w:r>
          </w:p>
        </w:tc>
        <w:tc>
          <w:tcPr>
            <w:tcW w:w="11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DDDDDD" w:val="clear"/>
            <w:tcMar>
              <w:left w:w="103" w:type="dxa"/>
            </w:tcMar>
            <w:vAlign w:val="center"/>
          </w:tcPr>
          <w:p>
            <w:pPr>
              <w:pStyle w:val="Normal"/>
              <w:spacing w:lineRule="auto" w:line="240" w:before="0" w:after="0"/>
              <w:jc w:val="center"/>
              <w:rPr>
                <w:rFonts w:ascii="Times New Roman" w:hAnsi="Times New Roman" w:cs="Times New Roman"/>
                <w:b/>
                <w:b/>
                <w:sz w:val="20"/>
                <w:szCs w:val="24"/>
              </w:rPr>
            </w:pPr>
            <w:r>
              <w:rPr>
                <w:rFonts w:cs="Times New Roman" w:ascii="Times New Roman" w:hAnsi="Times New Roman"/>
                <w:b/>
                <w:sz w:val="20"/>
                <w:szCs w:val="24"/>
              </w:rPr>
            </w:r>
          </w:p>
        </w:tc>
      </w:tr>
      <w:tr>
        <w:trPr>
          <w:trHeight w:val="113" w:hRule="atLeast"/>
        </w:trPr>
        <w:tc>
          <w:tcPr>
            <w:tcW w:w="3861" w:type="dxa"/>
            <w:gridSpan w:val="2"/>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Музеев</w:t>
            </w:r>
          </w:p>
        </w:tc>
        <w:tc>
          <w:tcPr>
            <w:tcW w:w="841"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2</w:t>
            </w:r>
          </w:p>
        </w:tc>
        <w:tc>
          <w:tcPr>
            <w:tcW w:w="968"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2</w:t>
            </w:r>
          </w:p>
        </w:tc>
        <w:tc>
          <w:tcPr>
            <w:tcW w:w="89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2</w:t>
            </w:r>
          </w:p>
        </w:tc>
        <w:tc>
          <w:tcPr>
            <w:tcW w:w="95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2</w:t>
            </w:r>
          </w:p>
        </w:tc>
        <w:tc>
          <w:tcPr>
            <w:tcW w:w="102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2</w:t>
            </w:r>
          </w:p>
        </w:tc>
        <w:tc>
          <w:tcPr>
            <w:tcW w:w="11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0,00</w:t>
            </w:r>
          </w:p>
        </w:tc>
      </w:tr>
      <w:tr>
        <w:trPr/>
        <w:tc>
          <w:tcPr>
            <w:tcW w:w="3861" w:type="dxa"/>
            <w:gridSpan w:val="2"/>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
                <w:bCs/>
                <w:sz w:val="20"/>
                <w:szCs w:val="24"/>
              </w:rPr>
              <w:t>Библиотек городских массовых (с филиалами)</w:t>
            </w:r>
          </w:p>
        </w:tc>
        <w:tc>
          <w:tcPr>
            <w:tcW w:w="841"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
                <w:bCs/>
                <w:sz w:val="20"/>
                <w:szCs w:val="24"/>
              </w:rPr>
              <w:t>7</w:t>
            </w:r>
          </w:p>
        </w:tc>
        <w:tc>
          <w:tcPr>
            <w:tcW w:w="968"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
                <w:bCs/>
                <w:sz w:val="20"/>
                <w:szCs w:val="24"/>
              </w:rPr>
              <w:t>7</w:t>
            </w:r>
          </w:p>
        </w:tc>
        <w:tc>
          <w:tcPr>
            <w:tcW w:w="89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
                <w:bCs/>
                <w:sz w:val="20"/>
                <w:szCs w:val="24"/>
              </w:rPr>
              <w:t>7</w:t>
            </w:r>
          </w:p>
        </w:tc>
        <w:tc>
          <w:tcPr>
            <w:tcW w:w="95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
                <w:bCs/>
                <w:sz w:val="20"/>
                <w:szCs w:val="24"/>
              </w:rPr>
              <w:t>7</w:t>
            </w:r>
          </w:p>
        </w:tc>
        <w:tc>
          <w:tcPr>
            <w:tcW w:w="102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
                <w:bCs/>
                <w:sz w:val="20"/>
                <w:szCs w:val="24"/>
              </w:rPr>
              <w:t>7</w:t>
            </w:r>
          </w:p>
        </w:tc>
        <w:tc>
          <w:tcPr>
            <w:tcW w:w="11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
                <w:bCs/>
                <w:sz w:val="20"/>
                <w:szCs w:val="24"/>
              </w:rPr>
              <w:t>0,00</w:t>
            </w:r>
          </w:p>
        </w:tc>
      </w:tr>
      <w:tr>
        <w:trPr/>
        <w:tc>
          <w:tcPr>
            <w:tcW w:w="3861" w:type="dxa"/>
            <w:gridSpan w:val="2"/>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в них книг (экз.)</w:t>
            </w:r>
          </w:p>
        </w:tc>
        <w:tc>
          <w:tcPr>
            <w:tcW w:w="841"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220878</w:t>
            </w:r>
          </w:p>
        </w:tc>
        <w:tc>
          <w:tcPr>
            <w:tcW w:w="968"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221708</w:t>
            </w:r>
          </w:p>
        </w:tc>
        <w:tc>
          <w:tcPr>
            <w:tcW w:w="89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222996</w:t>
            </w:r>
          </w:p>
        </w:tc>
        <w:tc>
          <w:tcPr>
            <w:tcW w:w="95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223661</w:t>
            </w:r>
          </w:p>
        </w:tc>
        <w:tc>
          <w:tcPr>
            <w:tcW w:w="102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226190</w:t>
            </w:r>
          </w:p>
        </w:tc>
        <w:tc>
          <w:tcPr>
            <w:tcW w:w="11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2,40</w:t>
            </w:r>
          </w:p>
        </w:tc>
      </w:tr>
      <w:tr>
        <w:trPr/>
        <w:tc>
          <w:tcPr>
            <w:tcW w:w="3861" w:type="dxa"/>
            <w:gridSpan w:val="2"/>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Книг в библиотеках на одного жителя</w:t>
            </w:r>
          </w:p>
        </w:tc>
        <w:tc>
          <w:tcPr>
            <w:tcW w:w="841"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4,2</w:t>
            </w:r>
          </w:p>
        </w:tc>
        <w:tc>
          <w:tcPr>
            <w:tcW w:w="968"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4,2</w:t>
            </w:r>
          </w:p>
        </w:tc>
        <w:tc>
          <w:tcPr>
            <w:tcW w:w="89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4,2</w:t>
            </w:r>
          </w:p>
        </w:tc>
        <w:tc>
          <w:tcPr>
            <w:tcW w:w="95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4,25</w:t>
            </w:r>
          </w:p>
        </w:tc>
        <w:tc>
          <w:tcPr>
            <w:tcW w:w="102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4,32</w:t>
            </w:r>
          </w:p>
        </w:tc>
        <w:tc>
          <w:tcPr>
            <w:tcW w:w="11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2,86</w:t>
            </w:r>
          </w:p>
        </w:tc>
      </w:tr>
      <w:tr>
        <w:trPr/>
        <w:tc>
          <w:tcPr>
            <w:tcW w:w="3861" w:type="dxa"/>
            <w:gridSpan w:val="2"/>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Доля жителей - пользователей библиотеки (чел. /%)</w:t>
            </w:r>
          </w:p>
        </w:tc>
        <w:tc>
          <w:tcPr>
            <w:tcW w:w="841"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30,6</w:t>
            </w:r>
          </w:p>
        </w:tc>
        <w:tc>
          <w:tcPr>
            <w:tcW w:w="968"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30,4</w:t>
            </w:r>
          </w:p>
        </w:tc>
        <w:tc>
          <w:tcPr>
            <w:tcW w:w="89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30,5</w:t>
            </w:r>
          </w:p>
        </w:tc>
        <w:tc>
          <w:tcPr>
            <w:tcW w:w="95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30,6</w:t>
            </w:r>
          </w:p>
        </w:tc>
        <w:tc>
          <w:tcPr>
            <w:tcW w:w="102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30,96</w:t>
            </w:r>
          </w:p>
        </w:tc>
        <w:tc>
          <w:tcPr>
            <w:tcW w:w="11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1,18</w:t>
            </w:r>
          </w:p>
        </w:tc>
      </w:tr>
      <w:tr>
        <w:trPr/>
        <w:tc>
          <w:tcPr>
            <w:tcW w:w="3861" w:type="dxa"/>
            <w:gridSpan w:val="2"/>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Финансирование на приобретение книг и периодики, тыс.руб.</w:t>
            </w:r>
          </w:p>
        </w:tc>
        <w:tc>
          <w:tcPr>
            <w:tcW w:w="841"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546,9</w:t>
            </w:r>
          </w:p>
        </w:tc>
        <w:tc>
          <w:tcPr>
            <w:tcW w:w="968"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417,8</w:t>
            </w:r>
          </w:p>
        </w:tc>
        <w:tc>
          <w:tcPr>
            <w:tcW w:w="89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303,3</w:t>
            </w:r>
          </w:p>
        </w:tc>
        <w:tc>
          <w:tcPr>
            <w:tcW w:w="95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557,8</w:t>
            </w:r>
          </w:p>
        </w:tc>
        <w:tc>
          <w:tcPr>
            <w:tcW w:w="102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455,3</w:t>
            </w:r>
          </w:p>
        </w:tc>
        <w:tc>
          <w:tcPr>
            <w:tcW w:w="11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-16,75</w:t>
            </w:r>
          </w:p>
        </w:tc>
      </w:tr>
      <w:tr>
        <w:trPr/>
        <w:tc>
          <w:tcPr>
            <w:tcW w:w="3861" w:type="dxa"/>
            <w:gridSpan w:val="2"/>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Количество кинотеатров</w:t>
            </w:r>
          </w:p>
        </w:tc>
        <w:tc>
          <w:tcPr>
            <w:tcW w:w="841"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2</w:t>
            </w:r>
          </w:p>
        </w:tc>
        <w:tc>
          <w:tcPr>
            <w:tcW w:w="968"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2</w:t>
            </w:r>
          </w:p>
        </w:tc>
        <w:tc>
          <w:tcPr>
            <w:tcW w:w="89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2</w:t>
            </w:r>
          </w:p>
        </w:tc>
        <w:tc>
          <w:tcPr>
            <w:tcW w:w="95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2</w:t>
            </w:r>
          </w:p>
        </w:tc>
        <w:tc>
          <w:tcPr>
            <w:tcW w:w="102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2</w:t>
            </w:r>
          </w:p>
        </w:tc>
        <w:tc>
          <w:tcPr>
            <w:tcW w:w="11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0,00</w:t>
            </w:r>
          </w:p>
        </w:tc>
      </w:tr>
      <w:tr>
        <w:trPr/>
        <w:tc>
          <w:tcPr>
            <w:tcW w:w="3861" w:type="dxa"/>
            <w:gridSpan w:val="2"/>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Количество посадочных мест в кинотеатрах</w:t>
            </w:r>
          </w:p>
        </w:tc>
        <w:tc>
          <w:tcPr>
            <w:tcW w:w="841"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750</w:t>
            </w:r>
          </w:p>
        </w:tc>
        <w:tc>
          <w:tcPr>
            <w:tcW w:w="968"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750</w:t>
            </w:r>
          </w:p>
        </w:tc>
        <w:tc>
          <w:tcPr>
            <w:tcW w:w="89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750</w:t>
            </w:r>
          </w:p>
        </w:tc>
        <w:tc>
          <w:tcPr>
            <w:tcW w:w="95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750</w:t>
            </w:r>
          </w:p>
        </w:tc>
        <w:tc>
          <w:tcPr>
            <w:tcW w:w="102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686</w:t>
            </w:r>
          </w:p>
        </w:tc>
        <w:tc>
          <w:tcPr>
            <w:tcW w:w="11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-8,53</w:t>
            </w:r>
          </w:p>
        </w:tc>
      </w:tr>
      <w:tr>
        <w:trPr/>
        <w:tc>
          <w:tcPr>
            <w:tcW w:w="3861" w:type="dxa"/>
            <w:gridSpan w:val="2"/>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Количество муниципальных учреждений дополнительного образования в сфере культуры</w:t>
            </w:r>
          </w:p>
        </w:tc>
        <w:tc>
          <w:tcPr>
            <w:tcW w:w="841"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3</w:t>
            </w:r>
          </w:p>
        </w:tc>
        <w:tc>
          <w:tcPr>
            <w:tcW w:w="968"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3</w:t>
            </w:r>
          </w:p>
        </w:tc>
        <w:tc>
          <w:tcPr>
            <w:tcW w:w="89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3</w:t>
            </w:r>
          </w:p>
        </w:tc>
        <w:tc>
          <w:tcPr>
            <w:tcW w:w="95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3</w:t>
            </w:r>
          </w:p>
        </w:tc>
        <w:tc>
          <w:tcPr>
            <w:tcW w:w="102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3</w:t>
            </w:r>
          </w:p>
        </w:tc>
        <w:tc>
          <w:tcPr>
            <w:tcW w:w="11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0,00</w:t>
            </w:r>
          </w:p>
        </w:tc>
      </w:tr>
      <w:tr>
        <w:trPr/>
        <w:tc>
          <w:tcPr>
            <w:tcW w:w="3861" w:type="dxa"/>
            <w:gridSpan w:val="2"/>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из них</w:t>
            </w:r>
          </w:p>
        </w:tc>
        <w:tc>
          <w:tcPr>
            <w:tcW w:w="841"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 </w:t>
            </w:r>
          </w:p>
        </w:tc>
        <w:tc>
          <w:tcPr>
            <w:tcW w:w="968"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 </w:t>
            </w:r>
          </w:p>
        </w:tc>
        <w:tc>
          <w:tcPr>
            <w:tcW w:w="89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 </w:t>
            </w:r>
          </w:p>
        </w:tc>
        <w:tc>
          <w:tcPr>
            <w:tcW w:w="95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 </w:t>
            </w:r>
          </w:p>
        </w:tc>
        <w:tc>
          <w:tcPr>
            <w:tcW w:w="102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 </w:t>
            </w:r>
          </w:p>
        </w:tc>
        <w:tc>
          <w:tcPr>
            <w:tcW w:w="11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 </w:t>
            </w:r>
          </w:p>
        </w:tc>
      </w:tr>
      <w:tr>
        <w:trPr/>
        <w:tc>
          <w:tcPr>
            <w:tcW w:w="3861" w:type="dxa"/>
            <w:gridSpan w:val="2"/>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Детских школ искусств</w:t>
            </w:r>
          </w:p>
        </w:tc>
        <w:tc>
          <w:tcPr>
            <w:tcW w:w="841"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1</w:t>
            </w:r>
          </w:p>
        </w:tc>
        <w:tc>
          <w:tcPr>
            <w:tcW w:w="968"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1</w:t>
            </w:r>
          </w:p>
        </w:tc>
        <w:tc>
          <w:tcPr>
            <w:tcW w:w="89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1</w:t>
            </w:r>
          </w:p>
        </w:tc>
        <w:tc>
          <w:tcPr>
            <w:tcW w:w="95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1</w:t>
            </w:r>
          </w:p>
        </w:tc>
        <w:tc>
          <w:tcPr>
            <w:tcW w:w="102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1</w:t>
            </w:r>
          </w:p>
        </w:tc>
        <w:tc>
          <w:tcPr>
            <w:tcW w:w="11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0,0</w:t>
            </w:r>
          </w:p>
        </w:tc>
      </w:tr>
      <w:tr>
        <w:trPr/>
        <w:tc>
          <w:tcPr>
            <w:tcW w:w="3861" w:type="dxa"/>
            <w:gridSpan w:val="2"/>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количество детей, обучающихся в них</w:t>
            </w:r>
          </w:p>
        </w:tc>
        <w:tc>
          <w:tcPr>
            <w:tcW w:w="841"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280</w:t>
            </w:r>
          </w:p>
        </w:tc>
        <w:tc>
          <w:tcPr>
            <w:tcW w:w="968"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280</w:t>
            </w:r>
          </w:p>
        </w:tc>
        <w:tc>
          <w:tcPr>
            <w:tcW w:w="89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280</w:t>
            </w:r>
          </w:p>
        </w:tc>
        <w:tc>
          <w:tcPr>
            <w:tcW w:w="95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293</w:t>
            </w:r>
          </w:p>
        </w:tc>
        <w:tc>
          <w:tcPr>
            <w:tcW w:w="102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289</w:t>
            </w:r>
          </w:p>
        </w:tc>
        <w:tc>
          <w:tcPr>
            <w:tcW w:w="11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3,21</w:t>
            </w:r>
          </w:p>
        </w:tc>
      </w:tr>
      <w:tr>
        <w:trPr/>
        <w:tc>
          <w:tcPr>
            <w:tcW w:w="3861" w:type="dxa"/>
            <w:gridSpan w:val="2"/>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Музыкальных школ</w:t>
            </w:r>
          </w:p>
        </w:tc>
        <w:tc>
          <w:tcPr>
            <w:tcW w:w="841"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1</w:t>
            </w:r>
          </w:p>
        </w:tc>
        <w:tc>
          <w:tcPr>
            <w:tcW w:w="968"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1</w:t>
            </w:r>
          </w:p>
        </w:tc>
        <w:tc>
          <w:tcPr>
            <w:tcW w:w="89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1</w:t>
            </w:r>
          </w:p>
        </w:tc>
        <w:tc>
          <w:tcPr>
            <w:tcW w:w="95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1</w:t>
            </w:r>
          </w:p>
        </w:tc>
        <w:tc>
          <w:tcPr>
            <w:tcW w:w="102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1</w:t>
            </w:r>
          </w:p>
        </w:tc>
        <w:tc>
          <w:tcPr>
            <w:tcW w:w="11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0,00</w:t>
            </w:r>
          </w:p>
        </w:tc>
      </w:tr>
      <w:tr>
        <w:trPr/>
        <w:tc>
          <w:tcPr>
            <w:tcW w:w="3861" w:type="dxa"/>
            <w:gridSpan w:val="2"/>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количество детей, обучающихся в них</w:t>
            </w:r>
          </w:p>
        </w:tc>
        <w:tc>
          <w:tcPr>
            <w:tcW w:w="841"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265</w:t>
            </w:r>
          </w:p>
        </w:tc>
        <w:tc>
          <w:tcPr>
            <w:tcW w:w="968"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265</w:t>
            </w:r>
          </w:p>
        </w:tc>
        <w:tc>
          <w:tcPr>
            <w:tcW w:w="89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265</w:t>
            </w:r>
          </w:p>
        </w:tc>
        <w:tc>
          <w:tcPr>
            <w:tcW w:w="95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265</w:t>
            </w:r>
          </w:p>
        </w:tc>
        <w:tc>
          <w:tcPr>
            <w:tcW w:w="102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265</w:t>
            </w:r>
          </w:p>
        </w:tc>
        <w:tc>
          <w:tcPr>
            <w:tcW w:w="11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0,00</w:t>
            </w:r>
          </w:p>
        </w:tc>
      </w:tr>
      <w:tr>
        <w:trPr/>
        <w:tc>
          <w:tcPr>
            <w:tcW w:w="3861" w:type="dxa"/>
            <w:gridSpan w:val="2"/>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Художественных школ</w:t>
            </w:r>
          </w:p>
        </w:tc>
        <w:tc>
          <w:tcPr>
            <w:tcW w:w="841"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1</w:t>
            </w:r>
          </w:p>
        </w:tc>
        <w:tc>
          <w:tcPr>
            <w:tcW w:w="968"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1</w:t>
            </w:r>
          </w:p>
        </w:tc>
        <w:tc>
          <w:tcPr>
            <w:tcW w:w="89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1</w:t>
            </w:r>
          </w:p>
        </w:tc>
        <w:tc>
          <w:tcPr>
            <w:tcW w:w="95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1</w:t>
            </w:r>
          </w:p>
        </w:tc>
        <w:tc>
          <w:tcPr>
            <w:tcW w:w="102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1</w:t>
            </w:r>
          </w:p>
        </w:tc>
        <w:tc>
          <w:tcPr>
            <w:tcW w:w="11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0,00</w:t>
            </w:r>
          </w:p>
        </w:tc>
      </w:tr>
      <w:tr>
        <w:trPr/>
        <w:tc>
          <w:tcPr>
            <w:tcW w:w="3861" w:type="dxa"/>
            <w:gridSpan w:val="2"/>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количество детей, обучающихся в них</w:t>
            </w:r>
          </w:p>
        </w:tc>
        <w:tc>
          <w:tcPr>
            <w:tcW w:w="841"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300</w:t>
            </w:r>
          </w:p>
        </w:tc>
        <w:tc>
          <w:tcPr>
            <w:tcW w:w="968"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300</w:t>
            </w:r>
          </w:p>
        </w:tc>
        <w:tc>
          <w:tcPr>
            <w:tcW w:w="89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300</w:t>
            </w:r>
          </w:p>
        </w:tc>
        <w:tc>
          <w:tcPr>
            <w:tcW w:w="95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300</w:t>
            </w:r>
          </w:p>
        </w:tc>
        <w:tc>
          <w:tcPr>
            <w:tcW w:w="102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300</w:t>
            </w:r>
          </w:p>
        </w:tc>
        <w:tc>
          <w:tcPr>
            <w:tcW w:w="11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0,00</w:t>
            </w:r>
          </w:p>
        </w:tc>
      </w:tr>
      <w:tr>
        <w:trPr/>
        <w:tc>
          <w:tcPr>
            <w:tcW w:w="3861" w:type="dxa"/>
            <w:gridSpan w:val="2"/>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Парков культуры и отдых</w:t>
            </w:r>
          </w:p>
        </w:tc>
        <w:tc>
          <w:tcPr>
            <w:tcW w:w="841"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0</w:t>
            </w:r>
          </w:p>
        </w:tc>
        <w:tc>
          <w:tcPr>
            <w:tcW w:w="968"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0</w:t>
            </w:r>
          </w:p>
        </w:tc>
        <w:tc>
          <w:tcPr>
            <w:tcW w:w="89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0</w:t>
            </w:r>
          </w:p>
        </w:tc>
        <w:tc>
          <w:tcPr>
            <w:tcW w:w="95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0</w:t>
            </w:r>
          </w:p>
        </w:tc>
        <w:tc>
          <w:tcPr>
            <w:tcW w:w="102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0</w:t>
            </w:r>
          </w:p>
        </w:tc>
        <w:tc>
          <w:tcPr>
            <w:tcW w:w="11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0,00</w:t>
            </w:r>
          </w:p>
        </w:tc>
      </w:tr>
      <w:tr>
        <w:trPr/>
        <w:tc>
          <w:tcPr>
            <w:tcW w:w="3861" w:type="dxa"/>
            <w:gridSpan w:val="2"/>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ascii="Times New Roman" w:hAnsi="Times New Roman"/>
                <w:sz w:val="20"/>
                <w:szCs w:val="20"/>
              </w:rPr>
              <w:t>Культурно-досуговых учрежений</w:t>
            </w:r>
          </w:p>
        </w:tc>
        <w:tc>
          <w:tcPr>
            <w:tcW w:w="841"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ascii="Times New Roman" w:hAnsi="Times New Roman"/>
                <w:sz w:val="20"/>
                <w:szCs w:val="20"/>
              </w:rPr>
              <w:t>4</w:t>
            </w:r>
          </w:p>
        </w:tc>
        <w:tc>
          <w:tcPr>
            <w:tcW w:w="968"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ascii="Times New Roman" w:hAnsi="Times New Roman"/>
                <w:sz w:val="20"/>
                <w:szCs w:val="20"/>
              </w:rPr>
              <w:t>4</w:t>
            </w:r>
          </w:p>
        </w:tc>
        <w:tc>
          <w:tcPr>
            <w:tcW w:w="89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ascii="Times New Roman" w:hAnsi="Times New Roman"/>
                <w:sz w:val="20"/>
                <w:szCs w:val="20"/>
              </w:rPr>
              <w:t>4</w:t>
            </w:r>
          </w:p>
        </w:tc>
        <w:tc>
          <w:tcPr>
            <w:tcW w:w="95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ascii="Times New Roman" w:hAnsi="Times New Roman"/>
                <w:sz w:val="20"/>
                <w:szCs w:val="20"/>
              </w:rPr>
              <w:t>4</w:t>
            </w:r>
          </w:p>
        </w:tc>
        <w:tc>
          <w:tcPr>
            <w:tcW w:w="102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ascii="Times New Roman" w:hAnsi="Times New Roman"/>
                <w:sz w:val="20"/>
                <w:szCs w:val="20"/>
              </w:rPr>
              <w:t>4</w:t>
            </w:r>
          </w:p>
        </w:tc>
        <w:tc>
          <w:tcPr>
            <w:tcW w:w="11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Normal"/>
              <w:spacing w:lineRule="auto" w:line="240" w:before="0" w:after="0"/>
              <w:jc w:val="center"/>
              <w:rPr/>
            </w:pPr>
            <w:r>
              <w:rPr>
                <w:rFonts w:ascii="Times New Roman" w:hAnsi="Times New Roman"/>
                <w:sz w:val="20"/>
                <w:szCs w:val="20"/>
              </w:rPr>
              <w:t>0,00</w:t>
            </w:r>
          </w:p>
        </w:tc>
      </w:tr>
      <w:tr>
        <w:trPr/>
        <w:tc>
          <w:tcPr>
            <w:tcW w:w="3861" w:type="dxa"/>
            <w:gridSpan w:val="2"/>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
                <w:bCs/>
                <w:sz w:val="20"/>
                <w:szCs w:val="24"/>
              </w:rPr>
              <w:t>Домов культуры (с филиалами)</w:t>
            </w:r>
          </w:p>
        </w:tc>
        <w:tc>
          <w:tcPr>
            <w:tcW w:w="841"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
                <w:bCs/>
                <w:sz w:val="20"/>
                <w:szCs w:val="24"/>
              </w:rPr>
              <w:t>3</w:t>
            </w:r>
          </w:p>
        </w:tc>
        <w:tc>
          <w:tcPr>
            <w:tcW w:w="968"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
                <w:bCs/>
                <w:sz w:val="20"/>
                <w:szCs w:val="24"/>
              </w:rPr>
              <w:t>3</w:t>
            </w:r>
          </w:p>
        </w:tc>
        <w:tc>
          <w:tcPr>
            <w:tcW w:w="89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
                <w:bCs/>
                <w:sz w:val="20"/>
                <w:szCs w:val="24"/>
              </w:rPr>
              <w:t>3</w:t>
            </w:r>
          </w:p>
        </w:tc>
        <w:tc>
          <w:tcPr>
            <w:tcW w:w="95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
                <w:bCs/>
                <w:sz w:val="20"/>
                <w:szCs w:val="24"/>
              </w:rPr>
              <w:t>3</w:t>
            </w:r>
          </w:p>
        </w:tc>
        <w:tc>
          <w:tcPr>
            <w:tcW w:w="102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
                <w:bCs/>
                <w:sz w:val="20"/>
                <w:szCs w:val="24"/>
              </w:rPr>
              <w:t>3</w:t>
            </w:r>
          </w:p>
        </w:tc>
        <w:tc>
          <w:tcPr>
            <w:tcW w:w="11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
                <w:bCs/>
                <w:sz w:val="20"/>
                <w:szCs w:val="24"/>
              </w:rPr>
              <w:t>0,00</w:t>
            </w:r>
          </w:p>
        </w:tc>
      </w:tr>
      <w:tr>
        <w:trPr/>
        <w:tc>
          <w:tcPr>
            <w:tcW w:w="3861" w:type="dxa"/>
            <w:gridSpan w:val="2"/>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Обеспеченность населения культурно-досуговыми учреждениями,%</w:t>
            </w:r>
          </w:p>
        </w:tc>
        <w:tc>
          <w:tcPr>
            <w:tcW w:w="841"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100</w:t>
            </w:r>
          </w:p>
        </w:tc>
        <w:tc>
          <w:tcPr>
            <w:tcW w:w="968"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100</w:t>
            </w:r>
          </w:p>
        </w:tc>
        <w:tc>
          <w:tcPr>
            <w:tcW w:w="89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100</w:t>
            </w:r>
          </w:p>
        </w:tc>
        <w:tc>
          <w:tcPr>
            <w:tcW w:w="95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100</w:t>
            </w:r>
          </w:p>
        </w:tc>
        <w:tc>
          <w:tcPr>
            <w:tcW w:w="102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100</w:t>
            </w:r>
          </w:p>
        </w:tc>
        <w:tc>
          <w:tcPr>
            <w:tcW w:w="11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0,00</w:t>
            </w:r>
          </w:p>
        </w:tc>
      </w:tr>
      <w:tr>
        <w:trPr/>
        <w:tc>
          <w:tcPr>
            <w:tcW w:w="3861" w:type="dxa"/>
            <w:gridSpan w:val="2"/>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
                <w:bCs/>
                <w:sz w:val="20"/>
                <w:szCs w:val="24"/>
              </w:rPr>
              <w:t>Количество проведенных мероприятий в учреждениях культурно-досугового типа</w:t>
            </w:r>
          </w:p>
        </w:tc>
        <w:tc>
          <w:tcPr>
            <w:tcW w:w="841"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
                <w:bCs/>
                <w:sz w:val="20"/>
                <w:szCs w:val="24"/>
              </w:rPr>
              <w:t>556</w:t>
            </w:r>
          </w:p>
        </w:tc>
        <w:tc>
          <w:tcPr>
            <w:tcW w:w="968"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
                <w:bCs/>
                <w:sz w:val="20"/>
                <w:szCs w:val="24"/>
              </w:rPr>
              <w:t>695</w:t>
            </w:r>
          </w:p>
        </w:tc>
        <w:tc>
          <w:tcPr>
            <w:tcW w:w="89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
                <w:bCs/>
                <w:sz w:val="20"/>
                <w:szCs w:val="24"/>
              </w:rPr>
              <w:t>846</w:t>
            </w:r>
          </w:p>
        </w:tc>
        <w:tc>
          <w:tcPr>
            <w:tcW w:w="95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
                <w:bCs/>
                <w:sz w:val="20"/>
                <w:szCs w:val="24"/>
              </w:rPr>
              <w:t>1046</w:t>
            </w:r>
          </w:p>
        </w:tc>
        <w:tc>
          <w:tcPr>
            <w:tcW w:w="102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
                <w:bCs/>
                <w:sz w:val="20"/>
                <w:szCs w:val="24"/>
              </w:rPr>
              <w:t>524</w:t>
            </w:r>
          </w:p>
        </w:tc>
        <w:tc>
          <w:tcPr>
            <w:tcW w:w="11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
                <w:bCs/>
                <w:sz w:val="20"/>
                <w:szCs w:val="24"/>
              </w:rPr>
              <w:t>-5,76</w:t>
            </w:r>
          </w:p>
        </w:tc>
      </w:tr>
      <w:tr>
        <w:trPr/>
        <w:tc>
          <w:tcPr>
            <w:tcW w:w="3861" w:type="dxa"/>
            <w:gridSpan w:val="2"/>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Количество посещений на платной основе, тыс. чел.</w:t>
            </w:r>
          </w:p>
        </w:tc>
        <w:tc>
          <w:tcPr>
            <w:tcW w:w="841"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38,5</w:t>
            </w:r>
          </w:p>
        </w:tc>
        <w:tc>
          <w:tcPr>
            <w:tcW w:w="968"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38,9</w:t>
            </w:r>
          </w:p>
        </w:tc>
        <w:tc>
          <w:tcPr>
            <w:tcW w:w="89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39,5</w:t>
            </w:r>
          </w:p>
        </w:tc>
        <w:tc>
          <w:tcPr>
            <w:tcW w:w="95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39,2</w:t>
            </w:r>
          </w:p>
        </w:tc>
        <w:tc>
          <w:tcPr>
            <w:tcW w:w="102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42,2</w:t>
            </w:r>
          </w:p>
        </w:tc>
        <w:tc>
          <w:tcPr>
            <w:tcW w:w="11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9,61</w:t>
            </w:r>
          </w:p>
        </w:tc>
      </w:tr>
      <w:tr>
        <w:trPr/>
        <w:tc>
          <w:tcPr>
            <w:tcW w:w="3861" w:type="dxa"/>
            <w:gridSpan w:val="2"/>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Памятников истории, культуры, архитектуры, градостроительства</w:t>
            </w:r>
          </w:p>
        </w:tc>
        <w:tc>
          <w:tcPr>
            <w:tcW w:w="841"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45</w:t>
            </w:r>
          </w:p>
        </w:tc>
        <w:tc>
          <w:tcPr>
            <w:tcW w:w="968"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45</w:t>
            </w:r>
          </w:p>
        </w:tc>
        <w:tc>
          <w:tcPr>
            <w:tcW w:w="89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46</w:t>
            </w:r>
          </w:p>
        </w:tc>
        <w:tc>
          <w:tcPr>
            <w:tcW w:w="95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46</w:t>
            </w:r>
          </w:p>
        </w:tc>
        <w:tc>
          <w:tcPr>
            <w:tcW w:w="102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46</w:t>
            </w:r>
          </w:p>
        </w:tc>
        <w:tc>
          <w:tcPr>
            <w:tcW w:w="11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2,22</w:t>
            </w:r>
          </w:p>
        </w:tc>
      </w:tr>
      <w:tr>
        <w:trPr>
          <w:trHeight w:val="150" w:hRule="atLeast"/>
        </w:trPr>
        <w:tc>
          <w:tcPr>
            <w:tcW w:w="3861" w:type="dxa"/>
            <w:gridSpan w:val="2"/>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Памятников археологии</w:t>
            </w:r>
          </w:p>
        </w:tc>
        <w:tc>
          <w:tcPr>
            <w:tcW w:w="841"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50</w:t>
            </w:r>
          </w:p>
        </w:tc>
        <w:tc>
          <w:tcPr>
            <w:tcW w:w="968"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50</w:t>
            </w:r>
          </w:p>
        </w:tc>
        <w:tc>
          <w:tcPr>
            <w:tcW w:w="894"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50</w:t>
            </w:r>
          </w:p>
        </w:tc>
        <w:tc>
          <w:tcPr>
            <w:tcW w:w="95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50</w:t>
            </w:r>
          </w:p>
        </w:tc>
        <w:tc>
          <w:tcPr>
            <w:tcW w:w="1022"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50</w:t>
            </w:r>
          </w:p>
        </w:tc>
        <w:tc>
          <w:tcPr>
            <w:tcW w:w="11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Normal"/>
              <w:spacing w:lineRule="auto" w:line="240" w:before="0" w:after="0"/>
              <w:jc w:val="center"/>
              <w:rPr/>
            </w:pPr>
            <w:r>
              <w:rPr>
                <w:rFonts w:cs="Times New Roman" w:ascii="Times New Roman" w:hAnsi="Times New Roman"/>
                <w:bCs/>
                <w:sz w:val="20"/>
                <w:szCs w:val="24"/>
              </w:rPr>
              <w:t>0,00</w:t>
            </w:r>
          </w:p>
        </w:tc>
      </w:tr>
    </w:tbl>
    <w:p>
      <w:pPr>
        <w:pStyle w:val="Normal"/>
        <w:spacing w:before="0" w:after="0"/>
        <w:ind w:firstLine="567"/>
        <w:jc w:val="both"/>
        <w:rPr>
          <w:rFonts w:ascii="Times New Roman" w:hAnsi="Times New Roman" w:cs="Times New Roman"/>
          <w:sz w:val="28"/>
          <w:szCs w:val="28"/>
        </w:rPr>
      </w:pPr>
      <w:r>
        <w:rPr>
          <w:rFonts w:cs="Times New Roman" w:ascii="Times New Roman" w:hAnsi="Times New Roman"/>
          <w:sz w:val="28"/>
          <w:szCs w:val="28"/>
        </w:rPr>
      </w:r>
    </w:p>
    <w:p>
      <w:pPr>
        <w:pStyle w:val="Normal"/>
        <w:shd w:val="clear" w:color="auto" w:fill="FFFFFF"/>
        <w:spacing w:before="0" w:after="0"/>
        <w:ind w:firstLine="567"/>
        <w:jc w:val="both"/>
        <w:rPr>
          <w:rFonts w:ascii="Times New Roman" w:hAnsi="Times New Roman" w:cs="Times New Roman"/>
          <w:sz w:val="28"/>
          <w:szCs w:val="28"/>
        </w:rPr>
      </w:pPr>
      <w:r>
        <w:rPr>
          <w:rFonts w:cs="Times New Roman" w:ascii="Times New Roman" w:hAnsi="Times New Roman"/>
          <w:sz w:val="28"/>
          <w:szCs w:val="28"/>
        </w:rPr>
        <w:t>Основные показатели, характеризующие сферу культуры, свидетельствуют о следующих тенденциях:</w:t>
      </w:r>
    </w:p>
    <w:p>
      <w:pPr>
        <w:pStyle w:val="Normal"/>
        <w:shd w:val="clear" w:color="auto" w:fill="FFFFFF"/>
        <w:spacing w:before="0" w:after="0"/>
        <w:ind w:firstLine="567"/>
        <w:jc w:val="both"/>
        <w:rPr>
          <w:rFonts w:ascii="Times New Roman" w:hAnsi="Times New Roman" w:cs="Times New Roman"/>
          <w:sz w:val="28"/>
          <w:szCs w:val="28"/>
        </w:rPr>
      </w:pPr>
      <w:r>
        <w:rPr>
          <w:rFonts w:cs="Times New Roman" w:ascii="Times New Roman" w:hAnsi="Times New Roman"/>
          <w:sz w:val="28"/>
          <w:szCs w:val="28"/>
        </w:rPr>
        <w:t>1) Наблюдается рост книгообеспеченности населения, а также увеличение доли жителей, являющихся пользователями библиотек;</w:t>
      </w:r>
    </w:p>
    <w:p>
      <w:pPr>
        <w:pStyle w:val="Normal"/>
        <w:shd w:val="clear" w:color="auto" w:fill="FFFFFF"/>
        <w:spacing w:before="0" w:after="0"/>
        <w:ind w:firstLine="567"/>
        <w:jc w:val="both"/>
        <w:rPr>
          <w:rFonts w:ascii="Times New Roman" w:hAnsi="Times New Roman" w:cs="Times New Roman"/>
          <w:sz w:val="28"/>
          <w:szCs w:val="28"/>
        </w:rPr>
      </w:pPr>
      <w:r>
        <w:rPr>
          <w:rFonts w:cs="Times New Roman" w:ascii="Times New Roman" w:hAnsi="Times New Roman"/>
          <w:sz w:val="28"/>
          <w:szCs w:val="28"/>
        </w:rPr>
        <w:t>2) Количество кинотеатров на территории города остается неизменным.</w:t>
      </w:r>
    </w:p>
    <w:p>
      <w:pPr>
        <w:pStyle w:val="Normal"/>
        <w:shd w:val="clear" w:color="auto" w:fill="FFFFFF"/>
        <w:spacing w:before="0" w:after="0"/>
        <w:ind w:firstLine="567"/>
        <w:jc w:val="both"/>
        <w:rPr>
          <w:rFonts w:ascii="Times New Roman" w:hAnsi="Times New Roman" w:cs="Times New Roman"/>
          <w:sz w:val="28"/>
          <w:szCs w:val="28"/>
        </w:rPr>
      </w:pPr>
      <w:r>
        <w:rPr>
          <w:rFonts w:cs="Times New Roman" w:ascii="Times New Roman" w:hAnsi="Times New Roman"/>
          <w:sz w:val="28"/>
          <w:szCs w:val="28"/>
        </w:rPr>
        <w:t>Несмотря на то, что количество посадочных мест в них снизилось, что обусловлено проведенным капитальным ремонтом в МБУК «Городской дворец культуры», в результате которого город получил в свое распоряжение современный, технически оснащенный дворец культуры, на базе которого в настоящее время проводятся не только городские, но и всероссийские и международные культурно-массовые мероприятия, количество посетителей выросло. В 2017 году кинотеатр в МБУК «Городской дворец культуры» посетило 1957 чел., в 2018 – 9761 чел. (что почти в 4 раза превышает показатель 2017 года)</w:t>
      </w:r>
    </w:p>
    <w:p>
      <w:pPr>
        <w:pStyle w:val="Normal"/>
        <w:shd w:val="clear" w:color="auto" w:fill="FFFFFF"/>
        <w:spacing w:before="0" w:after="0"/>
        <w:ind w:firstLine="567"/>
        <w:jc w:val="both"/>
        <w:rPr>
          <w:rFonts w:ascii="Times New Roman" w:hAnsi="Times New Roman" w:cs="Times New Roman"/>
          <w:sz w:val="28"/>
          <w:szCs w:val="28"/>
        </w:rPr>
      </w:pPr>
      <w:r>
        <w:rPr>
          <w:rFonts w:cs="Times New Roman" w:ascii="Times New Roman" w:hAnsi="Times New Roman"/>
          <w:sz w:val="28"/>
          <w:szCs w:val="28"/>
        </w:rPr>
        <w:t>3) Количество учреждений дополнительного образования в сфере культуры не выросло, но наблюдается тенденция роста количества занимающихся в них детей;</w:t>
      </w:r>
    </w:p>
    <w:p>
      <w:pPr>
        <w:pStyle w:val="Normal"/>
        <w:shd w:val="clear" w:color="auto" w:fill="FFFFFF"/>
        <w:spacing w:before="0" w:after="0"/>
        <w:ind w:firstLine="567"/>
        <w:jc w:val="both"/>
        <w:rPr>
          <w:rFonts w:ascii="Times New Roman" w:hAnsi="Times New Roman" w:cs="Times New Roman"/>
          <w:sz w:val="28"/>
          <w:szCs w:val="28"/>
        </w:rPr>
      </w:pPr>
      <w:r>
        <w:rPr>
          <w:rFonts w:cs="Times New Roman" w:ascii="Times New Roman" w:hAnsi="Times New Roman"/>
          <w:sz w:val="28"/>
          <w:szCs w:val="28"/>
        </w:rPr>
        <w:t>4) Количество домов культуры на протяжении анализируемого периода остается неизменным, а, следовательно, и процент обеспеченности населения учреждениями культурно-досугового типа по-прежнему составляет 100%;</w:t>
      </w:r>
    </w:p>
    <w:p>
      <w:pPr>
        <w:pStyle w:val="Normal"/>
        <w:shd w:val="clear" w:color="auto" w:fill="FFFFFF"/>
        <w:spacing w:before="0" w:after="0"/>
        <w:ind w:firstLine="567"/>
        <w:jc w:val="both"/>
        <w:rPr>
          <w:rFonts w:ascii="Times New Roman" w:hAnsi="Times New Roman" w:cs="Times New Roman"/>
          <w:sz w:val="28"/>
          <w:szCs w:val="28"/>
        </w:rPr>
      </w:pPr>
      <w:r>
        <w:rPr>
          <w:rFonts w:cs="Times New Roman" w:ascii="Times New Roman" w:hAnsi="Times New Roman"/>
          <w:sz w:val="28"/>
          <w:szCs w:val="28"/>
        </w:rPr>
        <w:t>5) Количество мероприятий на территории Железноводска ежегодно увеличивается, наблюдается также и значительный рост количества посещений мероприятий на платной основе, что демонстрирует интерес к культурной жизни нашего города;</w:t>
      </w:r>
    </w:p>
    <w:p>
      <w:pPr>
        <w:pStyle w:val="Normal"/>
        <w:shd w:val="clear" w:color="auto" w:fill="FFFFFF"/>
        <w:spacing w:before="0" w:after="0"/>
        <w:ind w:firstLine="567"/>
        <w:jc w:val="both"/>
        <w:rPr>
          <w:rFonts w:ascii="Times New Roman" w:hAnsi="Times New Roman" w:cs="Times New Roman"/>
          <w:sz w:val="28"/>
          <w:szCs w:val="28"/>
        </w:rPr>
      </w:pPr>
      <w:r>
        <w:rPr>
          <w:rFonts w:cs="Times New Roman" w:ascii="Times New Roman" w:hAnsi="Times New Roman"/>
          <w:sz w:val="28"/>
          <w:szCs w:val="28"/>
        </w:rPr>
        <w:t>6) Количество памятников истории, культуры, архитектуры, градостроительства за анализируемый период выросло: в 2016 году была включена в список выявленных объектов культурного наследия Аллея памяти.</w:t>
      </w:r>
    </w:p>
    <w:p>
      <w:pPr>
        <w:pStyle w:val="Normal"/>
        <w:shd w:val="clear" w:color="auto" w:fill="FFFFFF"/>
        <w:spacing w:before="0" w:after="0"/>
        <w:ind w:firstLine="567"/>
        <w:jc w:val="both"/>
        <w:rPr>
          <w:rFonts w:ascii="Times New Roman" w:hAnsi="Times New Roman" w:cs="Times New Roman"/>
          <w:sz w:val="28"/>
          <w:szCs w:val="28"/>
        </w:rPr>
      </w:pPr>
      <w:r>
        <w:rPr>
          <w:rFonts w:cs="Times New Roman" w:ascii="Times New Roman" w:hAnsi="Times New Roman"/>
          <w:sz w:val="28"/>
          <w:szCs w:val="28"/>
        </w:rPr>
        <w:t>В целом, в городе просматривается положительная тенденция развития культурно-досуговой составляющей. Этому свидетельствует рост количества мероприятий, в том числе рост количества посещений платных мероприятий. Данную тенденцию связываем с кардинальным преображением внешнего облика города (в том числе его культурно-досуговых учреждений) и проведением на его территории новых событийных мероприятий краевого, всероссийского и международного уровня.</w:t>
      </w:r>
    </w:p>
    <w:p>
      <w:pPr>
        <w:pStyle w:val="Normal"/>
        <w:shd w:val="clear" w:color="auto" w:fill="FFFFFF"/>
        <w:spacing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 </w:t>
      </w:r>
    </w:p>
    <w:p>
      <w:pPr>
        <w:pStyle w:val="Normal"/>
        <w:spacing w:lineRule="auto" w:line="240" w:before="0" w:after="0"/>
        <w:ind w:firstLine="709"/>
        <w:jc w:val="center"/>
        <w:rPr>
          <w:rFonts w:ascii="Times New Roman" w:hAnsi="Times New Roman" w:cs="Times New Roman"/>
          <w:b/>
          <w:b/>
          <w:i/>
          <w:i/>
          <w:sz w:val="28"/>
          <w:szCs w:val="28"/>
        </w:rPr>
      </w:pPr>
      <w:r>
        <w:rPr>
          <w:rFonts w:cs="Times New Roman" w:ascii="Times New Roman" w:hAnsi="Times New Roman"/>
          <w:b/>
          <w:i/>
          <w:sz w:val="28"/>
          <w:szCs w:val="28"/>
        </w:rPr>
        <w:t>Социальная защита населения</w:t>
      </w:r>
    </w:p>
    <w:p>
      <w:pPr>
        <w:pStyle w:val="Normal"/>
        <w:spacing w:lineRule="auto" w:line="240" w:before="0" w:after="0"/>
        <w:ind w:firstLine="709"/>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Социальное обеспечение предусматривает систему мер по материальной поддержке и обслуживанию граждан в старости, в случае болезни, полной или частичной утраты трудоспособности, потери кормильца, а также семей с детьми. Сложившаяся в настоящее время система социальной защиты нуждающегося населения носит комплексный характер и реализуется по следующим направлениям</w:t>
      </w:r>
      <w:r>
        <w:rPr>
          <w:rFonts w:cs="Times New Roman" w:ascii="Times New Roman" w:hAnsi="Times New Roman"/>
          <w:b/>
          <w:sz w:val="28"/>
          <w:szCs w:val="28"/>
        </w:rPr>
        <w:t>:</w:t>
      </w:r>
    </w:p>
    <w:p>
      <w:pPr>
        <w:pStyle w:val="Style28"/>
        <w:ind w:firstLine="709"/>
        <w:rPr/>
      </w:pPr>
      <w:r>
        <w:rPr/>
        <w:t xml:space="preserve">предоставление мер социальной поддержки в соответствии с федеральным и краевым законодательством; </w:t>
      </w:r>
    </w:p>
    <w:p>
      <w:pPr>
        <w:pStyle w:val="Style28"/>
        <w:ind w:firstLine="709"/>
        <w:rPr/>
      </w:pPr>
      <w:r>
        <w:rPr/>
        <w:t>социальное обслуживание пожилых людей и инвалидов;</w:t>
      </w:r>
    </w:p>
    <w:p>
      <w:pPr>
        <w:pStyle w:val="Style28"/>
        <w:ind w:firstLine="709"/>
        <w:rPr/>
      </w:pPr>
      <w:r>
        <w:rPr/>
        <w:t>социальное обслуживание семей с детьми.</w:t>
      </w:r>
    </w:p>
    <w:p>
      <w:pPr>
        <w:pStyle w:val="Style28"/>
        <w:ind w:firstLine="709"/>
        <w:rPr/>
      </w:pPr>
      <w:r>
        <w:rPr/>
        <w:t xml:space="preserve">Доля населения, нуждающегося в социальной поддержке на начало </w:t>
        <w:br/>
        <w:t xml:space="preserve">2019 года, составила 25,3 % от общей численности жителей города, - это </w:t>
        <w:br/>
        <w:t>13262 человека представленные различными группами населения (пенсионеры, инвалиды и т.д.).</w:t>
      </w:r>
    </w:p>
    <w:p>
      <w:pPr>
        <w:pStyle w:val="Style28"/>
        <w:ind w:firstLine="709"/>
        <w:rPr/>
      </w:pPr>
      <w:r>
        <w:rPr/>
      </w:r>
    </w:p>
    <w:p>
      <w:pPr>
        <w:pStyle w:val="Normal"/>
        <w:spacing w:lineRule="auto" w:line="240" w:before="0" w:after="0"/>
        <w:ind w:firstLine="709"/>
        <w:jc w:val="right"/>
        <w:rPr>
          <w:rFonts w:ascii="Times New Roman" w:hAnsi="Times New Roman" w:cs="Times New Roman"/>
          <w:sz w:val="24"/>
          <w:szCs w:val="28"/>
        </w:rPr>
      </w:pPr>
      <w:r>
        <w:rPr>
          <w:rFonts w:cs="Times New Roman" w:ascii="Times New Roman" w:hAnsi="Times New Roman"/>
          <w:b/>
          <w:sz w:val="24"/>
          <w:szCs w:val="28"/>
        </w:rPr>
        <w:t>Таблица 12</w:t>
      </w:r>
    </w:p>
    <w:p>
      <w:pPr>
        <w:pStyle w:val="Style29"/>
        <w:ind w:firstLine="709"/>
        <w:rPr>
          <w:szCs w:val="28"/>
        </w:rPr>
      </w:pPr>
      <w:r>
        <w:rPr>
          <w:szCs w:val="28"/>
        </w:rPr>
        <w:t>Основные группы населения, нуждающегося в социальной поддержке</w:t>
      </w:r>
    </w:p>
    <w:tbl>
      <w:tblPr>
        <w:tblW w:w="9639"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noVBand="0" w:val="0000" w:noHBand="0" w:lastColumn="0" w:firstColumn="0" w:lastRow="0" w:firstRow="0"/>
      </w:tblPr>
      <w:tblGrid>
        <w:gridCol w:w="595"/>
        <w:gridCol w:w="4821"/>
        <w:gridCol w:w="850"/>
        <w:gridCol w:w="828"/>
        <w:gridCol w:w="835"/>
        <w:gridCol w:w="854"/>
        <w:gridCol w:w="855"/>
      </w:tblGrid>
      <w:tr>
        <w:trPr>
          <w:tblHeader w:val="true"/>
          <w:trHeight w:val="270" w:hRule="atLeast"/>
        </w:trPr>
        <w:tc>
          <w:tcPr>
            <w:tcW w:w="5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6E6E6" w:val="clear"/>
            <w:tcMar>
              <w:left w:w="108" w:type="dxa"/>
            </w:tcMar>
            <w:vAlign w:val="cente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п/п</w:t>
            </w:r>
          </w:p>
        </w:tc>
        <w:tc>
          <w:tcPr>
            <w:tcW w:w="4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6E6E6" w:val="clear"/>
            <w:tcMar>
              <w:left w:w="108" w:type="dxa"/>
            </w:tcMar>
            <w:vAlign w:val="cente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Наименование показателей</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6E6E6" w:val="clear"/>
            <w:tcMar>
              <w:left w:w="108" w:type="dxa"/>
            </w:tcMar>
            <w:vAlign w:val="center"/>
          </w:tcPr>
          <w:p>
            <w:pPr>
              <w:pStyle w:val="Normal"/>
              <w:spacing w:lineRule="auto" w:line="240" w:before="0" w:after="0"/>
              <w:ind w:left="0" w:hanging="0"/>
              <w:jc w:val="center"/>
              <w:rPr>
                <w:rFonts w:ascii="Times New Roman" w:hAnsi="Times New Roman" w:cs="Times New Roman"/>
                <w:b/>
                <w:b/>
                <w:sz w:val="24"/>
                <w:szCs w:val="24"/>
              </w:rPr>
            </w:pPr>
            <w:r>
              <w:rPr>
                <w:rFonts w:cs="Times New Roman" w:ascii="Times New Roman" w:hAnsi="Times New Roman"/>
                <w:b/>
                <w:sz w:val="24"/>
                <w:szCs w:val="24"/>
              </w:rPr>
              <w:t>2014</w:t>
            </w:r>
          </w:p>
        </w:tc>
        <w:tc>
          <w:tcPr>
            <w:tcW w:w="8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6E6E6" w:val="clear"/>
            <w:tcMar>
              <w:left w:w="108" w:type="dxa"/>
            </w:tcMar>
            <w:vAlign w:val="center"/>
          </w:tcPr>
          <w:p>
            <w:pPr>
              <w:pStyle w:val="Normal"/>
              <w:spacing w:lineRule="auto" w:line="240" w:before="0" w:after="0"/>
              <w:ind w:left="0" w:hanging="0"/>
              <w:jc w:val="center"/>
              <w:rPr>
                <w:rFonts w:ascii="Times New Roman" w:hAnsi="Times New Roman" w:cs="Times New Roman"/>
                <w:b/>
                <w:b/>
                <w:sz w:val="24"/>
                <w:szCs w:val="24"/>
              </w:rPr>
            </w:pPr>
            <w:r>
              <w:rPr>
                <w:rFonts w:cs="Times New Roman" w:ascii="Times New Roman" w:hAnsi="Times New Roman"/>
                <w:b/>
                <w:sz w:val="24"/>
                <w:szCs w:val="24"/>
              </w:rPr>
              <w:t>2015</w:t>
            </w:r>
          </w:p>
        </w:tc>
        <w:tc>
          <w:tcPr>
            <w:tcW w:w="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6E6E6" w:val="clear"/>
            <w:tcMar>
              <w:left w:w="108" w:type="dxa"/>
            </w:tcMar>
            <w:vAlign w:val="center"/>
          </w:tcPr>
          <w:p>
            <w:pPr>
              <w:pStyle w:val="Normal"/>
              <w:spacing w:lineRule="auto" w:line="240" w:before="0" w:after="0"/>
              <w:ind w:left="0" w:hanging="0"/>
              <w:jc w:val="center"/>
              <w:rPr>
                <w:rFonts w:ascii="Times New Roman" w:hAnsi="Times New Roman" w:cs="Times New Roman"/>
                <w:b/>
                <w:b/>
                <w:sz w:val="24"/>
                <w:szCs w:val="24"/>
              </w:rPr>
            </w:pPr>
            <w:r>
              <w:rPr>
                <w:rFonts w:cs="Times New Roman" w:ascii="Times New Roman" w:hAnsi="Times New Roman"/>
                <w:b/>
                <w:sz w:val="24"/>
                <w:szCs w:val="24"/>
              </w:rPr>
              <w:t>2016</w:t>
            </w:r>
          </w:p>
        </w:tc>
        <w:tc>
          <w:tcPr>
            <w:tcW w:w="8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6E6E6" w:val="clear"/>
            <w:tcMar>
              <w:left w:w="108" w:type="dxa"/>
            </w:tcMar>
            <w:vAlign w:val="center"/>
          </w:tcPr>
          <w:p>
            <w:pPr>
              <w:pStyle w:val="Normal"/>
              <w:spacing w:lineRule="auto" w:line="240" w:before="0" w:after="0"/>
              <w:ind w:left="0" w:hanging="0"/>
              <w:jc w:val="center"/>
              <w:rPr>
                <w:rFonts w:ascii="Times New Roman" w:hAnsi="Times New Roman" w:cs="Times New Roman"/>
                <w:b/>
                <w:b/>
                <w:sz w:val="24"/>
                <w:szCs w:val="24"/>
              </w:rPr>
            </w:pPr>
            <w:r>
              <w:rPr>
                <w:rFonts w:cs="Times New Roman" w:ascii="Times New Roman" w:hAnsi="Times New Roman"/>
                <w:b/>
                <w:sz w:val="24"/>
                <w:szCs w:val="24"/>
              </w:rPr>
              <w:t>2017</w:t>
            </w:r>
          </w:p>
        </w:tc>
        <w:tc>
          <w:tcPr>
            <w:tcW w:w="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6E6E6" w:val="clear"/>
            <w:tcMar>
              <w:left w:w="108" w:type="dxa"/>
            </w:tcMar>
            <w:vAlign w:val="center"/>
          </w:tcPr>
          <w:p>
            <w:pPr>
              <w:pStyle w:val="Normal"/>
              <w:spacing w:lineRule="auto" w:line="240" w:before="0" w:after="0"/>
              <w:ind w:left="0" w:hanging="0"/>
              <w:jc w:val="center"/>
              <w:rPr>
                <w:rFonts w:ascii="Times New Roman" w:hAnsi="Times New Roman" w:cs="Times New Roman"/>
                <w:b/>
                <w:b/>
                <w:sz w:val="24"/>
                <w:szCs w:val="24"/>
              </w:rPr>
            </w:pPr>
            <w:r>
              <w:rPr>
                <w:rFonts w:cs="Times New Roman" w:ascii="Times New Roman" w:hAnsi="Times New Roman"/>
                <w:b/>
                <w:sz w:val="24"/>
                <w:szCs w:val="24"/>
              </w:rPr>
              <w:t>2018</w:t>
            </w:r>
          </w:p>
        </w:tc>
      </w:tr>
      <w:tr>
        <w:trPr/>
        <w:tc>
          <w:tcPr>
            <w:tcW w:w="5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4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Пенсионеры</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right="0" w:hanging="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13130</w:t>
            </w:r>
          </w:p>
        </w:tc>
        <w:tc>
          <w:tcPr>
            <w:tcW w:w="8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right="0" w:hanging="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13273</w:t>
            </w:r>
          </w:p>
        </w:tc>
        <w:tc>
          <w:tcPr>
            <w:tcW w:w="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tcPr>
          <w:p>
            <w:pPr>
              <w:pStyle w:val="Normal"/>
              <w:spacing w:lineRule="auto" w:line="240" w:before="0" w:after="0"/>
              <w:ind w:right="0" w:hanging="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13417</w:t>
            </w:r>
          </w:p>
        </w:tc>
        <w:tc>
          <w:tcPr>
            <w:tcW w:w="8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right="0" w:hanging="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13493</w:t>
            </w:r>
          </w:p>
        </w:tc>
        <w:tc>
          <w:tcPr>
            <w:tcW w:w="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right="0" w:hanging="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13585</w:t>
            </w:r>
          </w:p>
        </w:tc>
      </w:tr>
      <w:tr>
        <w:trPr/>
        <w:tc>
          <w:tcPr>
            <w:tcW w:w="5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4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Инвалиды</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3854</w:t>
            </w:r>
          </w:p>
        </w:tc>
        <w:tc>
          <w:tcPr>
            <w:tcW w:w="8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3923</w:t>
            </w:r>
          </w:p>
        </w:tc>
        <w:tc>
          <w:tcPr>
            <w:tcW w:w="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4323</w:t>
            </w:r>
          </w:p>
        </w:tc>
        <w:tc>
          <w:tcPr>
            <w:tcW w:w="8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4468</w:t>
            </w:r>
          </w:p>
        </w:tc>
        <w:tc>
          <w:tcPr>
            <w:tcW w:w="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4440</w:t>
            </w:r>
          </w:p>
        </w:tc>
      </w:tr>
      <w:tr>
        <w:trPr/>
        <w:tc>
          <w:tcPr>
            <w:tcW w:w="5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2.1.</w:t>
            </w:r>
          </w:p>
        </w:tc>
        <w:tc>
          <w:tcPr>
            <w:tcW w:w="4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Из них дети-инвалиды</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193</w:t>
            </w:r>
          </w:p>
        </w:tc>
        <w:tc>
          <w:tcPr>
            <w:tcW w:w="8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159</w:t>
            </w:r>
          </w:p>
        </w:tc>
        <w:tc>
          <w:tcPr>
            <w:tcW w:w="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185</w:t>
            </w:r>
          </w:p>
        </w:tc>
        <w:tc>
          <w:tcPr>
            <w:tcW w:w="8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174</w:t>
            </w:r>
          </w:p>
        </w:tc>
        <w:tc>
          <w:tcPr>
            <w:tcW w:w="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170</w:t>
            </w:r>
          </w:p>
        </w:tc>
      </w:tr>
      <w:tr>
        <w:trPr/>
        <w:tc>
          <w:tcPr>
            <w:tcW w:w="5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tc>
        <w:tc>
          <w:tcPr>
            <w:tcW w:w="4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Количество получателей мер социальной поддержки (пенсионеры, ветераны труда, малоимущие семьи)</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10409</w:t>
            </w:r>
          </w:p>
        </w:tc>
        <w:tc>
          <w:tcPr>
            <w:tcW w:w="8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10502</w:t>
            </w:r>
          </w:p>
        </w:tc>
        <w:tc>
          <w:tcPr>
            <w:tcW w:w="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10259</w:t>
            </w:r>
          </w:p>
        </w:tc>
        <w:tc>
          <w:tcPr>
            <w:tcW w:w="8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10085</w:t>
            </w:r>
          </w:p>
        </w:tc>
        <w:tc>
          <w:tcPr>
            <w:tcW w:w="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9644</w:t>
            </w:r>
          </w:p>
        </w:tc>
      </w:tr>
      <w:tr>
        <w:trPr/>
        <w:tc>
          <w:tcPr>
            <w:tcW w:w="5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tc>
        <w:tc>
          <w:tcPr>
            <w:tcW w:w="4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Количество семей с детьми, нуждающихся в социальной поддержке, всего:</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1072</w:t>
            </w:r>
          </w:p>
        </w:tc>
        <w:tc>
          <w:tcPr>
            <w:tcW w:w="8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1031</w:t>
            </w:r>
          </w:p>
        </w:tc>
        <w:tc>
          <w:tcPr>
            <w:tcW w:w="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1198</w:t>
            </w:r>
          </w:p>
        </w:tc>
        <w:tc>
          <w:tcPr>
            <w:tcW w:w="8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1122</w:t>
            </w:r>
          </w:p>
        </w:tc>
        <w:tc>
          <w:tcPr>
            <w:tcW w:w="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1257</w:t>
            </w:r>
          </w:p>
        </w:tc>
      </w:tr>
      <w:tr>
        <w:trPr/>
        <w:tc>
          <w:tcPr>
            <w:tcW w:w="5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4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 них детей</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1527</w:t>
            </w:r>
          </w:p>
        </w:tc>
        <w:tc>
          <w:tcPr>
            <w:tcW w:w="8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1477</w:t>
            </w:r>
          </w:p>
        </w:tc>
        <w:tc>
          <w:tcPr>
            <w:tcW w:w="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1506</w:t>
            </w:r>
          </w:p>
        </w:tc>
        <w:tc>
          <w:tcPr>
            <w:tcW w:w="8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1498</w:t>
            </w:r>
          </w:p>
        </w:tc>
        <w:tc>
          <w:tcPr>
            <w:tcW w:w="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1582</w:t>
            </w:r>
          </w:p>
        </w:tc>
      </w:tr>
      <w:tr>
        <w:trPr/>
        <w:tc>
          <w:tcPr>
            <w:tcW w:w="5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3.1.</w:t>
            </w:r>
          </w:p>
        </w:tc>
        <w:tc>
          <w:tcPr>
            <w:tcW w:w="4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Количество многодетных семей</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375</w:t>
            </w:r>
          </w:p>
        </w:tc>
        <w:tc>
          <w:tcPr>
            <w:tcW w:w="8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376</w:t>
            </w:r>
          </w:p>
        </w:tc>
        <w:tc>
          <w:tcPr>
            <w:tcW w:w="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429</w:t>
            </w:r>
          </w:p>
        </w:tc>
        <w:tc>
          <w:tcPr>
            <w:tcW w:w="8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478</w:t>
            </w:r>
          </w:p>
        </w:tc>
        <w:tc>
          <w:tcPr>
            <w:tcW w:w="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482</w:t>
            </w:r>
          </w:p>
        </w:tc>
      </w:tr>
      <w:tr>
        <w:trPr/>
        <w:tc>
          <w:tcPr>
            <w:tcW w:w="5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4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 них детей</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1182</w:t>
            </w:r>
          </w:p>
        </w:tc>
        <w:tc>
          <w:tcPr>
            <w:tcW w:w="8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1194</w:t>
            </w:r>
          </w:p>
        </w:tc>
        <w:tc>
          <w:tcPr>
            <w:tcW w:w="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1364</w:t>
            </w:r>
          </w:p>
        </w:tc>
        <w:tc>
          <w:tcPr>
            <w:tcW w:w="8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1524</w:t>
            </w:r>
          </w:p>
        </w:tc>
        <w:tc>
          <w:tcPr>
            <w:tcW w:w="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1536</w:t>
            </w:r>
          </w:p>
        </w:tc>
      </w:tr>
      <w:tr>
        <w:trPr/>
        <w:tc>
          <w:tcPr>
            <w:tcW w:w="5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3.2.</w:t>
            </w:r>
          </w:p>
        </w:tc>
        <w:tc>
          <w:tcPr>
            <w:tcW w:w="4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Количество семей с детьми-инвалидами</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149</w:t>
            </w:r>
          </w:p>
        </w:tc>
        <w:tc>
          <w:tcPr>
            <w:tcW w:w="8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147</w:t>
            </w:r>
          </w:p>
        </w:tc>
        <w:tc>
          <w:tcPr>
            <w:tcW w:w="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138</w:t>
            </w:r>
          </w:p>
        </w:tc>
        <w:tc>
          <w:tcPr>
            <w:tcW w:w="8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131</w:t>
            </w:r>
          </w:p>
        </w:tc>
        <w:tc>
          <w:tcPr>
            <w:tcW w:w="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121</w:t>
            </w:r>
          </w:p>
        </w:tc>
      </w:tr>
      <w:tr>
        <w:trPr/>
        <w:tc>
          <w:tcPr>
            <w:tcW w:w="5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4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 них детей</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151</w:t>
            </w:r>
          </w:p>
        </w:tc>
        <w:tc>
          <w:tcPr>
            <w:tcW w:w="8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149</w:t>
            </w:r>
          </w:p>
        </w:tc>
        <w:tc>
          <w:tcPr>
            <w:tcW w:w="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140</w:t>
            </w:r>
          </w:p>
        </w:tc>
        <w:tc>
          <w:tcPr>
            <w:tcW w:w="8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133</w:t>
            </w:r>
          </w:p>
        </w:tc>
        <w:tc>
          <w:tcPr>
            <w:tcW w:w="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123</w:t>
            </w:r>
          </w:p>
        </w:tc>
      </w:tr>
      <w:tr>
        <w:trPr>
          <w:trHeight w:val="297" w:hRule="atLeast"/>
        </w:trPr>
        <w:tc>
          <w:tcPr>
            <w:tcW w:w="5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3.3.</w:t>
            </w:r>
          </w:p>
        </w:tc>
        <w:tc>
          <w:tcPr>
            <w:tcW w:w="4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Количество неполных семей (получатели пособий)</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548</w:t>
            </w:r>
          </w:p>
        </w:tc>
        <w:tc>
          <w:tcPr>
            <w:tcW w:w="8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508</w:t>
            </w:r>
          </w:p>
        </w:tc>
        <w:tc>
          <w:tcPr>
            <w:tcW w:w="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524</w:t>
            </w:r>
          </w:p>
        </w:tc>
        <w:tc>
          <w:tcPr>
            <w:tcW w:w="8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513</w:t>
            </w:r>
          </w:p>
        </w:tc>
        <w:tc>
          <w:tcPr>
            <w:tcW w:w="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556</w:t>
            </w:r>
          </w:p>
        </w:tc>
      </w:tr>
      <w:tr>
        <w:trPr/>
        <w:tc>
          <w:tcPr>
            <w:tcW w:w="5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4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 них детей</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654</w:t>
            </w:r>
          </w:p>
        </w:tc>
        <w:tc>
          <w:tcPr>
            <w:tcW w:w="8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619</w:t>
            </w:r>
          </w:p>
        </w:tc>
        <w:tc>
          <w:tcPr>
            <w:tcW w:w="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631</w:t>
            </w:r>
          </w:p>
        </w:tc>
        <w:tc>
          <w:tcPr>
            <w:tcW w:w="8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614</w:t>
            </w:r>
          </w:p>
        </w:tc>
        <w:tc>
          <w:tcPr>
            <w:tcW w:w="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656</w:t>
            </w:r>
          </w:p>
        </w:tc>
      </w:tr>
      <w:tr>
        <w:trPr/>
        <w:tc>
          <w:tcPr>
            <w:tcW w:w="5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3.4.</w:t>
            </w:r>
          </w:p>
        </w:tc>
        <w:tc>
          <w:tcPr>
            <w:tcW w:w="4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Количество семей, в которых родился первый ребенок</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c>
          <w:tcPr>
            <w:tcW w:w="8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c>
          <w:tcPr>
            <w:tcW w:w="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c>
          <w:tcPr>
            <w:tcW w:w="8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c>
          <w:tcPr>
            <w:tcW w:w="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98</w:t>
            </w:r>
          </w:p>
        </w:tc>
      </w:tr>
      <w:tr>
        <w:trPr>
          <w:trHeight w:val="125" w:hRule="atLeast"/>
        </w:trPr>
        <w:tc>
          <w:tcPr>
            <w:tcW w:w="5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4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Количество детей, на которых назначены пособия  </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2976</w:t>
            </w:r>
          </w:p>
        </w:tc>
        <w:tc>
          <w:tcPr>
            <w:tcW w:w="8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3049</w:t>
            </w:r>
          </w:p>
        </w:tc>
        <w:tc>
          <w:tcPr>
            <w:tcW w:w="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3406</w:t>
            </w:r>
          </w:p>
        </w:tc>
        <w:tc>
          <w:tcPr>
            <w:tcW w:w="8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3221</w:t>
            </w:r>
          </w:p>
        </w:tc>
        <w:tc>
          <w:tcPr>
            <w:tcW w:w="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3768</w:t>
            </w:r>
          </w:p>
        </w:tc>
      </w:tr>
    </w:tbl>
    <w:p>
      <w:pPr>
        <w:pStyle w:val="Normal"/>
        <w:spacing w:lineRule="auto" w:line="240" w:before="0" w:after="0"/>
        <w:ind w:firstLine="709"/>
        <w:jc w:val="both"/>
        <w:rPr>
          <w:rFonts w:ascii="Times New Roman" w:hAnsi="Times New Roman" w:cs="Times New Roman"/>
          <w:sz w:val="28"/>
          <w:szCs w:val="28"/>
          <w:shd w:fill="FFFF00" w:val="clear"/>
        </w:rPr>
      </w:pPr>
      <w:r>
        <w:rPr>
          <w:rFonts w:cs="Times New Roman" w:ascii="Times New Roman" w:hAnsi="Times New Roman"/>
          <w:sz w:val="28"/>
          <w:szCs w:val="28"/>
          <w:shd w:fill="FFFF00" w:val="clear"/>
        </w:rPr>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За анализируемые пять лет наблюдается рост числа семей, нуждающихся в социальной поддержке, в основном за счет роста числа многодетных семей – за 5 лет на 28,5%. С 2018 года к данной категории добавились семьи, в которых родился первый ребенок.  </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Стратегические приоритеты социальной политики направлены на повышение благосостояния населения. В городе обеспечивается исполнение </w:t>
        <w:br/>
        <w:t xml:space="preserve">15 федеральных и краевых законов, муниципальной программы социальной направленности – «Социальная поддержка населения города-курорта Железноводска Ставропольского края». </w:t>
      </w:r>
    </w:p>
    <w:p>
      <w:pPr>
        <w:pStyle w:val="Normal"/>
        <w:spacing w:lineRule="auto" w:line="240" w:before="0" w:after="0"/>
        <w:ind w:firstLine="709"/>
        <w:jc w:val="both"/>
        <w:rPr>
          <w:rFonts w:ascii="Times New Roman" w:hAnsi="Times New Roman" w:cs="Times New Roman"/>
          <w:b/>
          <w:b/>
          <w:color w:val="000000"/>
          <w:sz w:val="28"/>
          <w:szCs w:val="28"/>
        </w:rPr>
      </w:pPr>
      <w:r>
        <w:rPr>
          <w:rFonts w:cs="Times New Roman" w:ascii="Times New Roman" w:hAnsi="Times New Roman"/>
          <w:color w:val="000000"/>
          <w:sz w:val="28"/>
          <w:szCs w:val="28"/>
        </w:rPr>
        <w:t xml:space="preserve">Одной из важнейших задач социальной политики является устранение проявлений экономического и социального неравенства. </w:t>
      </w:r>
    </w:p>
    <w:p>
      <w:pPr>
        <w:pStyle w:val="Standard"/>
        <w:rPr>
          <w:sz w:val="28"/>
        </w:rPr>
      </w:pPr>
      <w:r>
        <w:rPr>
          <w:sz w:val="28"/>
        </w:rPr>
      </w:r>
    </w:p>
    <w:p>
      <w:pPr>
        <w:pStyle w:val="3"/>
        <w:rPr>
          <w:b w:val="false"/>
          <w:b w:val="false"/>
        </w:rPr>
      </w:pPr>
      <w:bookmarkStart w:id="9" w:name="_Toc11337741"/>
      <w:bookmarkEnd w:id="9"/>
      <w:r>
        <w:rPr>
          <w:rStyle w:val="Normaltextrun"/>
          <w:b w:val="false"/>
        </w:rPr>
        <w:t>1.2.3. Потенциал местного самоуправления</w:t>
      </w:r>
    </w:p>
    <w:p>
      <w:pPr>
        <w:pStyle w:val="Paragraph"/>
        <w:spacing w:beforeAutospacing="0" w:before="0" w:afterAutospacing="0" w:after="0"/>
        <w:textAlignment w:val="baseline"/>
        <w:rPr>
          <w:rFonts w:ascii="Arial" w:hAnsi="Arial" w:cs="Arial"/>
          <w:color w:val="00000A"/>
          <w:sz w:val="26"/>
          <w:szCs w:val="26"/>
        </w:rPr>
      </w:pPr>
      <w:r>
        <w:rPr>
          <w:rStyle w:val="Eop"/>
          <w:color w:val="00000A"/>
        </w:rPr>
        <w:t> </w:t>
      </w:r>
    </w:p>
    <w:p>
      <w:pPr>
        <w:pStyle w:val="Paragraph"/>
        <w:spacing w:beforeAutospacing="0" w:before="0" w:afterAutospacing="0" w:after="0"/>
        <w:ind w:firstLine="705"/>
        <w:jc w:val="both"/>
        <w:textAlignment w:val="baseline"/>
        <w:rPr>
          <w:rFonts w:ascii="Arial" w:hAnsi="Arial" w:cs="Arial"/>
          <w:color w:val="00000A"/>
          <w:sz w:val="26"/>
          <w:szCs w:val="26"/>
        </w:rPr>
      </w:pPr>
      <w:r>
        <w:rPr>
          <w:rStyle w:val="Normaltextrun"/>
          <w:color w:val="00000A"/>
          <w:sz w:val="28"/>
          <w:szCs w:val="28"/>
        </w:rPr>
        <w:t>Муниципальную власть в городе Железноводске осуществляют Дума города, глава города, администрация города, образуемые в соответствии с Уставом города.</w:t>
      </w:r>
      <w:r>
        <w:rPr>
          <w:rStyle w:val="Eop"/>
          <w:color w:val="00000A"/>
          <w:sz w:val="28"/>
          <w:szCs w:val="28"/>
        </w:rPr>
        <w:t> </w:t>
      </w:r>
    </w:p>
    <w:p>
      <w:pPr>
        <w:pStyle w:val="Paragraph"/>
        <w:spacing w:beforeAutospacing="0" w:before="0" w:afterAutospacing="0" w:after="0"/>
        <w:ind w:firstLine="705"/>
        <w:jc w:val="both"/>
        <w:textAlignment w:val="baseline"/>
        <w:rPr>
          <w:rStyle w:val="Normaltextrun"/>
          <w:color w:val="00000A"/>
          <w:sz w:val="28"/>
          <w:szCs w:val="28"/>
        </w:rPr>
      </w:pPr>
      <w:r>
        <w:rPr>
          <w:rStyle w:val="Normaltextrun"/>
          <w:color w:val="00000A"/>
          <w:sz w:val="28"/>
          <w:szCs w:val="28"/>
        </w:rPr>
        <w:t xml:space="preserve">Устав города-курорта Железноводска Ставропольского края принят Решением Совета города-курорта Железноводска Ставропольского края от </w:t>
        <w:br/>
        <w:t xml:space="preserve">29 июля 2010 г. № 736 (с изменениями, внесенными решениями Думы города-курорта Железноводска Ставропольского края от 10.06.2011 № 36-IV, от 21.11.2011 № 92-IV, от 31.05.2012 № 167-IV, от 20.11.2012 № 205-IV, от 22.02.2013 № 243-IV, от 30.07.2013 № 307-IV, от 29.04.2014 № 356-IV, от 22.12.2014 № 420-IV, от 26.01.2015 № 427-IV, от 31.07.2015 № 470-IV, от 11.09.2015 № 483-IV, от 28.10.2016 № 10-V, от 30.06.2017 № 91-V, от 08.11.2017 №136-V, от 06.03.2018 № 175-V, от 09.11.2018 № 233-V). </w:t>
      </w:r>
    </w:p>
    <w:p>
      <w:pPr>
        <w:pStyle w:val="Paragraph"/>
        <w:spacing w:beforeAutospacing="0" w:before="0" w:afterAutospacing="0" w:after="0"/>
        <w:ind w:firstLine="705"/>
        <w:jc w:val="both"/>
        <w:textAlignment w:val="baseline"/>
        <w:rPr>
          <w:rFonts w:ascii="Arial" w:hAnsi="Arial" w:cs="Arial"/>
          <w:color w:val="000000" w:themeColor="text1"/>
          <w:sz w:val="26"/>
          <w:szCs w:val="26"/>
        </w:rPr>
      </w:pPr>
      <w:r>
        <w:rPr>
          <w:rStyle w:val="Normaltextrun"/>
          <w:color w:val="00000A"/>
          <w:sz w:val="28"/>
          <w:szCs w:val="28"/>
        </w:rPr>
        <w:t xml:space="preserve">В соответствии с Законом Ставропольского края от 04.10.2004 г. № 88-кз </w:t>
      </w:r>
      <w:r>
        <w:rPr>
          <w:rStyle w:val="Normaltextrun"/>
          <w:color w:val="000000" w:themeColor="text1"/>
          <w:sz w:val="28"/>
          <w:szCs w:val="28"/>
        </w:rPr>
        <w:t>Железноводск имеет статус </w:t>
      </w:r>
      <w:r>
        <w:rPr>
          <w:rStyle w:val="Normaltextrun"/>
          <w:bCs/>
          <w:color w:val="000000" w:themeColor="text1"/>
          <w:sz w:val="28"/>
          <w:szCs w:val="28"/>
        </w:rPr>
        <w:t>городского округа, в соответствии с постановлением Правительства Российской Федерации от 17.01.2006 г. № 14 – статус города-курорта федерального значения.</w:t>
      </w:r>
      <w:r>
        <w:rPr>
          <w:rStyle w:val="Eop"/>
          <w:color w:val="000000" w:themeColor="text1"/>
          <w:sz w:val="28"/>
          <w:szCs w:val="28"/>
        </w:rPr>
        <w:t> </w:t>
      </w:r>
    </w:p>
    <w:p>
      <w:pPr>
        <w:pStyle w:val="Paragraph"/>
        <w:spacing w:beforeAutospacing="0" w:before="0" w:afterAutospacing="0" w:after="0"/>
        <w:ind w:firstLine="705"/>
        <w:jc w:val="both"/>
        <w:textAlignment w:val="baseline"/>
        <w:rPr>
          <w:rFonts w:ascii="Arial" w:hAnsi="Arial" w:cs="Arial"/>
          <w:color w:val="00000A"/>
          <w:sz w:val="26"/>
          <w:szCs w:val="26"/>
        </w:rPr>
      </w:pPr>
      <w:r>
        <w:rPr>
          <w:rStyle w:val="Normaltextrun"/>
          <w:color w:val="00000A"/>
          <w:sz w:val="28"/>
          <w:szCs w:val="28"/>
        </w:rPr>
        <w:t>Город обладает определенным потенциалом (организационным, кадровым, информационным и технологическим) для эффективного муниципального управления.</w:t>
      </w:r>
      <w:r>
        <w:rPr>
          <w:rStyle w:val="Eop"/>
          <w:color w:val="00000A"/>
          <w:sz w:val="28"/>
          <w:szCs w:val="28"/>
        </w:rPr>
        <w:t> </w:t>
      </w:r>
    </w:p>
    <w:p>
      <w:pPr>
        <w:pStyle w:val="Paragraph"/>
        <w:spacing w:beforeAutospacing="0" w:before="0" w:afterAutospacing="0" w:after="0"/>
        <w:ind w:firstLine="705"/>
        <w:jc w:val="both"/>
        <w:textAlignment w:val="baseline"/>
        <w:rPr>
          <w:rFonts w:ascii="Arial" w:hAnsi="Arial" w:cs="Arial"/>
          <w:color w:val="00000A"/>
          <w:sz w:val="26"/>
          <w:szCs w:val="26"/>
        </w:rPr>
      </w:pPr>
      <w:r>
        <w:rPr>
          <w:rStyle w:val="Normaltextrun"/>
          <w:color w:val="00000A"/>
          <w:sz w:val="28"/>
          <w:szCs w:val="28"/>
        </w:rPr>
        <w:t>В настоящее время формирование, и развитие организационного потенциала муниципального управления осуществляется по следующим направлениям:</w:t>
      </w:r>
      <w:r>
        <w:rPr>
          <w:rStyle w:val="Eop"/>
          <w:color w:val="00000A"/>
          <w:sz w:val="28"/>
          <w:szCs w:val="28"/>
        </w:rPr>
        <w:t> </w:t>
      </w:r>
    </w:p>
    <w:p>
      <w:pPr>
        <w:pStyle w:val="Paragraph"/>
        <w:spacing w:beforeAutospacing="0" w:before="0" w:afterAutospacing="0" w:after="0"/>
        <w:ind w:firstLine="720"/>
        <w:jc w:val="both"/>
        <w:textAlignment w:val="baseline"/>
        <w:rPr>
          <w:rStyle w:val="Eop"/>
          <w:color w:val="000000"/>
          <w:sz w:val="28"/>
          <w:szCs w:val="28"/>
        </w:rPr>
      </w:pPr>
      <w:r>
        <w:rPr>
          <w:rStyle w:val="Normaltextrun"/>
          <w:color w:val="000000"/>
          <w:sz w:val="28"/>
          <w:szCs w:val="28"/>
        </w:rPr>
        <w:t>обеспечение эффективности деятельности органов власти за счет реализации Устава города, основанного на принципах местного самоуправления, сформулированных в ходе реформы местного самоуправления в соответствии с Федеральным законом от 06.10.2003 г. № 131-ФЗ «Об общих принципах организации местного самоуправления в Российской Федерации»;</w:t>
      </w:r>
      <w:r>
        <w:rPr>
          <w:rStyle w:val="Eop"/>
          <w:color w:val="000000"/>
          <w:sz w:val="28"/>
          <w:szCs w:val="28"/>
        </w:rPr>
        <w:t> </w:t>
      </w:r>
    </w:p>
    <w:p>
      <w:pPr>
        <w:pStyle w:val="Normal"/>
        <w:spacing w:lineRule="auto" w:line="240" w:before="0" w:after="0"/>
        <w:ind w:firstLine="709"/>
        <w:jc w:val="both"/>
        <w:textAlignment w:val="baseline"/>
        <w:rPr>
          <w:rFonts w:ascii="Segoe UI" w:hAnsi="Segoe UI" w:eastAsia="Times New Roman" w:cs="Segoe UI"/>
          <w:color w:val="000000"/>
          <w:sz w:val="18"/>
          <w:szCs w:val="18"/>
          <w:lang w:eastAsia="ru-RU"/>
        </w:rPr>
      </w:pPr>
      <w:r>
        <w:rPr>
          <w:rFonts w:eastAsia="Times New Roman" w:cs="Times New Roman" w:ascii="Times New Roman" w:hAnsi="Times New Roman"/>
          <w:color w:val="000000"/>
          <w:sz w:val="28"/>
          <w:szCs w:val="28"/>
          <w:lang w:eastAsia="ru-RU"/>
        </w:rPr>
        <w:t>развитие местного самоуправления в целях обеспечения стабильности в решении социальных вопросов жизнедеятельности населения и функционирования систем жизнеобеспечения жителей городского округа. Принят ряд нормативных правовых актов, регламентирующих организацию административного управления, организацию и правовое обеспечение муниципальной службы, порядок и гарантии участия населения в решении вопросов местного значения, экономическую и финансовую основу осуществления основных функций Совета, администрации, муниципальных унитарных предприятий, муниципальных учреждений. </w:t>
      </w:r>
    </w:p>
    <w:p>
      <w:pPr>
        <w:pStyle w:val="Normal"/>
        <w:spacing w:lineRule="auto" w:line="240" w:before="0" w:after="0"/>
        <w:ind w:firstLine="709"/>
        <w:jc w:val="both"/>
        <w:textAlignment w:val="baseline"/>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 </w:t>
      </w:r>
      <w:r>
        <w:rPr>
          <w:rFonts w:eastAsia="Times New Roman" w:cs="Times New Roman" w:ascii="Times New Roman" w:hAnsi="Times New Roman"/>
          <w:color w:val="000000"/>
          <w:sz w:val="28"/>
          <w:szCs w:val="28"/>
          <w:lang w:eastAsia="ru-RU"/>
        </w:rPr>
        <w:t>Распоряжением администрации города-курорта Железноводска Ставропольского края от 19 ноября 2019 г. № 377-р «О реализации пилотного проекта «Бережливое правительство» определены в качестве пилотных проектов для применения принципов бережливого производства следующие процессы:</w:t>
      </w:r>
    </w:p>
    <w:p>
      <w:pPr>
        <w:pStyle w:val="Normal"/>
        <w:spacing w:lineRule="auto" w:line="240" w:before="0" w:after="0"/>
        <w:ind w:firstLine="709"/>
        <w:jc w:val="both"/>
        <w:textAlignment w:val="baseline"/>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 оптимизация согласования в администрации города-курорта Железноводска Ставропольского края проектов правовых актов администрации города;</w:t>
      </w:r>
    </w:p>
    <w:p>
      <w:pPr>
        <w:pStyle w:val="Normal"/>
        <w:spacing w:lineRule="auto" w:line="240" w:before="0" w:after="0"/>
        <w:ind w:firstLine="709"/>
        <w:jc w:val="both"/>
        <w:textAlignment w:val="baseline"/>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 работа с обращениями граждан;</w:t>
      </w:r>
    </w:p>
    <w:p>
      <w:pPr>
        <w:pStyle w:val="Normal"/>
        <w:spacing w:lineRule="auto" w:line="240" w:before="0" w:after="0"/>
        <w:ind w:firstLine="709"/>
        <w:jc w:val="both"/>
        <w:textAlignment w:val="baseline"/>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 работа с поступающей и сходящей корреспонденцией;</w:t>
      </w:r>
    </w:p>
    <w:p>
      <w:pPr>
        <w:pStyle w:val="Normal"/>
        <w:spacing w:lineRule="auto" w:line="240" w:before="0" w:after="0"/>
        <w:ind w:firstLine="709"/>
        <w:jc w:val="both"/>
        <w:textAlignment w:val="baseline"/>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 организация маршрутизации и навигации в здании администрации города.</w:t>
      </w:r>
    </w:p>
    <w:p>
      <w:pPr>
        <w:pStyle w:val="Normal"/>
        <w:spacing w:lineRule="auto" w:line="240" w:before="0" w:after="0"/>
        <w:ind w:firstLine="709"/>
        <w:jc w:val="both"/>
        <w:textAlignment w:val="baseline"/>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r>
    </w:p>
    <w:p>
      <w:pPr>
        <w:pStyle w:val="Normal"/>
        <w:spacing w:lineRule="auto" w:line="240" w:before="0" w:after="0"/>
        <w:ind w:firstLine="709"/>
        <w:jc w:val="both"/>
        <w:textAlignment w:val="baseline"/>
        <w:rPr>
          <w:rFonts w:ascii="Times New Roman" w:hAnsi="Times New Roman" w:eastAsia="Times New Roman" w:cs="Times New Roman"/>
          <w:color w:val="000000"/>
          <w:sz w:val="28"/>
          <w:szCs w:val="28"/>
          <w:lang w:eastAsia="ru-RU"/>
        </w:rPr>
      </w:pPr>
      <w:r>
        <w:rPr>
          <w:rFonts w:eastAsia="Times New Roman" w:cs="Times New Roman" w:ascii="Times New Roman" w:hAnsi="Times New Roman"/>
          <w:b/>
          <w:bCs/>
          <w:color w:val="000000" w:themeColor="text1"/>
          <w:sz w:val="28"/>
          <w:szCs w:val="28"/>
          <w:lang w:eastAsia="ru-RU"/>
        </w:rPr>
        <w:t>Анализ кадрового потенциала</w:t>
      </w:r>
      <w:r>
        <w:rPr>
          <w:rFonts w:eastAsia="Times New Roman" w:cs="Times New Roman" w:ascii="Times New Roman" w:hAnsi="Times New Roman"/>
          <w:color w:val="000000" w:themeColor="text1"/>
          <w:sz w:val="28"/>
          <w:szCs w:val="28"/>
          <w:lang w:eastAsia="ru-RU"/>
        </w:rPr>
        <w:t> </w:t>
      </w:r>
      <w:r>
        <w:rPr>
          <w:rFonts w:eastAsia="Times New Roman" w:cs="Times New Roman" w:ascii="Times New Roman" w:hAnsi="Times New Roman"/>
          <w:color w:val="00000A"/>
          <w:sz w:val="28"/>
          <w:szCs w:val="28"/>
          <w:lang w:eastAsia="ru-RU"/>
        </w:rPr>
        <w:t xml:space="preserve">системы муниципального управления города-курорта Железноводска Ставропольского края позволил выявить характеристику персонала муниципальной службы, раскрывающую приоритеты кадровой работы (управленческой и правотворческой деятельности) органов </w:t>
      </w:r>
      <w:r>
        <w:rPr>
          <w:rFonts w:eastAsia="Times New Roman" w:cs="Times New Roman" w:ascii="Times New Roman" w:hAnsi="Times New Roman"/>
          <w:color w:val="000000"/>
          <w:sz w:val="28"/>
          <w:szCs w:val="28"/>
          <w:lang w:eastAsia="ru-RU"/>
        </w:rPr>
        <w:t>местного самоуправления, а также определяющую профессионально-личностные способности служащих качественно решать задачи управления и развития муниципального образования. </w:t>
      </w:r>
    </w:p>
    <w:p>
      <w:pPr>
        <w:pStyle w:val="Normal"/>
        <w:spacing w:lineRule="auto" w:line="240" w:before="0" w:after="0"/>
        <w:ind w:firstLine="709"/>
        <w:jc w:val="both"/>
        <w:textAlignment w:val="baseline"/>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Функции реализации кадровой работы в администрации осуществляет отдел по обеспечению деятельности администрации. Внутренними документами регламентируется использование таких кадровых технологий как аттестация муниципальных служащих, проведение конкурса на замещение вакантной должности муниципальной службы, порядок формирования кадрового резерва. </w:t>
      </w:r>
    </w:p>
    <w:p>
      <w:pPr>
        <w:pStyle w:val="Normal"/>
        <w:spacing w:lineRule="auto" w:line="240" w:before="0" w:after="0"/>
        <w:ind w:firstLine="709"/>
        <w:jc w:val="both"/>
        <w:textAlignment w:val="baseline"/>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Формирование, использование и развитие кадрового потенциала системы муниципального управления города осуществляется в направлении улучшения качественного состава служащих: </w:t>
      </w:r>
    </w:p>
    <w:p>
      <w:pPr>
        <w:pStyle w:val="Normal"/>
        <w:spacing w:lineRule="auto" w:line="240" w:before="0" w:after="0"/>
        <w:jc w:val="right"/>
        <w:textAlignment w:val="baseline"/>
        <w:rPr>
          <w:rFonts w:ascii="Times New Roman" w:hAnsi="Times New Roman" w:eastAsia="Times New Roman" w:cs="Times New Roman"/>
          <w:b/>
          <w:b/>
          <w:color w:val="00000A"/>
          <w:sz w:val="24"/>
          <w:szCs w:val="28"/>
          <w:lang w:eastAsia="ru-RU"/>
        </w:rPr>
      </w:pPr>
      <w:r>
        <w:rPr>
          <w:rFonts w:eastAsia="Times New Roman" w:cs="Times New Roman" w:ascii="Times New Roman" w:hAnsi="Times New Roman"/>
          <w:b/>
          <w:color w:val="00000A"/>
          <w:sz w:val="24"/>
          <w:szCs w:val="28"/>
          <w:lang w:eastAsia="ru-RU"/>
        </w:rPr>
        <w:t>Таблица 13 </w:t>
      </w:r>
    </w:p>
    <w:p>
      <w:pPr>
        <w:pStyle w:val="Normal"/>
        <w:spacing w:lineRule="auto" w:line="240" w:before="0" w:after="0"/>
        <w:jc w:val="center"/>
        <w:textAlignment w:val="baseline"/>
        <w:rPr>
          <w:rFonts w:ascii="Segoe UI" w:hAnsi="Segoe UI" w:eastAsia="Times New Roman" w:cs="Segoe UI"/>
          <w:b/>
          <w:b/>
          <w:bCs/>
          <w:color w:val="00000A"/>
          <w:sz w:val="24"/>
          <w:szCs w:val="28"/>
          <w:lang w:eastAsia="ru-RU"/>
        </w:rPr>
      </w:pPr>
      <w:r>
        <w:rPr>
          <w:rFonts w:eastAsia="Times New Roman" w:cs="Times New Roman" w:ascii="Times New Roman" w:hAnsi="Times New Roman"/>
          <w:b/>
          <w:bCs/>
          <w:color w:val="00000A"/>
          <w:sz w:val="24"/>
          <w:szCs w:val="28"/>
          <w:lang w:eastAsia="ru-RU"/>
        </w:rPr>
        <w:t>Качественные показатели муниципальных служащих органов местного самоуправления города-курорта Железноводска</w:t>
      </w:r>
    </w:p>
    <w:tbl>
      <w:tblPr>
        <w:tblW w:w="9631" w:type="dxa"/>
        <w:jc w:val="left"/>
        <w:tblInd w:w="0" w:type="dxa"/>
        <w:tblBorders>
          <w:top w:val="single" w:sz="6" w:space="0" w:color="000001"/>
          <w:left w:val="single" w:sz="6" w:space="0" w:color="000001"/>
          <w:bottom w:val="single" w:sz="6" w:space="0" w:color="000001"/>
          <w:insideH w:val="single" w:sz="6" w:space="0" w:color="000001"/>
        </w:tblBorders>
        <w:tblCellMar>
          <w:top w:w="0" w:type="dxa"/>
          <w:left w:w="14" w:type="dxa"/>
          <w:bottom w:w="0" w:type="dxa"/>
          <w:right w:w="0" w:type="dxa"/>
        </w:tblCellMar>
        <w:tblLook w:noVBand="1" w:val="04a0" w:noHBand="0" w:lastColumn="0" w:firstColumn="1" w:lastRow="0" w:firstRow="1"/>
      </w:tblPr>
      <w:tblGrid>
        <w:gridCol w:w="600"/>
        <w:gridCol w:w="1875"/>
        <w:gridCol w:w="1320"/>
        <w:gridCol w:w="1290"/>
        <w:gridCol w:w="1289"/>
        <w:gridCol w:w="1"/>
        <w:gridCol w:w="989"/>
        <w:gridCol w:w="990"/>
        <w:gridCol w:w="1275"/>
      </w:tblGrid>
      <w:tr>
        <w:trPr/>
        <w:tc>
          <w:tcPr>
            <w:tcW w:w="600" w:type="dxa"/>
            <w:vMerge w:val="restart"/>
            <w:tcBorders>
              <w:top w:val="single" w:sz="6" w:space="0" w:color="000001"/>
              <w:left w:val="single" w:sz="6" w:space="0" w:color="000001"/>
              <w:bottom w:val="single" w:sz="6" w:space="0" w:color="000001"/>
              <w:insideH w:val="single" w:sz="6" w:space="0" w:color="000001"/>
            </w:tcBorders>
            <w:shd w:color="auto" w:fill="C0C0C0"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b/>
                <w:bCs/>
                <w:color w:val="00000A"/>
                <w:sz w:val="18"/>
                <w:szCs w:val="18"/>
                <w:lang w:eastAsia="ru-RU"/>
              </w:rPr>
              <w:t>№ </w:t>
            </w:r>
            <w:r>
              <w:rPr>
                <w:rFonts w:eastAsia="Times New Roman" w:cs="Times New Roman" w:ascii="Times New Roman" w:hAnsi="Times New Roman"/>
                <w:b/>
                <w:bCs/>
                <w:color w:val="00000A"/>
                <w:sz w:val="18"/>
                <w:szCs w:val="18"/>
                <w:lang w:eastAsia="ru-RU"/>
              </w:rPr>
              <w:t>п/п</w:t>
            </w:r>
            <w:r>
              <w:rPr>
                <w:rFonts w:eastAsia="Times New Roman" w:cs="Times New Roman" w:ascii="Times New Roman" w:hAnsi="Times New Roman"/>
                <w:color w:val="00000A"/>
                <w:sz w:val="18"/>
                <w:szCs w:val="18"/>
                <w:lang w:eastAsia="ru-RU"/>
              </w:rPr>
              <w:t> </w:t>
            </w:r>
          </w:p>
        </w:tc>
        <w:tc>
          <w:tcPr>
            <w:tcW w:w="1875" w:type="dxa"/>
            <w:vMerge w:val="restart"/>
            <w:tcBorders>
              <w:top w:val="single" w:sz="6" w:space="0" w:color="000001"/>
              <w:left w:val="single" w:sz="6" w:space="0" w:color="000001"/>
              <w:bottom w:val="single" w:sz="6" w:space="0" w:color="000001"/>
              <w:insideH w:val="single" w:sz="6" w:space="0" w:color="000001"/>
            </w:tcBorders>
            <w:shd w:color="auto" w:fill="C0C0C0"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b/>
                <w:bCs/>
                <w:color w:val="00000A"/>
                <w:sz w:val="18"/>
                <w:szCs w:val="18"/>
                <w:lang w:eastAsia="ru-RU"/>
              </w:rPr>
              <w:t>Категория должности</w:t>
            </w:r>
            <w:r>
              <w:rPr>
                <w:rFonts w:eastAsia="Times New Roman" w:cs="Times New Roman" w:ascii="Times New Roman" w:hAnsi="Times New Roman"/>
                <w:color w:val="00000A"/>
                <w:sz w:val="18"/>
                <w:szCs w:val="18"/>
                <w:lang w:eastAsia="ru-RU"/>
              </w:rPr>
              <w:t> </w:t>
            </w:r>
          </w:p>
        </w:tc>
        <w:tc>
          <w:tcPr>
            <w:tcW w:w="1320" w:type="dxa"/>
            <w:vMerge w:val="restart"/>
            <w:tcBorders>
              <w:top w:val="single" w:sz="6" w:space="0" w:color="000001"/>
              <w:left w:val="single" w:sz="6" w:space="0" w:color="000001"/>
              <w:bottom w:val="single" w:sz="6" w:space="0" w:color="000001"/>
              <w:insideH w:val="single" w:sz="6" w:space="0" w:color="000001"/>
            </w:tcBorders>
            <w:shd w:color="auto" w:fill="C0C0C0"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b/>
                <w:bCs/>
                <w:color w:val="00000A"/>
                <w:sz w:val="18"/>
                <w:szCs w:val="18"/>
                <w:lang w:eastAsia="ru-RU"/>
              </w:rPr>
              <w:t>Общее количество</w:t>
            </w:r>
            <w:r>
              <w:rPr>
                <w:rFonts w:eastAsia="Times New Roman" w:cs="Times New Roman" w:ascii="Times New Roman" w:hAnsi="Times New Roman"/>
                <w:color w:val="00000A"/>
                <w:sz w:val="18"/>
                <w:szCs w:val="18"/>
                <w:lang w:eastAsia="ru-RU"/>
              </w:rPr>
              <w:t> </w:t>
            </w:r>
          </w:p>
        </w:tc>
        <w:tc>
          <w:tcPr>
            <w:tcW w:w="5834" w:type="dxa"/>
            <w:gridSpan w:val="6"/>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C0C0C0"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b/>
                <w:bCs/>
                <w:color w:val="00000A"/>
                <w:sz w:val="18"/>
                <w:szCs w:val="18"/>
                <w:lang w:eastAsia="ru-RU"/>
              </w:rPr>
              <w:t>из них:</w:t>
            </w:r>
            <w:r>
              <w:rPr>
                <w:rFonts w:eastAsia="Times New Roman" w:cs="Times New Roman" w:ascii="Times New Roman" w:hAnsi="Times New Roman"/>
                <w:color w:val="00000A"/>
                <w:sz w:val="18"/>
                <w:szCs w:val="18"/>
                <w:lang w:eastAsia="ru-RU"/>
              </w:rPr>
              <w:t> </w:t>
            </w:r>
          </w:p>
        </w:tc>
      </w:tr>
      <w:tr>
        <w:trPr/>
        <w:tc>
          <w:tcPr>
            <w:tcW w:w="600" w:type="dxa"/>
            <w:vMerge w:val="continue"/>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24"/>
                <w:szCs w:val="24"/>
                <w:lang w:eastAsia="ru-RU"/>
              </w:rPr>
            </w:r>
          </w:p>
        </w:tc>
        <w:tc>
          <w:tcPr>
            <w:tcW w:w="1875" w:type="dxa"/>
            <w:vMerge w:val="continue"/>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24"/>
                <w:szCs w:val="24"/>
                <w:lang w:eastAsia="ru-RU"/>
              </w:rPr>
            </w:r>
          </w:p>
        </w:tc>
        <w:tc>
          <w:tcPr>
            <w:tcW w:w="1320" w:type="dxa"/>
            <w:vMerge w:val="continue"/>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24"/>
                <w:szCs w:val="24"/>
                <w:lang w:eastAsia="ru-RU"/>
              </w:rPr>
            </w:r>
          </w:p>
        </w:tc>
        <w:tc>
          <w:tcPr>
            <w:tcW w:w="2580" w:type="dxa"/>
            <w:gridSpan w:val="3"/>
            <w:tcBorders>
              <w:top w:val="single" w:sz="6" w:space="0" w:color="000001"/>
              <w:left w:val="single" w:sz="6" w:space="0" w:color="000001"/>
              <w:bottom w:val="single" w:sz="6" w:space="0" w:color="000001"/>
              <w:insideH w:val="single" w:sz="6" w:space="0" w:color="000001"/>
            </w:tcBorders>
            <w:shd w:color="auto" w:fill="C0C0C0"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b/>
                <w:bCs/>
                <w:color w:val="00000A"/>
                <w:sz w:val="18"/>
                <w:szCs w:val="18"/>
                <w:lang w:eastAsia="ru-RU"/>
              </w:rPr>
              <w:t>пол</w:t>
            </w:r>
            <w:r>
              <w:rPr>
                <w:rFonts w:eastAsia="Times New Roman" w:cs="Times New Roman" w:ascii="Times New Roman" w:hAnsi="Times New Roman"/>
                <w:color w:val="00000A"/>
                <w:sz w:val="18"/>
                <w:szCs w:val="18"/>
                <w:lang w:eastAsia="ru-RU"/>
              </w:rPr>
              <w:t> </w:t>
            </w:r>
          </w:p>
        </w:tc>
        <w:tc>
          <w:tcPr>
            <w:tcW w:w="3254" w:type="dxa"/>
            <w:gridSpan w:val="3"/>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C0C0C0"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b/>
                <w:bCs/>
                <w:color w:val="00000A"/>
                <w:sz w:val="18"/>
                <w:szCs w:val="18"/>
                <w:lang w:eastAsia="ru-RU"/>
              </w:rPr>
              <w:t>возраст</w:t>
            </w:r>
            <w:r>
              <w:rPr>
                <w:rFonts w:eastAsia="Times New Roman" w:cs="Times New Roman" w:ascii="Times New Roman" w:hAnsi="Times New Roman"/>
                <w:color w:val="00000A"/>
                <w:sz w:val="18"/>
                <w:szCs w:val="18"/>
                <w:lang w:eastAsia="ru-RU"/>
              </w:rPr>
              <w:t> </w:t>
            </w:r>
          </w:p>
        </w:tc>
      </w:tr>
      <w:tr>
        <w:trPr/>
        <w:tc>
          <w:tcPr>
            <w:tcW w:w="600" w:type="dxa"/>
            <w:vMerge w:val="continue"/>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24"/>
                <w:szCs w:val="24"/>
                <w:lang w:eastAsia="ru-RU"/>
              </w:rPr>
            </w:r>
          </w:p>
        </w:tc>
        <w:tc>
          <w:tcPr>
            <w:tcW w:w="1875" w:type="dxa"/>
            <w:vMerge w:val="continue"/>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24"/>
                <w:szCs w:val="24"/>
                <w:lang w:eastAsia="ru-RU"/>
              </w:rPr>
            </w:r>
          </w:p>
        </w:tc>
        <w:tc>
          <w:tcPr>
            <w:tcW w:w="1320" w:type="dxa"/>
            <w:vMerge w:val="continue"/>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24"/>
                <w:szCs w:val="24"/>
                <w:lang w:eastAsia="ru-RU"/>
              </w:rPr>
            </w:r>
          </w:p>
        </w:tc>
        <w:tc>
          <w:tcPr>
            <w:tcW w:w="1290" w:type="dxa"/>
            <w:tcBorders>
              <w:top w:val="single" w:sz="6" w:space="0" w:color="000001"/>
              <w:left w:val="single" w:sz="6" w:space="0" w:color="000001"/>
              <w:bottom w:val="single" w:sz="6" w:space="0" w:color="000001"/>
              <w:insideH w:val="single" w:sz="6" w:space="0" w:color="000001"/>
            </w:tcBorders>
            <w:shd w:color="auto" w:fill="C0C0C0"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b/>
                <w:bCs/>
                <w:color w:val="00000A"/>
                <w:sz w:val="18"/>
                <w:szCs w:val="18"/>
                <w:lang w:eastAsia="ru-RU"/>
              </w:rPr>
              <w:t>мужской</w:t>
            </w:r>
            <w:r>
              <w:rPr>
                <w:rFonts w:eastAsia="Times New Roman" w:cs="Times New Roman" w:ascii="Times New Roman" w:hAnsi="Times New Roman"/>
                <w:color w:val="00000A"/>
                <w:sz w:val="18"/>
                <w:szCs w:val="18"/>
                <w:lang w:eastAsia="ru-RU"/>
              </w:rPr>
              <w:t> </w:t>
            </w:r>
          </w:p>
        </w:tc>
        <w:tc>
          <w:tcPr>
            <w:tcW w:w="1289" w:type="dxa"/>
            <w:tcBorders>
              <w:top w:val="single" w:sz="6" w:space="0" w:color="000001"/>
              <w:left w:val="single" w:sz="6" w:space="0" w:color="000001"/>
              <w:bottom w:val="single" w:sz="6" w:space="0" w:color="000001"/>
              <w:insideH w:val="single" w:sz="6" w:space="0" w:color="000001"/>
            </w:tcBorders>
            <w:shd w:color="auto" w:fill="C0C0C0"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b/>
                <w:bCs/>
                <w:color w:val="00000A"/>
                <w:sz w:val="18"/>
                <w:szCs w:val="18"/>
                <w:lang w:eastAsia="ru-RU"/>
              </w:rPr>
              <w:t>женский</w:t>
            </w:r>
            <w:r>
              <w:rPr>
                <w:rFonts w:eastAsia="Times New Roman" w:cs="Times New Roman" w:ascii="Times New Roman" w:hAnsi="Times New Roman"/>
                <w:color w:val="00000A"/>
                <w:sz w:val="18"/>
                <w:szCs w:val="18"/>
                <w:lang w:eastAsia="ru-RU"/>
              </w:rPr>
              <w:t> </w:t>
            </w:r>
          </w:p>
        </w:tc>
        <w:tc>
          <w:tcPr>
            <w:tcW w:w="990" w:type="dxa"/>
            <w:gridSpan w:val="2"/>
            <w:tcBorders>
              <w:top w:val="single" w:sz="6" w:space="0" w:color="000001"/>
              <w:left w:val="single" w:sz="6" w:space="0" w:color="000001"/>
              <w:bottom w:val="single" w:sz="6" w:space="0" w:color="000001"/>
              <w:insideH w:val="single" w:sz="6" w:space="0" w:color="000001"/>
            </w:tcBorders>
            <w:shd w:color="auto" w:fill="C0C0C0"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b/>
                <w:bCs/>
                <w:color w:val="00000A"/>
                <w:sz w:val="18"/>
                <w:szCs w:val="18"/>
                <w:lang w:eastAsia="ru-RU"/>
              </w:rPr>
              <w:t>20-35 лет</w:t>
            </w:r>
            <w:r>
              <w:rPr>
                <w:rFonts w:eastAsia="Times New Roman" w:cs="Times New Roman" w:ascii="Times New Roman" w:hAnsi="Times New Roman"/>
                <w:color w:val="00000A"/>
                <w:sz w:val="18"/>
                <w:szCs w:val="18"/>
                <w:lang w:eastAsia="ru-RU"/>
              </w:rPr>
              <w:t> </w:t>
            </w:r>
          </w:p>
        </w:tc>
        <w:tc>
          <w:tcPr>
            <w:tcW w:w="990" w:type="dxa"/>
            <w:tcBorders>
              <w:top w:val="single" w:sz="6" w:space="0" w:color="000001"/>
              <w:left w:val="single" w:sz="6" w:space="0" w:color="000001"/>
              <w:bottom w:val="single" w:sz="6" w:space="0" w:color="000001"/>
              <w:insideH w:val="single" w:sz="6" w:space="0" w:color="000001"/>
            </w:tcBorders>
            <w:shd w:color="auto" w:fill="C0C0C0"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b/>
                <w:bCs/>
                <w:color w:val="00000A"/>
                <w:sz w:val="18"/>
                <w:szCs w:val="18"/>
                <w:lang w:eastAsia="ru-RU"/>
              </w:rPr>
              <w:t>35-50 лет</w:t>
            </w:r>
            <w:r>
              <w:rPr>
                <w:rFonts w:eastAsia="Times New Roman" w:cs="Times New Roman" w:ascii="Times New Roman" w:hAnsi="Times New Roman"/>
                <w:color w:val="00000A"/>
                <w:sz w:val="18"/>
                <w:szCs w:val="18"/>
                <w:lang w:eastAsia="ru-RU"/>
              </w:rPr>
              <w:t> </w:t>
            </w:r>
          </w:p>
        </w:tc>
        <w:tc>
          <w:tcPr>
            <w:tcW w:w="127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C0C0C0"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b/>
                <w:bCs/>
                <w:color w:val="00000A"/>
                <w:sz w:val="18"/>
                <w:szCs w:val="18"/>
                <w:lang w:eastAsia="ru-RU"/>
              </w:rPr>
              <w:t>50 и выше</w:t>
            </w:r>
            <w:r>
              <w:rPr>
                <w:rFonts w:eastAsia="Times New Roman" w:cs="Times New Roman" w:ascii="Times New Roman" w:hAnsi="Times New Roman"/>
                <w:color w:val="00000A"/>
                <w:sz w:val="18"/>
                <w:szCs w:val="18"/>
                <w:lang w:eastAsia="ru-RU"/>
              </w:rPr>
              <w:t> </w:t>
            </w:r>
          </w:p>
        </w:tc>
      </w:tr>
      <w:tr>
        <w:trPr/>
        <w:tc>
          <w:tcPr>
            <w:tcW w:w="600" w:type="dxa"/>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1 </w:t>
            </w:r>
          </w:p>
        </w:tc>
        <w:tc>
          <w:tcPr>
            <w:tcW w:w="1875" w:type="dxa"/>
            <w:tcBorders>
              <w:top w:val="single" w:sz="6" w:space="0" w:color="000001"/>
              <w:left w:val="single" w:sz="6" w:space="0" w:color="000001"/>
              <w:bottom w:val="single" w:sz="6" w:space="0" w:color="000001"/>
              <w:insideH w:val="single" w:sz="6" w:space="0" w:color="000001"/>
            </w:tcBorders>
            <w:shd w:color="auto" w:fill="auto" w:val="clear"/>
            <w:tcMar>
              <w:left w:w="14" w:type="dxa"/>
            </w:tcMar>
          </w:tcPr>
          <w:p>
            <w:pPr>
              <w:pStyle w:val="Normal"/>
              <w:spacing w:lineRule="auto" w:line="240" w:before="0" w:after="0"/>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Руководители </w:t>
            </w:r>
          </w:p>
        </w:tc>
        <w:tc>
          <w:tcPr>
            <w:tcW w:w="1320" w:type="dxa"/>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58 </w:t>
            </w:r>
          </w:p>
        </w:tc>
        <w:tc>
          <w:tcPr>
            <w:tcW w:w="1290" w:type="dxa"/>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13 </w:t>
            </w:r>
          </w:p>
        </w:tc>
        <w:tc>
          <w:tcPr>
            <w:tcW w:w="1289" w:type="dxa"/>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45 </w:t>
            </w:r>
          </w:p>
        </w:tc>
        <w:tc>
          <w:tcPr>
            <w:tcW w:w="990" w:type="dxa"/>
            <w:gridSpan w:val="2"/>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13 </w:t>
            </w:r>
          </w:p>
        </w:tc>
        <w:tc>
          <w:tcPr>
            <w:tcW w:w="990" w:type="dxa"/>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23 </w:t>
            </w:r>
          </w:p>
        </w:tc>
        <w:tc>
          <w:tcPr>
            <w:tcW w:w="127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22 </w:t>
            </w:r>
          </w:p>
        </w:tc>
      </w:tr>
      <w:tr>
        <w:trPr/>
        <w:tc>
          <w:tcPr>
            <w:tcW w:w="600" w:type="dxa"/>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2 </w:t>
            </w:r>
          </w:p>
        </w:tc>
        <w:tc>
          <w:tcPr>
            <w:tcW w:w="1875" w:type="dxa"/>
            <w:tcBorders>
              <w:top w:val="single" w:sz="6" w:space="0" w:color="000001"/>
              <w:left w:val="single" w:sz="6" w:space="0" w:color="000001"/>
              <w:bottom w:val="single" w:sz="6" w:space="0" w:color="000001"/>
              <w:insideH w:val="single" w:sz="6" w:space="0" w:color="000001"/>
            </w:tcBorders>
            <w:shd w:color="auto" w:fill="auto" w:val="clear"/>
            <w:tcMar>
              <w:left w:w="14" w:type="dxa"/>
            </w:tcMar>
          </w:tcPr>
          <w:p>
            <w:pPr>
              <w:pStyle w:val="Normal"/>
              <w:spacing w:lineRule="auto" w:line="240" w:before="0" w:after="0"/>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Помощники (советники) </w:t>
            </w:r>
          </w:p>
        </w:tc>
        <w:tc>
          <w:tcPr>
            <w:tcW w:w="1320" w:type="dxa"/>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2 </w:t>
            </w:r>
          </w:p>
        </w:tc>
        <w:tc>
          <w:tcPr>
            <w:tcW w:w="1290" w:type="dxa"/>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 </w:t>
            </w:r>
          </w:p>
        </w:tc>
        <w:tc>
          <w:tcPr>
            <w:tcW w:w="1289" w:type="dxa"/>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2 </w:t>
            </w:r>
          </w:p>
        </w:tc>
        <w:tc>
          <w:tcPr>
            <w:tcW w:w="990" w:type="dxa"/>
            <w:gridSpan w:val="2"/>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 </w:t>
            </w:r>
          </w:p>
        </w:tc>
        <w:tc>
          <w:tcPr>
            <w:tcW w:w="990" w:type="dxa"/>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2 </w:t>
            </w:r>
          </w:p>
        </w:tc>
        <w:tc>
          <w:tcPr>
            <w:tcW w:w="127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 </w:t>
            </w:r>
          </w:p>
        </w:tc>
      </w:tr>
      <w:tr>
        <w:trPr/>
        <w:tc>
          <w:tcPr>
            <w:tcW w:w="600" w:type="dxa"/>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3 </w:t>
            </w:r>
          </w:p>
        </w:tc>
        <w:tc>
          <w:tcPr>
            <w:tcW w:w="1875" w:type="dxa"/>
            <w:tcBorders>
              <w:top w:val="single" w:sz="6" w:space="0" w:color="000001"/>
              <w:left w:val="single" w:sz="6" w:space="0" w:color="000001"/>
              <w:bottom w:val="single" w:sz="6" w:space="0" w:color="000001"/>
              <w:insideH w:val="single" w:sz="6" w:space="0" w:color="000001"/>
            </w:tcBorders>
            <w:shd w:color="auto" w:fill="auto" w:val="clear"/>
            <w:tcMar>
              <w:left w:w="14" w:type="dxa"/>
            </w:tcMar>
          </w:tcPr>
          <w:p>
            <w:pPr>
              <w:pStyle w:val="Normal"/>
              <w:spacing w:lineRule="auto" w:line="240" w:before="0" w:after="0"/>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Специалисты </w:t>
            </w:r>
          </w:p>
        </w:tc>
        <w:tc>
          <w:tcPr>
            <w:tcW w:w="1320" w:type="dxa"/>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100 </w:t>
            </w:r>
          </w:p>
        </w:tc>
        <w:tc>
          <w:tcPr>
            <w:tcW w:w="1290" w:type="dxa"/>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22 </w:t>
            </w:r>
          </w:p>
        </w:tc>
        <w:tc>
          <w:tcPr>
            <w:tcW w:w="1289" w:type="dxa"/>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78 </w:t>
            </w:r>
          </w:p>
        </w:tc>
        <w:tc>
          <w:tcPr>
            <w:tcW w:w="990" w:type="dxa"/>
            <w:gridSpan w:val="2"/>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52 </w:t>
            </w:r>
          </w:p>
        </w:tc>
        <w:tc>
          <w:tcPr>
            <w:tcW w:w="990" w:type="dxa"/>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36 </w:t>
            </w:r>
          </w:p>
        </w:tc>
        <w:tc>
          <w:tcPr>
            <w:tcW w:w="127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12 </w:t>
            </w:r>
          </w:p>
        </w:tc>
      </w:tr>
      <w:tr>
        <w:trPr/>
        <w:tc>
          <w:tcPr>
            <w:tcW w:w="600" w:type="dxa"/>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4 </w:t>
            </w:r>
          </w:p>
        </w:tc>
        <w:tc>
          <w:tcPr>
            <w:tcW w:w="1875" w:type="dxa"/>
            <w:tcBorders>
              <w:top w:val="single" w:sz="6" w:space="0" w:color="000001"/>
              <w:left w:val="single" w:sz="6" w:space="0" w:color="000001"/>
              <w:bottom w:val="single" w:sz="6" w:space="0" w:color="000001"/>
              <w:insideH w:val="single" w:sz="6" w:space="0" w:color="000001"/>
            </w:tcBorders>
            <w:shd w:color="auto" w:fill="auto" w:val="clear"/>
            <w:tcMar>
              <w:left w:w="14" w:type="dxa"/>
            </w:tcMar>
          </w:tcPr>
          <w:p>
            <w:pPr>
              <w:pStyle w:val="Normal"/>
              <w:spacing w:lineRule="auto" w:line="240" w:before="0" w:after="0"/>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ВСЕГО: </w:t>
            </w:r>
          </w:p>
        </w:tc>
        <w:tc>
          <w:tcPr>
            <w:tcW w:w="1320" w:type="dxa"/>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160 </w:t>
            </w:r>
          </w:p>
        </w:tc>
        <w:tc>
          <w:tcPr>
            <w:tcW w:w="1290" w:type="dxa"/>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35 </w:t>
            </w:r>
          </w:p>
        </w:tc>
        <w:tc>
          <w:tcPr>
            <w:tcW w:w="1289" w:type="dxa"/>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125 </w:t>
            </w:r>
          </w:p>
        </w:tc>
        <w:tc>
          <w:tcPr>
            <w:tcW w:w="990" w:type="dxa"/>
            <w:gridSpan w:val="2"/>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65 </w:t>
            </w:r>
          </w:p>
        </w:tc>
        <w:tc>
          <w:tcPr>
            <w:tcW w:w="990" w:type="dxa"/>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61 </w:t>
            </w:r>
          </w:p>
        </w:tc>
        <w:tc>
          <w:tcPr>
            <w:tcW w:w="127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34 </w:t>
            </w:r>
          </w:p>
        </w:tc>
      </w:tr>
    </w:tbl>
    <w:p>
      <w:pPr>
        <w:pStyle w:val="Normal"/>
        <w:spacing w:lineRule="auto" w:line="240" w:before="0" w:after="0"/>
        <w:textAlignment w:val="baseline"/>
        <w:rPr>
          <w:rFonts w:ascii="Times New Roman" w:hAnsi="Times New Roman" w:eastAsia="Times New Roman" w:cs="Times New Roman"/>
          <w:color w:val="00000A"/>
          <w:sz w:val="16"/>
          <w:szCs w:val="16"/>
          <w:lang w:eastAsia="ru-RU"/>
        </w:rPr>
      </w:pPr>
      <w:r>
        <w:rPr>
          <w:rFonts w:eastAsia="Times New Roman" w:cs="Times New Roman" w:ascii="Times New Roman" w:hAnsi="Times New Roman"/>
          <w:color w:val="00000A"/>
          <w:sz w:val="16"/>
          <w:szCs w:val="16"/>
          <w:lang w:eastAsia="ru-RU"/>
        </w:rPr>
      </w:r>
    </w:p>
    <w:tbl>
      <w:tblPr>
        <w:tblW w:w="9623" w:type="dxa"/>
        <w:jc w:val="left"/>
        <w:tblInd w:w="0" w:type="dxa"/>
        <w:tblBorders>
          <w:top w:val="single" w:sz="6" w:space="0" w:color="000001"/>
          <w:left w:val="single" w:sz="6" w:space="0" w:color="000001"/>
          <w:bottom w:val="single" w:sz="6" w:space="0" w:color="000001"/>
          <w:insideH w:val="single" w:sz="6" w:space="0" w:color="000001"/>
        </w:tblBorders>
        <w:tblCellMar>
          <w:top w:w="0" w:type="dxa"/>
          <w:left w:w="14" w:type="dxa"/>
          <w:bottom w:w="0" w:type="dxa"/>
          <w:right w:w="0" w:type="dxa"/>
        </w:tblCellMar>
        <w:tblLook w:noVBand="1" w:val="04a0" w:noHBand="0" w:lastColumn="0" w:firstColumn="1" w:lastRow="0" w:firstRow="1"/>
      </w:tblPr>
      <w:tblGrid>
        <w:gridCol w:w="310"/>
        <w:gridCol w:w="1605"/>
        <w:gridCol w:w="1577"/>
        <w:gridCol w:w="1576"/>
        <w:gridCol w:w="1576"/>
        <w:gridCol w:w="1576"/>
        <w:gridCol w:w="1402"/>
      </w:tblGrid>
      <w:tr>
        <w:trPr/>
        <w:tc>
          <w:tcPr>
            <w:tcW w:w="310" w:type="dxa"/>
            <w:vMerge w:val="restart"/>
            <w:tcBorders>
              <w:top w:val="single" w:sz="6" w:space="0" w:color="000001"/>
              <w:left w:val="single" w:sz="6" w:space="0" w:color="000001"/>
              <w:bottom w:val="single" w:sz="6" w:space="0" w:color="000001"/>
              <w:insideH w:val="single" w:sz="6" w:space="0" w:color="000001"/>
            </w:tcBorders>
            <w:shd w:color="auto" w:fill="C0C0C0"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b/>
                <w:bCs/>
                <w:color w:val="00000A"/>
                <w:sz w:val="18"/>
                <w:szCs w:val="18"/>
                <w:lang w:eastAsia="ru-RU"/>
              </w:rPr>
              <w:t>№</w:t>
            </w:r>
            <w:r>
              <w:rPr>
                <w:rFonts w:eastAsia="Times New Roman" w:cs="Times New Roman" w:ascii="Times New Roman" w:hAnsi="Times New Roman"/>
                <w:color w:val="00000A"/>
                <w:sz w:val="18"/>
                <w:szCs w:val="18"/>
                <w:lang w:eastAsia="ru-RU"/>
              </w:rPr>
              <w:t> </w:t>
            </w:r>
          </w:p>
        </w:tc>
        <w:tc>
          <w:tcPr>
            <w:tcW w:w="1605" w:type="dxa"/>
            <w:vMerge w:val="restart"/>
            <w:tcBorders>
              <w:top w:val="single" w:sz="6" w:space="0" w:color="000001"/>
              <w:left w:val="single" w:sz="6" w:space="0" w:color="000001"/>
              <w:bottom w:val="single" w:sz="6" w:space="0" w:color="000001"/>
              <w:insideH w:val="single" w:sz="6" w:space="0" w:color="000001"/>
            </w:tcBorders>
            <w:shd w:color="auto" w:fill="C0C0C0"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b/>
                <w:bCs/>
                <w:color w:val="00000A"/>
                <w:sz w:val="18"/>
                <w:szCs w:val="18"/>
                <w:lang w:eastAsia="ru-RU"/>
              </w:rPr>
              <w:t>Категория должности</w:t>
            </w:r>
            <w:r>
              <w:rPr>
                <w:rFonts w:eastAsia="Times New Roman" w:cs="Times New Roman" w:ascii="Times New Roman" w:hAnsi="Times New Roman"/>
                <w:color w:val="00000A"/>
                <w:sz w:val="18"/>
                <w:szCs w:val="18"/>
                <w:lang w:eastAsia="ru-RU"/>
              </w:rPr>
              <w:t> </w:t>
            </w:r>
          </w:p>
        </w:tc>
        <w:tc>
          <w:tcPr>
            <w:tcW w:w="7707" w:type="dxa"/>
            <w:gridSpan w:val="5"/>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C0C0C0"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b/>
                <w:bCs/>
                <w:color w:val="00000A"/>
                <w:sz w:val="18"/>
                <w:szCs w:val="18"/>
                <w:lang w:eastAsia="ru-RU"/>
              </w:rPr>
              <w:t>Уровень образования</w:t>
            </w:r>
            <w:r>
              <w:rPr>
                <w:rFonts w:eastAsia="Times New Roman" w:cs="Times New Roman" w:ascii="Times New Roman" w:hAnsi="Times New Roman"/>
                <w:color w:val="00000A"/>
                <w:sz w:val="18"/>
                <w:szCs w:val="18"/>
                <w:lang w:eastAsia="ru-RU"/>
              </w:rPr>
              <w:t> </w:t>
            </w:r>
          </w:p>
        </w:tc>
      </w:tr>
      <w:tr>
        <w:trPr/>
        <w:tc>
          <w:tcPr>
            <w:tcW w:w="310" w:type="dxa"/>
            <w:vMerge w:val="continue"/>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24"/>
                <w:szCs w:val="24"/>
                <w:lang w:eastAsia="ru-RU"/>
              </w:rPr>
            </w:r>
          </w:p>
        </w:tc>
        <w:tc>
          <w:tcPr>
            <w:tcW w:w="1605" w:type="dxa"/>
            <w:vMerge w:val="continue"/>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24"/>
                <w:szCs w:val="24"/>
                <w:lang w:eastAsia="ru-RU"/>
              </w:rPr>
            </w:r>
          </w:p>
        </w:tc>
        <w:tc>
          <w:tcPr>
            <w:tcW w:w="1577" w:type="dxa"/>
            <w:tcBorders>
              <w:top w:val="single" w:sz="6" w:space="0" w:color="000001"/>
              <w:left w:val="single" w:sz="6" w:space="0" w:color="000001"/>
              <w:bottom w:val="single" w:sz="6" w:space="0" w:color="000001"/>
              <w:insideH w:val="single" w:sz="6" w:space="0" w:color="000001"/>
            </w:tcBorders>
            <w:shd w:color="auto" w:fill="C0C0C0"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b/>
                <w:bCs/>
                <w:color w:val="00000A"/>
                <w:sz w:val="18"/>
                <w:szCs w:val="18"/>
                <w:lang w:eastAsia="ru-RU"/>
              </w:rPr>
              <w:t>Высшее профессиональное</w:t>
            </w:r>
            <w:r>
              <w:rPr>
                <w:rFonts w:eastAsia="Times New Roman" w:cs="Times New Roman" w:ascii="Times New Roman" w:hAnsi="Times New Roman"/>
                <w:color w:val="00000A"/>
                <w:sz w:val="18"/>
                <w:szCs w:val="18"/>
                <w:lang w:eastAsia="ru-RU"/>
              </w:rPr>
              <w:t> </w:t>
            </w:r>
          </w:p>
        </w:tc>
        <w:tc>
          <w:tcPr>
            <w:tcW w:w="1576" w:type="dxa"/>
            <w:tcBorders>
              <w:top w:val="single" w:sz="6" w:space="0" w:color="000001"/>
              <w:left w:val="single" w:sz="6" w:space="0" w:color="000001"/>
              <w:bottom w:val="single" w:sz="6" w:space="0" w:color="000001"/>
              <w:insideH w:val="single" w:sz="6" w:space="0" w:color="000001"/>
            </w:tcBorders>
            <w:shd w:color="auto" w:fill="C0C0C0"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b/>
                <w:bCs/>
                <w:color w:val="00000A"/>
                <w:sz w:val="18"/>
                <w:szCs w:val="18"/>
                <w:lang w:eastAsia="ru-RU"/>
              </w:rPr>
              <w:t>Высшее профессиональное, соответствующего направления должности (в том числе управленческое)</w:t>
            </w:r>
            <w:r>
              <w:rPr>
                <w:rFonts w:eastAsia="Times New Roman" w:cs="Times New Roman" w:ascii="Times New Roman" w:hAnsi="Times New Roman"/>
                <w:color w:val="00000A"/>
                <w:sz w:val="18"/>
                <w:szCs w:val="18"/>
                <w:lang w:eastAsia="ru-RU"/>
              </w:rPr>
              <w:t> </w:t>
            </w:r>
          </w:p>
        </w:tc>
        <w:tc>
          <w:tcPr>
            <w:tcW w:w="1576" w:type="dxa"/>
            <w:tcBorders>
              <w:top w:val="single" w:sz="6" w:space="0" w:color="000001"/>
              <w:left w:val="single" w:sz="6" w:space="0" w:color="000001"/>
              <w:bottom w:val="single" w:sz="6" w:space="0" w:color="000001"/>
              <w:insideH w:val="single" w:sz="6" w:space="0" w:color="000001"/>
            </w:tcBorders>
            <w:shd w:color="auto" w:fill="C0C0C0"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b/>
                <w:bCs/>
                <w:color w:val="00000A"/>
                <w:sz w:val="18"/>
                <w:szCs w:val="18"/>
                <w:lang w:eastAsia="ru-RU"/>
              </w:rPr>
              <w:t>Среднее профессиональное</w:t>
            </w:r>
            <w:r>
              <w:rPr>
                <w:rFonts w:eastAsia="Times New Roman" w:cs="Times New Roman" w:ascii="Times New Roman" w:hAnsi="Times New Roman"/>
                <w:color w:val="00000A"/>
                <w:sz w:val="18"/>
                <w:szCs w:val="18"/>
                <w:lang w:eastAsia="ru-RU"/>
              </w:rPr>
              <w:t> </w:t>
            </w:r>
          </w:p>
        </w:tc>
        <w:tc>
          <w:tcPr>
            <w:tcW w:w="1576" w:type="dxa"/>
            <w:tcBorders>
              <w:top w:val="single" w:sz="6" w:space="0" w:color="000001"/>
              <w:left w:val="single" w:sz="6" w:space="0" w:color="000001"/>
              <w:bottom w:val="single" w:sz="6" w:space="0" w:color="000001"/>
              <w:insideH w:val="single" w:sz="6" w:space="0" w:color="000001"/>
            </w:tcBorders>
            <w:shd w:color="auto" w:fill="C0C0C0"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b/>
                <w:bCs/>
                <w:color w:val="00000A"/>
                <w:sz w:val="18"/>
                <w:szCs w:val="18"/>
                <w:lang w:eastAsia="ru-RU"/>
              </w:rPr>
              <w:t>Среднее профессиональное, соответствующего направления деятельности</w:t>
            </w:r>
            <w:r>
              <w:rPr>
                <w:rFonts w:eastAsia="Times New Roman" w:cs="Times New Roman" w:ascii="Times New Roman" w:hAnsi="Times New Roman"/>
                <w:color w:val="00000A"/>
                <w:sz w:val="18"/>
                <w:szCs w:val="18"/>
                <w:lang w:eastAsia="ru-RU"/>
              </w:rPr>
              <w:t> </w:t>
            </w:r>
          </w:p>
        </w:tc>
        <w:tc>
          <w:tcPr>
            <w:tcW w:w="14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C0C0C0"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b/>
                <w:bCs/>
                <w:color w:val="00000A"/>
                <w:sz w:val="18"/>
                <w:szCs w:val="18"/>
                <w:lang w:eastAsia="ru-RU"/>
              </w:rPr>
              <w:t>Прошли повышение квалификации за последние 3 года</w:t>
            </w:r>
            <w:r>
              <w:rPr>
                <w:rFonts w:eastAsia="Times New Roman" w:cs="Times New Roman" w:ascii="Times New Roman" w:hAnsi="Times New Roman"/>
                <w:color w:val="00000A"/>
                <w:sz w:val="18"/>
                <w:szCs w:val="18"/>
                <w:lang w:eastAsia="ru-RU"/>
              </w:rPr>
              <w:t> </w:t>
            </w:r>
          </w:p>
        </w:tc>
      </w:tr>
      <w:tr>
        <w:trPr/>
        <w:tc>
          <w:tcPr>
            <w:tcW w:w="310" w:type="dxa"/>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1 </w:t>
            </w:r>
          </w:p>
        </w:tc>
        <w:tc>
          <w:tcPr>
            <w:tcW w:w="1605" w:type="dxa"/>
            <w:tcBorders>
              <w:top w:val="single" w:sz="6" w:space="0" w:color="000001"/>
              <w:left w:val="single" w:sz="6" w:space="0" w:color="000001"/>
              <w:bottom w:val="single" w:sz="6" w:space="0" w:color="000001"/>
              <w:insideH w:val="single" w:sz="6" w:space="0" w:color="000001"/>
            </w:tcBorders>
            <w:shd w:color="auto" w:fill="auto" w:val="clear"/>
            <w:tcMar>
              <w:left w:w="14" w:type="dxa"/>
            </w:tcMar>
          </w:tcPr>
          <w:p>
            <w:pPr>
              <w:pStyle w:val="Normal"/>
              <w:spacing w:lineRule="auto" w:line="240" w:before="0" w:after="0"/>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Руководители </w:t>
            </w:r>
          </w:p>
        </w:tc>
        <w:tc>
          <w:tcPr>
            <w:tcW w:w="1577" w:type="dxa"/>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sz w:val="18"/>
                <w:szCs w:val="18"/>
                <w:lang w:eastAsia="ru-RU"/>
              </w:rPr>
              <w:t>58</w:t>
            </w:r>
            <w:r>
              <w:rPr>
                <w:rFonts w:eastAsia="Times New Roman" w:cs="Times New Roman" w:ascii="Times New Roman" w:hAnsi="Times New Roman"/>
                <w:color w:val="00000A"/>
                <w:sz w:val="18"/>
                <w:szCs w:val="18"/>
                <w:lang w:eastAsia="ru-RU"/>
              </w:rPr>
              <w:t> </w:t>
            </w:r>
          </w:p>
        </w:tc>
        <w:tc>
          <w:tcPr>
            <w:tcW w:w="1576" w:type="dxa"/>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sz w:val="18"/>
                <w:szCs w:val="18"/>
                <w:lang w:eastAsia="ru-RU"/>
              </w:rPr>
              <w:t>43</w:t>
            </w:r>
            <w:r>
              <w:rPr>
                <w:rFonts w:eastAsia="Times New Roman" w:cs="Times New Roman" w:ascii="Times New Roman" w:hAnsi="Times New Roman"/>
                <w:color w:val="00000A"/>
                <w:sz w:val="18"/>
                <w:szCs w:val="18"/>
                <w:lang w:eastAsia="ru-RU"/>
              </w:rPr>
              <w:t> </w:t>
            </w:r>
          </w:p>
        </w:tc>
        <w:tc>
          <w:tcPr>
            <w:tcW w:w="1576" w:type="dxa"/>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sz w:val="18"/>
                <w:szCs w:val="18"/>
                <w:lang w:eastAsia="ru-RU"/>
              </w:rPr>
              <w:t>--</w:t>
            </w:r>
            <w:r>
              <w:rPr>
                <w:rFonts w:eastAsia="Times New Roman" w:cs="Times New Roman" w:ascii="Times New Roman" w:hAnsi="Times New Roman"/>
                <w:color w:val="00000A"/>
                <w:sz w:val="18"/>
                <w:szCs w:val="18"/>
                <w:lang w:eastAsia="ru-RU"/>
              </w:rPr>
              <w:t> </w:t>
            </w:r>
          </w:p>
        </w:tc>
        <w:tc>
          <w:tcPr>
            <w:tcW w:w="1576" w:type="dxa"/>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sz w:val="18"/>
                <w:szCs w:val="18"/>
                <w:lang w:eastAsia="ru-RU"/>
              </w:rPr>
              <w:t>--</w:t>
            </w:r>
            <w:r>
              <w:rPr>
                <w:rFonts w:eastAsia="Times New Roman" w:cs="Times New Roman" w:ascii="Times New Roman" w:hAnsi="Times New Roman"/>
                <w:color w:val="00000A"/>
                <w:sz w:val="18"/>
                <w:szCs w:val="18"/>
                <w:lang w:eastAsia="ru-RU"/>
              </w:rPr>
              <w:t> </w:t>
            </w:r>
          </w:p>
        </w:tc>
        <w:tc>
          <w:tcPr>
            <w:tcW w:w="14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sz w:val="18"/>
                <w:szCs w:val="18"/>
                <w:lang w:eastAsia="ru-RU"/>
              </w:rPr>
              <w:t>23</w:t>
            </w:r>
            <w:r>
              <w:rPr>
                <w:rFonts w:eastAsia="Times New Roman" w:cs="Times New Roman" w:ascii="Times New Roman" w:hAnsi="Times New Roman"/>
                <w:color w:val="00000A"/>
                <w:sz w:val="18"/>
                <w:szCs w:val="18"/>
                <w:lang w:eastAsia="ru-RU"/>
              </w:rPr>
              <w:t> </w:t>
            </w:r>
          </w:p>
        </w:tc>
      </w:tr>
      <w:tr>
        <w:trPr/>
        <w:tc>
          <w:tcPr>
            <w:tcW w:w="310" w:type="dxa"/>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2 </w:t>
            </w:r>
          </w:p>
        </w:tc>
        <w:tc>
          <w:tcPr>
            <w:tcW w:w="1605" w:type="dxa"/>
            <w:tcBorders>
              <w:top w:val="single" w:sz="6" w:space="0" w:color="000001"/>
              <w:left w:val="single" w:sz="6" w:space="0" w:color="000001"/>
              <w:bottom w:val="single" w:sz="6" w:space="0" w:color="000001"/>
              <w:insideH w:val="single" w:sz="6" w:space="0" w:color="000001"/>
            </w:tcBorders>
            <w:shd w:color="auto" w:fill="auto" w:val="clear"/>
            <w:tcMar>
              <w:left w:w="14" w:type="dxa"/>
            </w:tcMar>
          </w:tcPr>
          <w:p>
            <w:pPr>
              <w:pStyle w:val="Normal"/>
              <w:spacing w:lineRule="auto" w:line="240" w:before="0" w:after="0"/>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Помощники (советники) </w:t>
            </w:r>
          </w:p>
        </w:tc>
        <w:tc>
          <w:tcPr>
            <w:tcW w:w="1577" w:type="dxa"/>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sz w:val="18"/>
                <w:szCs w:val="18"/>
                <w:lang w:eastAsia="ru-RU"/>
              </w:rPr>
              <w:t>2</w:t>
            </w:r>
            <w:r>
              <w:rPr>
                <w:rFonts w:eastAsia="Times New Roman" w:cs="Times New Roman" w:ascii="Times New Roman" w:hAnsi="Times New Roman"/>
                <w:color w:val="00000A"/>
                <w:sz w:val="18"/>
                <w:szCs w:val="18"/>
                <w:lang w:eastAsia="ru-RU"/>
              </w:rPr>
              <w:t> </w:t>
            </w:r>
          </w:p>
        </w:tc>
        <w:tc>
          <w:tcPr>
            <w:tcW w:w="1576" w:type="dxa"/>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sz w:val="18"/>
                <w:szCs w:val="18"/>
                <w:lang w:eastAsia="ru-RU"/>
              </w:rPr>
              <w:t>1</w:t>
            </w:r>
            <w:r>
              <w:rPr>
                <w:rFonts w:eastAsia="Times New Roman" w:cs="Times New Roman" w:ascii="Times New Roman" w:hAnsi="Times New Roman"/>
                <w:color w:val="00000A"/>
                <w:sz w:val="18"/>
                <w:szCs w:val="18"/>
                <w:lang w:eastAsia="ru-RU"/>
              </w:rPr>
              <w:t> </w:t>
            </w:r>
          </w:p>
        </w:tc>
        <w:tc>
          <w:tcPr>
            <w:tcW w:w="1576" w:type="dxa"/>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sz w:val="18"/>
                <w:szCs w:val="18"/>
                <w:lang w:eastAsia="ru-RU"/>
              </w:rPr>
              <w:t>--</w:t>
            </w:r>
            <w:r>
              <w:rPr>
                <w:rFonts w:eastAsia="Times New Roman" w:cs="Times New Roman" w:ascii="Times New Roman" w:hAnsi="Times New Roman"/>
                <w:color w:val="00000A"/>
                <w:sz w:val="18"/>
                <w:szCs w:val="18"/>
                <w:lang w:eastAsia="ru-RU"/>
              </w:rPr>
              <w:t> </w:t>
            </w:r>
          </w:p>
        </w:tc>
        <w:tc>
          <w:tcPr>
            <w:tcW w:w="1576" w:type="dxa"/>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sz w:val="18"/>
                <w:szCs w:val="18"/>
                <w:lang w:eastAsia="ru-RU"/>
              </w:rPr>
              <w:t>--</w:t>
            </w:r>
            <w:r>
              <w:rPr>
                <w:rFonts w:eastAsia="Times New Roman" w:cs="Times New Roman" w:ascii="Times New Roman" w:hAnsi="Times New Roman"/>
                <w:color w:val="00000A"/>
                <w:sz w:val="18"/>
                <w:szCs w:val="18"/>
                <w:lang w:eastAsia="ru-RU"/>
              </w:rPr>
              <w:t> </w:t>
            </w:r>
          </w:p>
        </w:tc>
        <w:tc>
          <w:tcPr>
            <w:tcW w:w="14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sz w:val="18"/>
                <w:szCs w:val="18"/>
                <w:lang w:eastAsia="ru-RU"/>
              </w:rPr>
              <w:t>--</w:t>
            </w:r>
            <w:r>
              <w:rPr>
                <w:rFonts w:eastAsia="Times New Roman" w:cs="Times New Roman" w:ascii="Times New Roman" w:hAnsi="Times New Roman"/>
                <w:color w:val="00000A"/>
                <w:sz w:val="18"/>
                <w:szCs w:val="18"/>
                <w:lang w:eastAsia="ru-RU"/>
              </w:rPr>
              <w:t> </w:t>
            </w:r>
          </w:p>
        </w:tc>
      </w:tr>
      <w:tr>
        <w:trPr/>
        <w:tc>
          <w:tcPr>
            <w:tcW w:w="310" w:type="dxa"/>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3 </w:t>
            </w:r>
          </w:p>
        </w:tc>
        <w:tc>
          <w:tcPr>
            <w:tcW w:w="1605" w:type="dxa"/>
            <w:tcBorders>
              <w:top w:val="single" w:sz="6" w:space="0" w:color="000001"/>
              <w:left w:val="single" w:sz="6" w:space="0" w:color="000001"/>
              <w:bottom w:val="single" w:sz="6" w:space="0" w:color="000001"/>
              <w:insideH w:val="single" w:sz="6" w:space="0" w:color="000001"/>
            </w:tcBorders>
            <w:shd w:color="auto" w:fill="auto" w:val="clear"/>
            <w:tcMar>
              <w:left w:w="14" w:type="dxa"/>
            </w:tcMar>
          </w:tcPr>
          <w:p>
            <w:pPr>
              <w:pStyle w:val="Normal"/>
              <w:spacing w:lineRule="auto" w:line="240" w:before="0" w:after="0"/>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Специалисты </w:t>
            </w:r>
          </w:p>
        </w:tc>
        <w:tc>
          <w:tcPr>
            <w:tcW w:w="1577" w:type="dxa"/>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95 </w:t>
            </w:r>
          </w:p>
        </w:tc>
        <w:tc>
          <w:tcPr>
            <w:tcW w:w="1576" w:type="dxa"/>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70 </w:t>
            </w:r>
          </w:p>
        </w:tc>
        <w:tc>
          <w:tcPr>
            <w:tcW w:w="1576" w:type="dxa"/>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5 </w:t>
            </w:r>
          </w:p>
        </w:tc>
        <w:tc>
          <w:tcPr>
            <w:tcW w:w="1576" w:type="dxa"/>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1 </w:t>
            </w:r>
          </w:p>
        </w:tc>
        <w:tc>
          <w:tcPr>
            <w:tcW w:w="14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33 </w:t>
            </w:r>
          </w:p>
        </w:tc>
      </w:tr>
      <w:tr>
        <w:trPr>
          <w:trHeight w:val="65" w:hRule="atLeast"/>
        </w:trPr>
        <w:tc>
          <w:tcPr>
            <w:tcW w:w="310" w:type="dxa"/>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4 </w:t>
            </w:r>
          </w:p>
        </w:tc>
        <w:tc>
          <w:tcPr>
            <w:tcW w:w="1605" w:type="dxa"/>
            <w:tcBorders>
              <w:top w:val="single" w:sz="6" w:space="0" w:color="000001"/>
              <w:left w:val="single" w:sz="6" w:space="0" w:color="000001"/>
              <w:bottom w:val="single" w:sz="6" w:space="0" w:color="000001"/>
              <w:insideH w:val="single" w:sz="6" w:space="0" w:color="000001"/>
            </w:tcBorders>
            <w:shd w:color="auto" w:fill="auto" w:val="clear"/>
            <w:tcMar>
              <w:left w:w="14" w:type="dxa"/>
            </w:tcMar>
          </w:tcPr>
          <w:p>
            <w:pPr>
              <w:pStyle w:val="Normal"/>
              <w:spacing w:lineRule="auto" w:line="240" w:before="0" w:after="0"/>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ВСЕГО: </w:t>
            </w:r>
          </w:p>
        </w:tc>
        <w:tc>
          <w:tcPr>
            <w:tcW w:w="1577" w:type="dxa"/>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155 </w:t>
            </w:r>
          </w:p>
        </w:tc>
        <w:tc>
          <w:tcPr>
            <w:tcW w:w="1576" w:type="dxa"/>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114 </w:t>
            </w:r>
          </w:p>
        </w:tc>
        <w:tc>
          <w:tcPr>
            <w:tcW w:w="1576" w:type="dxa"/>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5 </w:t>
            </w:r>
          </w:p>
        </w:tc>
        <w:tc>
          <w:tcPr>
            <w:tcW w:w="1576" w:type="dxa"/>
            <w:tcBorders>
              <w:top w:val="single" w:sz="6" w:space="0" w:color="000001"/>
              <w:left w:val="single" w:sz="6" w:space="0" w:color="000001"/>
              <w:bottom w:val="single" w:sz="6" w:space="0" w:color="000001"/>
              <w:insideH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1 </w:t>
            </w:r>
          </w:p>
        </w:tc>
        <w:tc>
          <w:tcPr>
            <w:tcW w:w="14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14" w:type="dxa"/>
            </w:tcMar>
            <w:vAlign w:val="center"/>
          </w:tcPr>
          <w:p>
            <w:pPr>
              <w:pStyle w:val="Normal"/>
              <w:spacing w:lineRule="auto" w:line="240" w:before="0" w:after="0"/>
              <w:jc w:val="center"/>
              <w:textAlignment w:val="baseline"/>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18"/>
                <w:szCs w:val="18"/>
                <w:lang w:eastAsia="ru-RU"/>
              </w:rPr>
              <w:t>56 </w:t>
            </w:r>
          </w:p>
        </w:tc>
      </w:tr>
    </w:tbl>
    <w:p>
      <w:pPr>
        <w:pStyle w:val="Normal"/>
        <w:spacing w:lineRule="auto" w:line="240" w:before="0" w:after="0"/>
        <w:ind w:firstLine="705"/>
        <w:jc w:val="both"/>
        <w:textAlignment w:val="baseline"/>
        <w:rPr>
          <w:rFonts w:ascii="Times New Roman" w:hAnsi="Times New Roman" w:eastAsia="Times New Roman" w:cs="Times New Roman"/>
          <w:color w:val="00000A"/>
          <w:sz w:val="28"/>
          <w:szCs w:val="28"/>
          <w:lang w:eastAsia="ru-RU"/>
        </w:rPr>
      </w:pPr>
      <w:r>
        <w:rPr>
          <w:rFonts w:eastAsia="Times New Roman" w:cs="Times New Roman" w:ascii="Times New Roman" w:hAnsi="Times New Roman"/>
          <w:color w:val="00000A"/>
          <w:sz w:val="28"/>
          <w:szCs w:val="28"/>
          <w:lang w:eastAsia="ru-RU"/>
        </w:rPr>
      </w:r>
    </w:p>
    <w:p>
      <w:pPr>
        <w:pStyle w:val="Normal"/>
        <w:spacing w:lineRule="auto" w:line="240" w:before="0" w:after="0"/>
        <w:ind w:firstLine="705"/>
        <w:jc w:val="both"/>
        <w:textAlignment w:val="baseline"/>
        <w:rPr>
          <w:rFonts w:ascii="Segoe UI" w:hAnsi="Segoe UI" w:eastAsia="Times New Roman" w:cs="Segoe UI"/>
          <w:color w:val="00000A"/>
          <w:sz w:val="18"/>
          <w:szCs w:val="18"/>
          <w:lang w:eastAsia="ru-RU"/>
        </w:rPr>
      </w:pPr>
      <w:r>
        <w:rPr>
          <w:rFonts w:eastAsia="Times New Roman" w:cs="Times New Roman" w:ascii="Times New Roman" w:hAnsi="Times New Roman"/>
          <w:color w:val="00000A"/>
          <w:sz w:val="28"/>
          <w:szCs w:val="28"/>
          <w:lang w:eastAsia="ru-RU"/>
        </w:rPr>
        <w:t>В настоящее время в штате органов местного самоуправления города-курорта Железноводска Ставропольского края 160 человек, из них  </w:t>
        <w:br/>
        <w:t xml:space="preserve">35 мужчин, 125 женщин. Возрастная структура: от 20-35 лет - 65 человек, от </w:t>
        <w:br/>
        <w:t>35-50 – 61 человек, свыше 50 – 34 человека. Это свидетельствует об оптимальном сочетании молодых кадров, имеющих современное образование и зрелых, обладающих опытом профессиональной деятельности. </w:t>
      </w:r>
    </w:p>
    <w:p>
      <w:pPr>
        <w:pStyle w:val="Normal"/>
        <w:spacing w:lineRule="auto" w:line="240" w:before="0" w:after="0"/>
        <w:ind w:firstLine="705"/>
        <w:jc w:val="both"/>
        <w:textAlignment w:val="baseline"/>
        <w:rPr>
          <w:rFonts w:ascii="Segoe UI" w:hAnsi="Segoe UI" w:eastAsia="Times New Roman" w:cs="Segoe UI"/>
          <w:color w:val="00000A"/>
          <w:sz w:val="18"/>
          <w:szCs w:val="18"/>
          <w:lang w:eastAsia="ru-RU"/>
        </w:rPr>
      </w:pPr>
      <w:r>
        <w:rPr>
          <w:rFonts w:eastAsia="Times New Roman" w:cs="Times New Roman" w:ascii="Times New Roman" w:hAnsi="Times New Roman"/>
          <w:sz w:val="28"/>
          <w:szCs w:val="28"/>
          <w:lang w:eastAsia="ru-RU"/>
        </w:rPr>
        <w:t>Достаточно высок уровень образования служащих: 97 % имеют высшее профессиональное образование, в том числе соответствующее направлению деятельности - 71 %, 3 % - среднее профессиональное, из них по профилю – 20 %. Прошли повышение квалификации в последние 3 года - 56 чел., что составляет всего 35 % от численности, из них 23 категории руководители и </w:t>
      </w:r>
      <w:r>
        <w:rPr>
          <w:rFonts w:eastAsia="Times New Roman" w:cs="Times New Roman" w:ascii="Times New Roman" w:hAnsi="Times New Roman"/>
          <w:color w:val="00000A"/>
          <w:sz w:val="28"/>
          <w:szCs w:val="28"/>
          <w:lang w:eastAsia="ru-RU"/>
        </w:rPr>
        <w:t> </w:t>
        <w:br/>
      </w:r>
      <w:r>
        <w:rPr>
          <w:rFonts w:eastAsia="Times New Roman" w:cs="Times New Roman" w:ascii="Times New Roman" w:hAnsi="Times New Roman"/>
          <w:sz w:val="28"/>
          <w:szCs w:val="28"/>
          <w:lang w:eastAsia="ru-RU"/>
        </w:rPr>
        <w:t>33 категории специалисты.</w:t>
      </w:r>
      <w:r>
        <w:rPr>
          <w:rFonts w:eastAsia="Times New Roman" w:cs="Times New Roman" w:ascii="Times New Roman" w:hAnsi="Times New Roman"/>
          <w:color w:val="00000A"/>
          <w:sz w:val="28"/>
          <w:szCs w:val="28"/>
          <w:lang w:eastAsia="ru-RU"/>
        </w:rPr>
        <w:t> </w:t>
      </w:r>
    </w:p>
    <w:p>
      <w:pPr>
        <w:pStyle w:val="Paragraph"/>
        <w:spacing w:beforeAutospacing="0" w:before="0" w:afterAutospacing="0" w:after="0"/>
        <w:ind w:firstLine="720"/>
        <w:jc w:val="both"/>
        <w:textAlignment w:val="baseline"/>
        <w:rPr>
          <w:rFonts w:ascii="Arial" w:hAnsi="Arial" w:cs="Arial"/>
          <w:color w:val="000000"/>
          <w:sz w:val="26"/>
          <w:szCs w:val="26"/>
        </w:rPr>
      </w:pPr>
      <w:r>
        <w:rPr>
          <w:rFonts w:cs="Arial" w:ascii="Arial" w:hAnsi="Arial"/>
          <w:color w:val="000000"/>
          <w:sz w:val="26"/>
          <w:szCs w:val="26"/>
        </w:rPr>
      </w:r>
    </w:p>
    <w:p>
      <w:pPr>
        <w:pStyle w:val="3"/>
        <w:rPr>
          <w:b w:val="false"/>
          <w:b w:val="false"/>
        </w:rPr>
      </w:pPr>
      <w:bookmarkStart w:id="10" w:name="_Toc11337742"/>
      <w:r>
        <w:rPr>
          <w:b w:val="false"/>
        </w:rPr>
        <w:t xml:space="preserve">1.2.4 </w:t>
      </w:r>
      <w:r>
        <w:rPr>
          <w:b w:val="false"/>
          <w:lang w:val="en-US"/>
        </w:rPr>
        <w:t>SWOT</w:t>
      </w:r>
      <w:bookmarkEnd w:id="10"/>
      <w:r>
        <w:rPr>
          <w:b w:val="false"/>
        </w:rPr>
        <w:t>-анализ факторов, влияющих на социально-экономическое развитие города-курорта Железноводска</w:t>
      </w:r>
    </w:p>
    <w:p>
      <w:pPr>
        <w:pStyle w:val="Paragraph"/>
        <w:spacing w:beforeAutospacing="0" w:before="0" w:afterAutospacing="0" w:after="0"/>
        <w:ind w:firstLine="720"/>
        <w:jc w:val="center"/>
        <w:textAlignment w:val="baseline"/>
        <w:rPr>
          <w:b/>
          <w:b/>
          <w:bCs/>
          <w:sz w:val="28"/>
          <w:szCs w:val="28"/>
        </w:rPr>
      </w:pPr>
      <w:r>
        <w:rPr>
          <w:b/>
          <w:bCs/>
          <w:sz w:val="28"/>
          <w:szCs w:val="28"/>
        </w:rPr>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Представить в систематизированном виде сильные и слабые стороны города-курорта Железноводска Ставропольского края, выявить возможности повышения эффективности использования имеющегося ресурсного потенциала позволяет SWOT-анализ.</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SWOT-анализ города-курорта Железноводска Ставропольского края заключается в поиске положительных и отрицательных сторон привлекательности города-курорта Железноводска Ставропольского края, а также прогнозировании предполагаемых возможностей или угроз. На основании SWOT-анализа города-курорта Железноводска Ставропольского края строится Стратегия развития города-курорта Железноводска Ставропольского края, ко</w:t>
        <w:softHyphen/>
        <w:t>торая учитывает сильные и слабые стороны привлекательности города-курорта Железноводска Ставропольского края, а также возможности развития муниципального образования.</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Анализ и оценка состояния и динамики социально-экономического развития, поиск положительных и отрицательных сторон привлекательности города -курорта Железноводска, позволил определить внутренние резервы и ограничения (сильные и слабые стороны города-курорта Железноводска) и внешние возможности и угрозы перспективного развития города (таблица 26). На основании SWOT-анализа города-курорта Железноводска Ставропольского края выявлены следующие сильные и слабые стороны привлекательности города-курорта Железноводска Ставропольского края:</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ConsPlusNormal"/>
        <w:ind w:firstLine="709"/>
        <w:jc w:val="right"/>
        <w:rPr>
          <w:rFonts w:ascii="Times New Roman" w:hAnsi="Times New Roman" w:cs="Times New Roman"/>
          <w:b/>
          <w:b/>
          <w:sz w:val="24"/>
          <w:szCs w:val="28"/>
        </w:rPr>
      </w:pPr>
      <w:r>
        <w:rPr>
          <w:rFonts w:cs="Times New Roman" w:ascii="Times New Roman" w:hAnsi="Times New Roman"/>
          <w:b/>
          <w:sz w:val="24"/>
          <w:szCs w:val="28"/>
        </w:rPr>
        <w:t>Таблица 14</w:t>
      </w:r>
    </w:p>
    <w:p>
      <w:pPr>
        <w:pStyle w:val="ConsPlusNormal"/>
        <w:ind w:firstLine="709"/>
        <w:jc w:val="center"/>
        <w:rPr>
          <w:rFonts w:ascii="Times New Roman" w:hAnsi="Times New Roman" w:cs="Times New Roman"/>
          <w:b/>
          <w:b/>
          <w:sz w:val="24"/>
          <w:szCs w:val="28"/>
        </w:rPr>
      </w:pPr>
      <w:r>
        <w:rPr>
          <w:rFonts w:cs="Times New Roman" w:ascii="Times New Roman" w:hAnsi="Times New Roman"/>
          <w:b/>
          <w:sz w:val="24"/>
          <w:szCs w:val="28"/>
        </w:rPr>
        <w:t>SWOT-анализ социально-экономического развития города-курорта Железноводска</w:t>
      </w:r>
    </w:p>
    <w:tbl>
      <w:tblPr>
        <w:tblW w:w="9639" w:type="dxa"/>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Look w:noVBand="0" w:val="0000" w:noHBand="0" w:lastColumn="0" w:firstColumn="0" w:lastRow="0" w:firstRow="0"/>
      </w:tblPr>
      <w:tblGrid>
        <w:gridCol w:w="1838"/>
        <w:gridCol w:w="3974"/>
        <w:gridCol w:w="3827"/>
      </w:tblGrid>
      <w:tr>
        <w:trPr/>
        <w:tc>
          <w:tcPr>
            <w:tcW w:w="9639"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D9D9D9" w:val="clear"/>
            <w:tcMar>
              <w:left w:w="103" w:type="dxa"/>
            </w:tcMar>
          </w:tcPr>
          <w:p>
            <w:pPr>
              <w:pStyle w:val="ConsPlusNormal"/>
              <w:ind w:firstLine="709"/>
              <w:jc w:val="center"/>
              <w:rPr>
                <w:rFonts w:ascii="Times New Roman" w:hAnsi="Times New Roman" w:cs="Times New Roman"/>
                <w:b/>
                <w:b/>
                <w:sz w:val="28"/>
                <w:szCs w:val="28"/>
              </w:rPr>
            </w:pPr>
            <w:r>
              <w:rPr>
                <w:rFonts w:cs="Times New Roman" w:ascii="Times New Roman" w:hAnsi="Times New Roman"/>
                <w:b/>
                <w:sz w:val="28"/>
                <w:szCs w:val="28"/>
              </w:rPr>
              <w:t>Факторы внутренней среды</w:t>
            </w:r>
          </w:p>
        </w:tc>
      </w:tr>
      <w:tr>
        <w:trPr/>
        <w:tc>
          <w:tcPr>
            <w:tcW w:w="1838" w:type="dxa"/>
            <w:tcBorders>
              <w:top w:val="single" w:sz="4" w:space="0" w:color="000001"/>
              <w:left w:val="single" w:sz="4" w:space="0" w:color="000001"/>
              <w:bottom w:val="single" w:sz="4" w:space="0" w:color="000001"/>
              <w:insideH w:val="single" w:sz="4" w:space="0" w:color="000001"/>
            </w:tcBorders>
            <w:shd w:color="auto" w:fill="FFFFFF" w:themeFill="background1" w:val="clear"/>
            <w:tcMar>
              <w:left w:w="103" w:type="dxa"/>
            </w:tcMar>
          </w:tcPr>
          <w:p>
            <w:pPr>
              <w:pStyle w:val="Normal"/>
              <w:spacing w:lineRule="auto" w:line="240" w:before="0" w:after="0"/>
              <w:jc w:val="center"/>
              <w:rPr>
                <w:rFonts w:ascii="Times New Roman" w:hAnsi="Times New Roman" w:cs="Times New Roman"/>
                <w:b/>
                <w:b/>
                <w:bCs/>
                <w:sz w:val="28"/>
                <w:szCs w:val="28"/>
              </w:rPr>
            </w:pPr>
            <w:r>
              <w:rPr>
                <w:rFonts w:cs="Times New Roman" w:ascii="Times New Roman" w:hAnsi="Times New Roman"/>
                <w:b/>
                <w:bCs/>
                <w:sz w:val="28"/>
                <w:szCs w:val="28"/>
              </w:rPr>
              <w:t>Аспект</w:t>
            </w:r>
          </w:p>
        </w:tc>
        <w:tc>
          <w:tcPr>
            <w:tcW w:w="3974" w:type="dxa"/>
            <w:tcBorders>
              <w:top w:val="single" w:sz="4" w:space="0" w:color="000001"/>
              <w:left w:val="single" w:sz="4" w:space="0" w:color="000001"/>
              <w:bottom w:val="single" w:sz="4" w:space="0" w:color="000001"/>
              <w:insideH w:val="single" w:sz="4" w:space="0" w:color="000001"/>
            </w:tcBorders>
            <w:shd w:color="auto" w:fill="FFFFFF" w:themeFill="background1" w:val="clear"/>
            <w:tcMar>
              <w:left w:w="103" w:type="dxa"/>
            </w:tcMar>
          </w:tcPr>
          <w:p>
            <w:pPr>
              <w:pStyle w:val="Normal"/>
              <w:spacing w:lineRule="auto" w:line="240" w:before="0" w:after="0"/>
              <w:jc w:val="center"/>
              <w:rPr>
                <w:rFonts w:ascii="Times New Roman" w:hAnsi="Times New Roman" w:cs="Times New Roman"/>
                <w:b/>
                <w:b/>
                <w:bCs/>
                <w:sz w:val="28"/>
                <w:szCs w:val="28"/>
              </w:rPr>
            </w:pPr>
            <w:r>
              <w:rPr>
                <w:rFonts w:cs="Times New Roman" w:ascii="Times New Roman" w:hAnsi="Times New Roman"/>
                <w:b/>
                <w:bCs/>
                <w:sz w:val="28"/>
                <w:szCs w:val="28"/>
              </w:rPr>
              <w:t>Сильные стороны (S)</w:t>
            </w:r>
          </w:p>
        </w:tc>
        <w:tc>
          <w:tcPr>
            <w:tcW w:w="38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themeFill="background1" w:val="clear"/>
            <w:tcMar>
              <w:left w:w="103" w:type="dxa"/>
            </w:tcMar>
          </w:tcPr>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b/>
                <w:bCs/>
                <w:sz w:val="28"/>
                <w:szCs w:val="28"/>
              </w:rPr>
              <w:t>Слабые стороны (W)</w:t>
            </w:r>
          </w:p>
        </w:tc>
      </w:tr>
      <w:tr>
        <w:trPr/>
        <w:tc>
          <w:tcPr>
            <w:tcW w:w="1838" w:type="dxa"/>
            <w:tcBorders>
              <w:top w:val="single" w:sz="4" w:space="0" w:color="000001"/>
              <w:left w:val="single" w:sz="4" w:space="0" w:color="000001"/>
              <w:bottom w:val="single" w:sz="4" w:space="0" w:color="000001"/>
              <w:insideH w:val="single" w:sz="4" w:space="0" w:color="000001"/>
            </w:tcBorders>
            <w:shd w:color="auto" w:fill="FFFFFF" w:themeFill="background1" w:val="clear"/>
            <w:tcMar>
              <w:left w:w="103" w:type="dxa"/>
            </w:tcMar>
          </w:tcPr>
          <w:p>
            <w:pPr>
              <w:pStyle w:val="Normal"/>
              <w:tabs>
                <w:tab w:val="left" w:pos="180" w:leader="none"/>
                <w:tab w:val="left" w:pos="360" w:leader="none"/>
              </w:tabs>
              <w:spacing w:lineRule="auto" w:line="240" w:before="0" w:after="0"/>
              <w:ind w:right="0" w:hanging="0"/>
              <w:rPr>
                <w:rFonts w:ascii="Times New Roman" w:hAnsi="Times New Roman" w:cs="Times New Roman"/>
                <w:sz w:val="28"/>
                <w:szCs w:val="28"/>
              </w:rPr>
            </w:pPr>
            <w:r>
              <w:rPr>
                <w:rFonts w:cs="Times New Roman" w:ascii="Times New Roman" w:hAnsi="Times New Roman"/>
                <w:sz w:val="28"/>
                <w:szCs w:val="28"/>
              </w:rPr>
              <w:t>Пространство</w:t>
            </w:r>
          </w:p>
        </w:tc>
        <w:tc>
          <w:tcPr>
            <w:tcW w:w="3974" w:type="dxa"/>
            <w:tcBorders>
              <w:top w:val="single" w:sz="4" w:space="0" w:color="000001"/>
              <w:left w:val="single" w:sz="4" w:space="0" w:color="000001"/>
              <w:bottom w:val="single" w:sz="4" w:space="0" w:color="000001"/>
              <w:insideH w:val="single" w:sz="4" w:space="0" w:color="000001"/>
            </w:tcBorders>
            <w:shd w:color="auto" w:fill="FFFFFF" w:themeFill="background1" w:val="clear"/>
            <w:tcMar>
              <w:left w:w="103" w:type="dxa"/>
            </w:tcMar>
          </w:tcPr>
          <w:p>
            <w:pPr>
              <w:pStyle w:val="Normal"/>
              <w:numPr>
                <w:ilvl w:val="0"/>
                <w:numId w:val="3"/>
              </w:numPr>
              <w:tabs>
                <w:tab w:val="left" w:pos="180" w:leader="none"/>
                <w:tab w:val="left" w:pos="360" w:leader="none"/>
              </w:tabs>
              <w:spacing w:lineRule="auto" w:line="240" w:before="0" w:after="0"/>
              <w:ind w:left="180" w:hanging="0"/>
              <w:rPr>
                <w:rFonts w:ascii="Times New Roman" w:hAnsi="Times New Roman" w:cs="Times New Roman"/>
                <w:sz w:val="28"/>
                <w:szCs w:val="28"/>
              </w:rPr>
            </w:pPr>
            <w:r>
              <w:rPr>
                <w:rFonts w:cs="Times New Roman" w:ascii="Times New Roman" w:hAnsi="Times New Roman"/>
                <w:sz w:val="28"/>
                <w:szCs w:val="28"/>
              </w:rPr>
              <w:t>высокий природно-ресурсный потенциал</w:t>
            </w:r>
          </w:p>
          <w:p>
            <w:pPr>
              <w:pStyle w:val="Normal"/>
              <w:tabs>
                <w:tab w:val="left" w:pos="180" w:leader="none"/>
                <w:tab w:val="left" w:pos="360" w:leader="none"/>
              </w:tabs>
              <w:spacing w:lineRule="auto" w:line="240" w:before="0" w:after="0"/>
              <w:ind w:left="180" w:hanging="0"/>
              <w:rPr>
                <w:rFonts w:ascii="Times New Roman" w:hAnsi="Times New Roman" w:cs="Times New Roman"/>
                <w:sz w:val="28"/>
                <w:szCs w:val="28"/>
              </w:rPr>
            </w:pPr>
            <w:r>
              <w:rPr>
                <w:rFonts w:cs="Times New Roman" w:ascii="Times New Roman" w:hAnsi="Times New Roman"/>
                <w:sz w:val="28"/>
                <w:szCs w:val="28"/>
              </w:rPr>
              <w:t xml:space="preserve">(хорошие климатические и природные условия, чистый атмосферный воздух, наличие уникальных бальнеологических ресурсов); </w:t>
            </w:r>
          </w:p>
          <w:p>
            <w:pPr>
              <w:pStyle w:val="Normal"/>
              <w:numPr>
                <w:ilvl w:val="0"/>
                <w:numId w:val="3"/>
              </w:numPr>
              <w:tabs>
                <w:tab w:val="left" w:pos="180" w:leader="none"/>
                <w:tab w:val="left" w:pos="360" w:leader="none"/>
              </w:tabs>
              <w:spacing w:lineRule="auto" w:line="240" w:before="0" w:after="0"/>
              <w:ind w:left="180" w:hanging="0"/>
              <w:rPr>
                <w:rFonts w:ascii="Times New Roman" w:hAnsi="Times New Roman" w:cs="Times New Roman"/>
                <w:sz w:val="28"/>
                <w:szCs w:val="28"/>
              </w:rPr>
            </w:pPr>
            <w:r>
              <w:rPr>
                <w:rFonts w:cs="Times New Roman" w:ascii="Times New Roman" w:hAnsi="Times New Roman"/>
                <w:sz w:val="28"/>
                <w:szCs w:val="28"/>
              </w:rPr>
              <w:t>уникальный ландшафт и большие площади лесных массивов;</w:t>
            </w:r>
          </w:p>
          <w:p>
            <w:pPr>
              <w:pStyle w:val="Normal"/>
              <w:numPr>
                <w:ilvl w:val="0"/>
                <w:numId w:val="3"/>
              </w:numPr>
              <w:tabs>
                <w:tab w:val="left" w:pos="180" w:leader="none"/>
                <w:tab w:val="left" w:pos="360" w:leader="none"/>
              </w:tabs>
              <w:spacing w:lineRule="auto" w:line="240" w:before="0" w:after="0"/>
              <w:ind w:left="180" w:hanging="0"/>
              <w:rPr>
                <w:rFonts w:ascii="Times New Roman" w:hAnsi="Times New Roman" w:cs="Times New Roman"/>
                <w:sz w:val="28"/>
                <w:szCs w:val="28"/>
              </w:rPr>
            </w:pPr>
            <w:r>
              <w:rPr>
                <w:rFonts w:cs="Times New Roman" w:ascii="Times New Roman" w:hAnsi="Times New Roman"/>
                <w:sz w:val="28"/>
                <w:szCs w:val="28"/>
              </w:rPr>
              <w:t>высокий уровень озеленения, большое количество цветников, ковровых партеров;</w:t>
            </w:r>
          </w:p>
          <w:p>
            <w:pPr>
              <w:pStyle w:val="Normal"/>
              <w:numPr>
                <w:ilvl w:val="0"/>
                <w:numId w:val="3"/>
              </w:numPr>
              <w:tabs>
                <w:tab w:val="left" w:pos="180" w:leader="none"/>
                <w:tab w:val="left" w:pos="360" w:leader="none"/>
              </w:tabs>
              <w:spacing w:lineRule="auto" w:line="240" w:before="0" w:after="0"/>
              <w:ind w:left="180" w:hanging="0"/>
              <w:rPr>
                <w:rFonts w:ascii="Times New Roman" w:hAnsi="Times New Roman" w:cs="Times New Roman"/>
                <w:color w:val="000000"/>
                <w:sz w:val="28"/>
                <w:szCs w:val="28"/>
              </w:rPr>
            </w:pPr>
            <w:r>
              <w:rPr>
                <w:rFonts w:cs="Times New Roman" w:ascii="Times New Roman" w:hAnsi="Times New Roman"/>
                <w:color w:val="000000"/>
                <w:sz w:val="28"/>
                <w:szCs w:val="28"/>
              </w:rPr>
              <w:t xml:space="preserve">благоприятная экологическая обстановка в городе; </w:t>
            </w:r>
          </w:p>
          <w:p>
            <w:pPr>
              <w:pStyle w:val="Normal"/>
              <w:numPr>
                <w:ilvl w:val="0"/>
                <w:numId w:val="3"/>
              </w:numPr>
              <w:tabs>
                <w:tab w:val="left" w:pos="180" w:leader="none"/>
                <w:tab w:val="left" w:pos="360" w:leader="none"/>
              </w:tabs>
              <w:spacing w:lineRule="auto" w:line="240" w:before="0" w:after="0"/>
              <w:ind w:left="180" w:hanging="0"/>
              <w:rPr>
                <w:rFonts w:ascii="Times New Roman" w:hAnsi="Times New Roman" w:cs="Times New Roman"/>
                <w:sz w:val="28"/>
                <w:szCs w:val="28"/>
              </w:rPr>
            </w:pPr>
            <w:r>
              <w:rPr>
                <w:rFonts w:cs="Times New Roman" w:ascii="Times New Roman" w:hAnsi="Times New Roman"/>
                <w:sz w:val="28"/>
                <w:szCs w:val="28"/>
              </w:rPr>
              <w:t>выгодное транспортно-географическое положение города-курорта Железноводска;</w:t>
            </w:r>
          </w:p>
          <w:p>
            <w:pPr>
              <w:pStyle w:val="Normal"/>
              <w:numPr>
                <w:ilvl w:val="0"/>
                <w:numId w:val="3"/>
              </w:numPr>
              <w:tabs>
                <w:tab w:val="left" w:pos="180" w:leader="none"/>
                <w:tab w:val="left" w:pos="360" w:leader="none"/>
              </w:tabs>
              <w:spacing w:lineRule="auto" w:line="240" w:before="0" w:after="0"/>
              <w:ind w:left="180" w:hanging="0"/>
              <w:rPr>
                <w:rFonts w:ascii="Times New Roman" w:hAnsi="Times New Roman" w:cs="Times New Roman"/>
                <w:color w:val="000000"/>
                <w:sz w:val="28"/>
                <w:szCs w:val="28"/>
              </w:rPr>
            </w:pPr>
            <w:r>
              <w:rPr>
                <w:rFonts w:cs="Times New Roman" w:ascii="Times New Roman" w:hAnsi="Times New Roman"/>
                <w:sz w:val="28"/>
                <w:szCs w:val="28"/>
              </w:rPr>
              <w:t xml:space="preserve">сложившаяся рекреационная структура, богатое культурное и </w:t>
            </w:r>
            <w:r>
              <w:rPr>
                <w:rFonts w:cs="Times New Roman" w:ascii="Times New Roman" w:hAnsi="Times New Roman"/>
                <w:color w:val="000000"/>
                <w:sz w:val="28"/>
                <w:szCs w:val="28"/>
              </w:rPr>
              <w:t>историческое наследие (множество исторических, природных, архитектурных памятников);</w:t>
            </w:r>
          </w:p>
          <w:p>
            <w:pPr>
              <w:pStyle w:val="Normal"/>
              <w:numPr>
                <w:ilvl w:val="0"/>
                <w:numId w:val="3"/>
              </w:numPr>
              <w:tabs>
                <w:tab w:val="left" w:pos="180" w:leader="none"/>
                <w:tab w:val="left" w:pos="360" w:leader="none"/>
              </w:tabs>
              <w:spacing w:lineRule="auto" w:line="240" w:before="0" w:after="0"/>
              <w:ind w:left="180" w:hanging="0"/>
              <w:rPr>
                <w:rFonts w:ascii="Times New Roman" w:hAnsi="Times New Roman" w:cs="Times New Roman"/>
                <w:color w:val="000000"/>
                <w:sz w:val="28"/>
                <w:szCs w:val="28"/>
              </w:rPr>
            </w:pPr>
            <w:r>
              <w:rPr>
                <w:rFonts w:cs="Times New Roman" w:ascii="Times New Roman" w:hAnsi="Times New Roman"/>
                <w:color w:val="000000"/>
                <w:sz w:val="28"/>
                <w:szCs w:val="28"/>
              </w:rPr>
              <w:t>создание велотерренкуров, объединяющие города региона КМВ;</w:t>
            </w:r>
          </w:p>
        </w:tc>
        <w:tc>
          <w:tcPr>
            <w:tcW w:w="38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themeFill="background1" w:val="clear"/>
            <w:tcMar>
              <w:left w:w="103" w:type="dxa"/>
            </w:tcMar>
          </w:tcPr>
          <w:p>
            <w:pPr>
              <w:pStyle w:val="Normal"/>
              <w:numPr>
                <w:ilvl w:val="0"/>
                <w:numId w:val="3"/>
              </w:numPr>
              <w:tabs>
                <w:tab w:val="left" w:pos="180" w:leader="none"/>
                <w:tab w:val="left" w:pos="360" w:leader="none"/>
              </w:tabs>
              <w:spacing w:lineRule="auto" w:line="240" w:before="0" w:after="0"/>
              <w:ind w:left="180" w:hanging="0"/>
              <w:rPr>
                <w:rFonts w:ascii="Times New Roman" w:hAnsi="Times New Roman" w:cs="Times New Roman"/>
                <w:sz w:val="28"/>
                <w:szCs w:val="28"/>
              </w:rPr>
            </w:pPr>
            <w:r>
              <w:rPr>
                <w:rFonts w:cs="Times New Roman" w:ascii="Times New Roman" w:hAnsi="Times New Roman"/>
                <w:sz w:val="28"/>
                <w:szCs w:val="28"/>
              </w:rPr>
              <w:t>неудовлетворительное состояние лесопарковой зоны и терренкуров;</w:t>
            </w:r>
          </w:p>
          <w:p>
            <w:pPr>
              <w:pStyle w:val="Normal"/>
              <w:numPr>
                <w:ilvl w:val="0"/>
                <w:numId w:val="3"/>
              </w:numPr>
              <w:tabs>
                <w:tab w:val="left" w:pos="180" w:leader="none"/>
                <w:tab w:val="left" w:pos="360" w:leader="none"/>
              </w:tabs>
              <w:spacing w:lineRule="auto" w:line="240" w:before="0" w:after="0"/>
              <w:ind w:left="180" w:hanging="0"/>
              <w:rPr>
                <w:rFonts w:ascii="Times New Roman" w:hAnsi="Times New Roman" w:cs="Times New Roman"/>
                <w:sz w:val="28"/>
                <w:szCs w:val="28"/>
              </w:rPr>
            </w:pPr>
            <w:r>
              <w:rPr>
                <w:rFonts w:cs="Times New Roman" w:ascii="Times New Roman" w:hAnsi="Times New Roman"/>
                <w:sz w:val="28"/>
                <w:szCs w:val="28"/>
              </w:rPr>
              <w:t xml:space="preserve">высокий уровень износа коммунальной инфраструктуры; </w:t>
            </w:r>
          </w:p>
          <w:p>
            <w:pPr>
              <w:pStyle w:val="Normal"/>
              <w:numPr>
                <w:ilvl w:val="0"/>
                <w:numId w:val="3"/>
              </w:numPr>
              <w:tabs>
                <w:tab w:val="left" w:pos="180" w:leader="none"/>
                <w:tab w:val="left" w:pos="360" w:leader="none"/>
              </w:tabs>
              <w:spacing w:lineRule="auto" w:line="240" w:before="0" w:after="0"/>
              <w:ind w:left="180" w:hanging="0"/>
              <w:rPr>
                <w:rFonts w:ascii="Times New Roman" w:hAnsi="Times New Roman" w:cs="Times New Roman"/>
                <w:sz w:val="28"/>
                <w:szCs w:val="28"/>
              </w:rPr>
            </w:pPr>
            <w:r>
              <w:rPr>
                <w:rFonts w:cs="Times New Roman" w:ascii="Times New Roman" w:hAnsi="Times New Roman"/>
                <w:sz w:val="28"/>
                <w:szCs w:val="28"/>
              </w:rPr>
              <w:t xml:space="preserve">дефицит площади под застройку; </w:t>
            </w:r>
          </w:p>
          <w:p>
            <w:pPr>
              <w:pStyle w:val="Normal"/>
              <w:numPr>
                <w:ilvl w:val="0"/>
                <w:numId w:val="3"/>
              </w:numPr>
              <w:tabs>
                <w:tab w:val="left" w:pos="180" w:leader="none"/>
                <w:tab w:val="left" w:pos="360" w:leader="none"/>
              </w:tabs>
              <w:spacing w:lineRule="auto" w:line="240" w:before="0" w:after="0"/>
              <w:ind w:left="180" w:hanging="0"/>
              <w:rPr>
                <w:rFonts w:ascii="Times New Roman" w:hAnsi="Times New Roman" w:cs="Times New Roman"/>
                <w:sz w:val="28"/>
                <w:szCs w:val="28"/>
              </w:rPr>
            </w:pPr>
            <w:r>
              <w:rPr>
                <w:rFonts w:cs="Times New Roman" w:ascii="Times New Roman" w:hAnsi="Times New Roman"/>
                <w:sz w:val="28"/>
                <w:szCs w:val="28"/>
              </w:rPr>
              <w:t>отсутствие площадок для под промышленные производства;</w:t>
            </w:r>
          </w:p>
          <w:p>
            <w:pPr>
              <w:pStyle w:val="Normal"/>
              <w:numPr>
                <w:ilvl w:val="0"/>
                <w:numId w:val="3"/>
              </w:numPr>
              <w:tabs>
                <w:tab w:val="left" w:pos="180" w:leader="none"/>
                <w:tab w:val="left" w:pos="360" w:leader="none"/>
              </w:tabs>
              <w:spacing w:lineRule="auto" w:line="240" w:before="0" w:after="0"/>
              <w:ind w:left="180" w:hanging="0"/>
              <w:rPr>
                <w:rFonts w:ascii="Times New Roman" w:hAnsi="Times New Roman" w:cs="Times New Roman"/>
                <w:sz w:val="28"/>
                <w:szCs w:val="28"/>
              </w:rPr>
            </w:pPr>
            <w:r>
              <w:rPr>
                <w:rFonts w:cs="Times New Roman" w:ascii="Times New Roman" w:hAnsi="Times New Roman"/>
                <w:sz w:val="28"/>
                <w:szCs w:val="28"/>
              </w:rPr>
              <w:t>инфраструктурная неосвоенность свободных территорий;</w:t>
            </w:r>
          </w:p>
          <w:p>
            <w:pPr>
              <w:pStyle w:val="Normal"/>
              <w:numPr>
                <w:ilvl w:val="0"/>
                <w:numId w:val="3"/>
              </w:numPr>
              <w:tabs>
                <w:tab w:val="left" w:pos="180" w:leader="none"/>
                <w:tab w:val="left" w:pos="360" w:leader="none"/>
              </w:tabs>
              <w:spacing w:lineRule="auto" w:line="240" w:before="0" w:after="0"/>
              <w:ind w:left="180" w:hanging="0"/>
              <w:rPr>
                <w:rFonts w:ascii="Times New Roman" w:hAnsi="Times New Roman" w:cs="Times New Roman"/>
                <w:sz w:val="28"/>
                <w:szCs w:val="28"/>
              </w:rPr>
            </w:pPr>
            <w:r>
              <w:rPr>
                <w:rFonts w:cs="Times New Roman" w:ascii="Times New Roman" w:hAnsi="Times New Roman"/>
                <w:sz w:val="28"/>
                <w:szCs w:val="28"/>
              </w:rPr>
              <w:t>наличие недостроенных и долгостроящихся и простаивающих объектов недвижимости;</w:t>
            </w:r>
          </w:p>
          <w:p>
            <w:pPr>
              <w:pStyle w:val="Normal"/>
              <w:tabs>
                <w:tab w:val="left" w:pos="180" w:leader="none"/>
                <w:tab w:val="left" w:pos="360" w:leader="none"/>
              </w:tabs>
              <w:spacing w:lineRule="auto" w:line="240" w:before="0" w:after="0"/>
              <w:ind w:left="180" w:hanging="0"/>
              <w:rPr>
                <w:rFonts w:ascii="Times New Roman" w:hAnsi="Times New Roman" w:cs="Times New Roman"/>
                <w:sz w:val="28"/>
                <w:szCs w:val="28"/>
              </w:rPr>
            </w:pPr>
            <w:r>
              <w:rPr>
                <w:rFonts w:cs="Times New Roman" w:ascii="Times New Roman" w:hAnsi="Times New Roman"/>
                <w:sz w:val="28"/>
                <w:szCs w:val="28"/>
              </w:rPr>
            </w:r>
          </w:p>
        </w:tc>
      </w:tr>
      <w:tr>
        <w:trPr/>
        <w:tc>
          <w:tcPr>
            <w:tcW w:w="1838" w:type="dxa"/>
            <w:tcBorders>
              <w:top w:val="single" w:sz="4" w:space="0" w:color="000001"/>
              <w:left w:val="single" w:sz="4" w:space="0" w:color="000001"/>
              <w:bottom w:val="single" w:sz="4" w:space="0" w:color="000001"/>
              <w:insideH w:val="single" w:sz="4" w:space="0" w:color="000001"/>
            </w:tcBorders>
            <w:shd w:color="auto" w:fill="FFFFFF" w:themeFill="background1" w:val="clear"/>
            <w:tcMar>
              <w:left w:w="103" w:type="dxa"/>
            </w:tcMar>
          </w:tcPr>
          <w:p>
            <w:pPr>
              <w:pStyle w:val="Normal"/>
              <w:tabs>
                <w:tab w:val="left" w:pos="180" w:leader="none"/>
                <w:tab w:val="left" w:pos="360" w:leader="none"/>
              </w:tabs>
              <w:spacing w:lineRule="auto" w:line="240" w:before="0" w:after="0"/>
              <w:rPr>
                <w:rFonts w:ascii="Times New Roman" w:hAnsi="Times New Roman" w:cs="Times New Roman"/>
                <w:sz w:val="28"/>
                <w:szCs w:val="28"/>
              </w:rPr>
            </w:pPr>
            <w:r>
              <w:rPr>
                <w:rFonts w:cs="Times New Roman" w:ascii="Times New Roman" w:hAnsi="Times New Roman"/>
                <w:sz w:val="28"/>
                <w:szCs w:val="28"/>
              </w:rPr>
              <w:t>Экономика</w:t>
            </w:r>
          </w:p>
        </w:tc>
        <w:tc>
          <w:tcPr>
            <w:tcW w:w="3974" w:type="dxa"/>
            <w:tcBorders>
              <w:top w:val="single" w:sz="4" w:space="0" w:color="000001"/>
              <w:left w:val="single" w:sz="4" w:space="0" w:color="000001"/>
              <w:bottom w:val="single" w:sz="4" w:space="0" w:color="000001"/>
              <w:insideH w:val="single" w:sz="4" w:space="0" w:color="000001"/>
            </w:tcBorders>
            <w:shd w:color="auto" w:fill="FFFFFF" w:themeFill="background1" w:val="clear"/>
            <w:tcMar>
              <w:left w:w="103" w:type="dxa"/>
            </w:tcMar>
          </w:tcPr>
          <w:p>
            <w:pPr>
              <w:pStyle w:val="Normal"/>
              <w:numPr>
                <w:ilvl w:val="0"/>
                <w:numId w:val="3"/>
              </w:numPr>
              <w:tabs>
                <w:tab w:val="left" w:pos="180" w:leader="none"/>
                <w:tab w:val="left" w:pos="360" w:leader="none"/>
              </w:tabs>
              <w:spacing w:lineRule="auto" w:line="240" w:before="0" w:after="0"/>
              <w:ind w:left="180" w:hanging="0"/>
              <w:rPr>
                <w:rFonts w:ascii="Times New Roman" w:hAnsi="Times New Roman" w:cs="Times New Roman"/>
                <w:sz w:val="28"/>
                <w:szCs w:val="28"/>
              </w:rPr>
            </w:pPr>
            <w:r>
              <w:rPr>
                <w:rFonts w:cs="Times New Roman" w:ascii="Times New Roman" w:hAnsi="Times New Roman"/>
                <w:sz w:val="28"/>
                <w:szCs w:val="28"/>
              </w:rPr>
              <w:t>наличие статуса курорта федерального значения;</w:t>
            </w:r>
          </w:p>
          <w:p>
            <w:pPr>
              <w:pStyle w:val="Normal"/>
              <w:numPr>
                <w:ilvl w:val="0"/>
                <w:numId w:val="3"/>
              </w:numPr>
              <w:tabs>
                <w:tab w:val="left" w:pos="180" w:leader="none"/>
                <w:tab w:val="left" w:pos="360" w:leader="none"/>
              </w:tabs>
              <w:spacing w:lineRule="auto" w:line="240" w:before="0" w:after="0"/>
              <w:ind w:left="180" w:hanging="0"/>
              <w:rPr>
                <w:rFonts w:ascii="Times New Roman" w:hAnsi="Times New Roman" w:cs="Times New Roman"/>
                <w:sz w:val="28"/>
                <w:szCs w:val="28"/>
              </w:rPr>
            </w:pPr>
            <w:r>
              <w:rPr>
                <w:rFonts w:cs="Times New Roman" w:ascii="Times New Roman" w:hAnsi="Times New Roman"/>
                <w:sz w:val="28"/>
                <w:szCs w:val="28"/>
              </w:rPr>
              <w:t>существенный вклад санаторно-курортного сектора экономики города в оздоровление населения России и стран СНГ;</w:t>
            </w:r>
          </w:p>
          <w:p>
            <w:pPr>
              <w:pStyle w:val="Normal"/>
              <w:numPr>
                <w:ilvl w:val="0"/>
                <w:numId w:val="3"/>
              </w:numPr>
              <w:tabs>
                <w:tab w:val="left" w:pos="180" w:leader="none"/>
                <w:tab w:val="left" w:pos="360" w:leader="none"/>
              </w:tabs>
              <w:spacing w:lineRule="auto" w:line="240" w:before="0" w:after="0"/>
              <w:ind w:left="180" w:hanging="0"/>
              <w:rPr>
                <w:rFonts w:ascii="Times New Roman" w:hAnsi="Times New Roman" w:cs="Times New Roman"/>
                <w:sz w:val="28"/>
                <w:szCs w:val="28"/>
              </w:rPr>
            </w:pPr>
            <w:r>
              <w:rPr>
                <w:rFonts w:cs="Times New Roman" w:ascii="Times New Roman" w:hAnsi="Times New Roman"/>
                <w:sz w:val="28"/>
                <w:szCs w:val="28"/>
              </w:rPr>
              <w:t>соответствие количества жителей города европейским стандартам населенности городов-курортов;</w:t>
            </w:r>
          </w:p>
          <w:p>
            <w:pPr>
              <w:pStyle w:val="Normal"/>
              <w:numPr>
                <w:ilvl w:val="0"/>
                <w:numId w:val="3"/>
              </w:numPr>
              <w:tabs>
                <w:tab w:val="left" w:pos="180" w:leader="none"/>
                <w:tab w:val="left" w:pos="360" w:leader="none"/>
              </w:tabs>
              <w:spacing w:lineRule="auto" w:line="240" w:before="0" w:after="0"/>
              <w:ind w:left="180" w:hanging="0"/>
              <w:rPr>
                <w:rFonts w:ascii="Times New Roman" w:hAnsi="Times New Roman" w:cs="Times New Roman"/>
                <w:sz w:val="28"/>
                <w:szCs w:val="28"/>
              </w:rPr>
            </w:pPr>
            <w:r>
              <w:rPr>
                <w:rFonts w:cs="Times New Roman" w:ascii="Times New Roman" w:hAnsi="Times New Roman"/>
                <w:sz w:val="28"/>
                <w:szCs w:val="28"/>
              </w:rPr>
              <w:t>хорошая репутация, исторически сложившаяся известность Железноводска как города-курорта;</w:t>
            </w:r>
          </w:p>
          <w:p>
            <w:pPr>
              <w:pStyle w:val="Normal"/>
              <w:numPr>
                <w:ilvl w:val="0"/>
                <w:numId w:val="3"/>
              </w:numPr>
              <w:tabs>
                <w:tab w:val="left" w:pos="180" w:leader="none"/>
                <w:tab w:val="left" w:pos="360" w:leader="none"/>
              </w:tabs>
              <w:spacing w:lineRule="auto" w:line="240" w:before="0" w:after="0"/>
              <w:ind w:left="180" w:hanging="0"/>
              <w:rPr>
                <w:rFonts w:ascii="Times New Roman" w:hAnsi="Times New Roman" w:cs="Times New Roman"/>
                <w:sz w:val="28"/>
                <w:szCs w:val="28"/>
              </w:rPr>
            </w:pPr>
            <w:r>
              <w:rPr>
                <w:rFonts w:cs="Times New Roman" w:ascii="Times New Roman" w:hAnsi="Times New Roman"/>
                <w:sz w:val="28"/>
                <w:szCs w:val="28"/>
              </w:rPr>
              <w:t xml:space="preserve">наличие опытных специалистов в санаторных учреждениях; </w:t>
            </w:r>
          </w:p>
          <w:p>
            <w:pPr>
              <w:pStyle w:val="Normal"/>
              <w:numPr>
                <w:ilvl w:val="0"/>
                <w:numId w:val="3"/>
              </w:numPr>
              <w:tabs>
                <w:tab w:val="left" w:pos="180" w:leader="none"/>
                <w:tab w:val="left" w:pos="360" w:leader="none"/>
              </w:tabs>
              <w:spacing w:lineRule="auto" w:line="240" w:before="0" w:after="0"/>
              <w:ind w:left="180" w:hanging="0"/>
              <w:rPr>
                <w:rFonts w:ascii="Times New Roman" w:hAnsi="Times New Roman" w:cs="Times New Roman"/>
                <w:sz w:val="28"/>
                <w:szCs w:val="28"/>
              </w:rPr>
            </w:pPr>
            <w:r>
              <w:rPr>
                <w:rFonts w:cs="Times New Roman" w:ascii="Times New Roman" w:hAnsi="Times New Roman"/>
                <w:sz w:val="28"/>
                <w:szCs w:val="28"/>
              </w:rPr>
              <w:t>высокая доля субъектов малого и среднего предпринимательства;</w:t>
            </w:r>
          </w:p>
        </w:tc>
        <w:tc>
          <w:tcPr>
            <w:tcW w:w="38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themeFill="background1" w:val="clear"/>
            <w:tcMar>
              <w:left w:w="103" w:type="dxa"/>
            </w:tcMar>
          </w:tcPr>
          <w:p>
            <w:pPr>
              <w:pStyle w:val="Normal"/>
              <w:numPr>
                <w:ilvl w:val="0"/>
                <w:numId w:val="3"/>
              </w:numPr>
              <w:tabs>
                <w:tab w:val="left" w:pos="180" w:leader="none"/>
                <w:tab w:val="left" w:pos="360" w:leader="none"/>
              </w:tabs>
              <w:spacing w:lineRule="auto" w:line="240" w:before="0" w:after="0"/>
              <w:ind w:left="180" w:hanging="0"/>
              <w:rPr>
                <w:rFonts w:ascii="Times New Roman" w:hAnsi="Times New Roman" w:cs="Times New Roman"/>
                <w:sz w:val="28"/>
                <w:szCs w:val="28"/>
              </w:rPr>
            </w:pPr>
            <w:r>
              <w:rPr>
                <w:rFonts w:cs="Times New Roman" w:ascii="Times New Roman" w:hAnsi="Times New Roman"/>
                <w:bCs/>
                <w:sz w:val="28"/>
                <w:szCs w:val="28"/>
              </w:rPr>
              <w:t>высокая доля теневого сектора в экономике</w:t>
            </w:r>
          </w:p>
          <w:p>
            <w:pPr>
              <w:pStyle w:val="Normal"/>
              <w:numPr>
                <w:ilvl w:val="0"/>
                <w:numId w:val="3"/>
              </w:numPr>
              <w:tabs>
                <w:tab w:val="left" w:pos="180" w:leader="none"/>
                <w:tab w:val="left" w:pos="360" w:leader="none"/>
              </w:tabs>
              <w:spacing w:lineRule="auto" w:line="240" w:before="0" w:after="0"/>
              <w:ind w:left="180" w:hanging="0"/>
              <w:rPr>
                <w:rFonts w:ascii="Times New Roman" w:hAnsi="Times New Roman" w:cs="Times New Roman"/>
                <w:sz w:val="28"/>
                <w:szCs w:val="28"/>
              </w:rPr>
            </w:pPr>
            <w:r>
              <w:rPr>
                <w:rFonts w:cs="Times New Roman" w:ascii="Times New Roman" w:hAnsi="Times New Roman"/>
                <w:sz w:val="28"/>
                <w:szCs w:val="28"/>
              </w:rPr>
              <w:t>высокая степень физического и морального износа основных фондов в санаторно-курортном комплексе, здравоохранении, образовании, учреждениях социальной сферы, культуры и спорта;</w:t>
            </w:r>
          </w:p>
          <w:p>
            <w:pPr>
              <w:pStyle w:val="Normal"/>
              <w:numPr>
                <w:ilvl w:val="0"/>
                <w:numId w:val="3"/>
              </w:numPr>
              <w:tabs>
                <w:tab w:val="left" w:pos="180" w:leader="none"/>
                <w:tab w:val="left" w:pos="360" w:leader="none"/>
              </w:tabs>
              <w:spacing w:lineRule="auto" w:line="240" w:before="0" w:after="0"/>
              <w:ind w:left="180" w:hanging="0"/>
              <w:rPr>
                <w:rFonts w:ascii="Times New Roman" w:hAnsi="Times New Roman" w:cs="Times New Roman"/>
                <w:sz w:val="28"/>
                <w:szCs w:val="28"/>
              </w:rPr>
            </w:pPr>
            <w:r>
              <w:rPr>
                <w:rFonts w:cs="Times New Roman" w:ascii="Times New Roman" w:hAnsi="Times New Roman"/>
                <w:sz w:val="28"/>
                <w:szCs w:val="28"/>
              </w:rPr>
              <w:t>неудовлетворительное состояние лесопарковой зоны и терренкуров;</w:t>
            </w:r>
          </w:p>
          <w:p>
            <w:pPr>
              <w:pStyle w:val="Normal"/>
              <w:numPr>
                <w:ilvl w:val="0"/>
                <w:numId w:val="3"/>
              </w:numPr>
              <w:tabs>
                <w:tab w:val="left" w:pos="180" w:leader="none"/>
                <w:tab w:val="left" w:pos="360" w:leader="none"/>
              </w:tabs>
              <w:spacing w:lineRule="auto" w:line="240" w:before="0" w:after="0"/>
              <w:ind w:left="180" w:hanging="0"/>
              <w:rPr>
                <w:rFonts w:ascii="Times New Roman" w:hAnsi="Times New Roman" w:cs="Times New Roman"/>
                <w:sz w:val="28"/>
                <w:szCs w:val="28"/>
              </w:rPr>
            </w:pPr>
            <w:r>
              <w:rPr>
                <w:rFonts w:cs="Times New Roman" w:ascii="Times New Roman" w:hAnsi="Times New Roman"/>
                <w:sz w:val="28"/>
                <w:szCs w:val="28"/>
              </w:rPr>
              <w:t>низкое качество мест для временного пребывания туристов, ограниченность перечня предоставляемых услуг и их несоответствие заявленному статусу;</w:t>
            </w:r>
          </w:p>
          <w:p>
            <w:pPr>
              <w:pStyle w:val="Normal"/>
              <w:numPr>
                <w:ilvl w:val="0"/>
                <w:numId w:val="2"/>
              </w:numPr>
              <w:tabs>
                <w:tab w:val="left" w:pos="0" w:leader="none"/>
                <w:tab w:val="left" w:pos="75" w:leader="none"/>
                <w:tab w:val="left" w:pos="255" w:leader="none"/>
              </w:tabs>
              <w:spacing w:lineRule="auto" w:line="240" w:before="0" w:after="0"/>
              <w:ind w:left="75" w:hanging="0"/>
              <w:rPr>
                <w:rFonts w:ascii="Times New Roman" w:hAnsi="Times New Roman" w:cs="Times New Roman"/>
                <w:color w:val="000000"/>
                <w:sz w:val="28"/>
                <w:szCs w:val="28"/>
              </w:rPr>
            </w:pPr>
            <w:r>
              <w:rPr>
                <w:rFonts w:cs="Times New Roman" w:ascii="Times New Roman" w:hAnsi="Times New Roman"/>
                <w:sz w:val="28"/>
                <w:szCs w:val="28"/>
              </w:rPr>
              <w:t>недостаточная инфраструктура туристского рынка;</w:t>
            </w:r>
            <w:r>
              <w:rPr>
                <w:rFonts w:cs="Times New Roman" w:ascii="Times New Roman" w:hAnsi="Times New Roman"/>
                <w:color w:val="000000"/>
                <w:sz w:val="28"/>
                <w:szCs w:val="28"/>
              </w:rPr>
              <w:t xml:space="preserve"> </w:t>
            </w:r>
          </w:p>
          <w:p>
            <w:pPr>
              <w:pStyle w:val="Normal"/>
              <w:numPr>
                <w:ilvl w:val="0"/>
                <w:numId w:val="2"/>
              </w:numPr>
              <w:tabs>
                <w:tab w:val="left" w:pos="0" w:leader="none"/>
                <w:tab w:val="left" w:pos="75" w:leader="none"/>
                <w:tab w:val="left" w:pos="255" w:leader="none"/>
              </w:tabs>
              <w:spacing w:lineRule="auto" w:line="240" w:before="0" w:after="0"/>
              <w:ind w:left="75" w:hanging="0"/>
              <w:rPr>
                <w:rFonts w:ascii="Times New Roman" w:hAnsi="Times New Roman" w:cs="Times New Roman"/>
                <w:sz w:val="28"/>
                <w:szCs w:val="28"/>
              </w:rPr>
            </w:pPr>
            <w:r>
              <w:rPr>
                <w:rFonts w:cs="Times New Roman" w:ascii="Times New Roman" w:hAnsi="Times New Roman"/>
                <w:color w:val="000000"/>
                <w:sz w:val="28"/>
                <w:szCs w:val="28"/>
              </w:rPr>
              <w:t>ограниченность средств и дотационность городского бюджета;</w:t>
            </w:r>
            <w:r>
              <w:rPr>
                <w:rFonts w:cs="Times New Roman" w:ascii="Times New Roman" w:hAnsi="Times New Roman"/>
                <w:spacing w:val="0"/>
                <w:sz w:val="28"/>
                <w:szCs w:val="28"/>
              </w:rPr>
              <w:t xml:space="preserve"> </w:t>
            </w:r>
          </w:p>
          <w:p>
            <w:pPr>
              <w:pStyle w:val="Normal"/>
              <w:numPr>
                <w:ilvl w:val="0"/>
                <w:numId w:val="2"/>
              </w:numPr>
              <w:tabs>
                <w:tab w:val="left" w:pos="0" w:leader="none"/>
                <w:tab w:val="left" w:pos="75" w:leader="none"/>
                <w:tab w:val="left" w:pos="255" w:leader="none"/>
              </w:tabs>
              <w:spacing w:lineRule="auto" w:line="240" w:before="0" w:after="0"/>
              <w:ind w:left="75" w:hanging="0"/>
              <w:rPr>
                <w:rFonts w:ascii="Times New Roman" w:hAnsi="Times New Roman" w:cs="Times New Roman"/>
                <w:sz w:val="28"/>
                <w:szCs w:val="28"/>
              </w:rPr>
            </w:pPr>
            <w:r>
              <w:rPr>
                <w:rFonts w:cs="Times New Roman" w:ascii="Times New Roman" w:hAnsi="Times New Roman"/>
                <w:spacing w:val="0"/>
                <w:sz w:val="28"/>
                <w:szCs w:val="28"/>
              </w:rPr>
              <w:t>структурный дисбаланс спроса и предложений на рынке труда;</w:t>
            </w:r>
            <w:r>
              <w:rPr>
                <w:rFonts w:cs="Times New Roman" w:ascii="Times New Roman" w:hAnsi="Times New Roman"/>
                <w:sz w:val="28"/>
                <w:szCs w:val="28"/>
              </w:rPr>
              <w:t xml:space="preserve"> </w:t>
            </w:r>
          </w:p>
          <w:p>
            <w:pPr>
              <w:pStyle w:val="Normal"/>
              <w:numPr>
                <w:ilvl w:val="0"/>
                <w:numId w:val="2"/>
              </w:numPr>
              <w:tabs>
                <w:tab w:val="left" w:pos="0" w:leader="none"/>
                <w:tab w:val="left" w:pos="75" w:leader="none"/>
                <w:tab w:val="left" w:pos="255" w:leader="none"/>
              </w:tabs>
              <w:spacing w:lineRule="auto" w:line="240" w:before="0" w:after="0"/>
              <w:ind w:left="75" w:hanging="0"/>
              <w:rPr>
                <w:rFonts w:ascii="Times New Roman" w:hAnsi="Times New Roman" w:cs="Times New Roman"/>
                <w:color w:val="000000"/>
                <w:sz w:val="28"/>
                <w:szCs w:val="28"/>
              </w:rPr>
            </w:pPr>
            <w:r>
              <w:rPr>
                <w:rFonts w:cs="Times New Roman" w:ascii="Times New Roman" w:hAnsi="Times New Roman"/>
                <w:sz w:val="28"/>
                <w:szCs w:val="28"/>
              </w:rPr>
              <w:t>нехватка высококвалифицированных специалистов во всех сферах деятельности вследствие оттока трудоспособного населения в другие города Кавказских Минеральных Вод;</w:t>
            </w:r>
          </w:p>
        </w:tc>
      </w:tr>
      <w:tr>
        <w:trPr/>
        <w:tc>
          <w:tcPr>
            <w:tcW w:w="1838" w:type="dxa"/>
            <w:tcBorders>
              <w:top w:val="single" w:sz="4" w:space="0" w:color="000001"/>
              <w:left w:val="single" w:sz="4" w:space="0" w:color="000001"/>
              <w:bottom w:val="single" w:sz="4" w:space="0" w:color="000001"/>
              <w:insideH w:val="single" w:sz="4" w:space="0" w:color="000001"/>
            </w:tcBorders>
            <w:shd w:color="auto" w:fill="FFFFFF" w:themeFill="background1" w:val="clear"/>
            <w:tcMar>
              <w:left w:w="103" w:type="dxa"/>
            </w:tcMar>
          </w:tcPr>
          <w:p>
            <w:pPr>
              <w:pStyle w:val="Normal"/>
              <w:tabs>
                <w:tab w:val="left" w:pos="180" w:leader="none"/>
                <w:tab w:val="left" w:pos="360" w:leader="none"/>
              </w:tabs>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Население</w:t>
            </w:r>
          </w:p>
        </w:tc>
        <w:tc>
          <w:tcPr>
            <w:tcW w:w="3974" w:type="dxa"/>
            <w:tcBorders>
              <w:top w:val="single" w:sz="4" w:space="0" w:color="000001"/>
              <w:left w:val="single" w:sz="4" w:space="0" w:color="000001"/>
              <w:bottom w:val="single" w:sz="4" w:space="0" w:color="000001"/>
              <w:insideH w:val="single" w:sz="4" w:space="0" w:color="000001"/>
            </w:tcBorders>
            <w:shd w:color="auto" w:fill="FFFFFF" w:themeFill="background1" w:val="clear"/>
            <w:tcMar>
              <w:left w:w="103" w:type="dxa"/>
            </w:tcMar>
          </w:tcPr>
          <w:p>
            <w:pPr>
              <w:pStyle w:val="Normal"/>
              <w:numPr>
                <w:ilvl w:val="0"/>
                <w:numId w:val="3"/>
              </w:numPr>
              <w:tabs>
                <w:tab w:val="left" w:pos="180" w:leader="none"/>
                <w:tab w:val="left" w:pos="360" w:leader="none"/>
              </w:tabs>
              <w:spacing w:lineRule="auto" w:line="240" w:before="0" w:after="0"/>
              <w:ind w:left="180" w:hanging="0"/>
              <w:rPr>
                <w:rFonts w:ascii="Times New Roman" w:hAnsi="Times New Roman" w:cs="Times New Roman"/>
                <w:bCs/>
                <w:sz w:val="28"/>
                <w:szCs w:val="28"/>
              </w:rPr>
            </w:pPr>
            <w:r>
              <w:rPr>
                <w:rFonts w:cs="Times New Roman" w:ascii="Times New Roman" w:hAnsi="Times New Roman"/>
                <w:bCs/>
                <w:sz w:val="28"/>
                <w:szCs w:val="28"/>
              </w:rPr>
              <w:t>высокий уровень развития системы здравоохранения;</w:t>
            </w:r>
          </w:p>
          <w:p>
            <w:pPr>
              <w:pStyle w:val="Normal"/>
              <w:numPr>
                <w:ilvl w:val="0"/>
                <w:numId w:val="3"/>
              </w:numPr>
              <w:tabs>
                <w:tab w:val="left" w:pos="180" w:leader="none"/>
                <w:tab w:val="left" w:pos="360" w:leader="none"/>
              </w:tabs>
              <w:spacing w:lineRule="auto" w:line="240" w:before="0" w:after="0"/>
              <w:ind w:left="180" w:hanging="0"/>
              <w:rPr>
                <w:rFonts w:ascii="Times New Roman" w:hAnsi="Times New Roman" w:cs="Times New Roman"/>
                <w:bCs/>
                <w:sz w:val="28"/>
                <w:szCs w:val="28"/>
              </w:rPr>
            </w:pPr>
            <w:r>
              <w:rPr>
                <w:rFonts w:cs="Times New Roman" w:ascii="Times New Roman" w:hAnsi="Times New Roman"/>
                <w:bCs/>
                <w:sz w:val="28"/>
                <w:szCs w:val="28"/>
              </w:rPr>
              <w:t>низкая безработица;</w:t>
            </w:r>
          </w:p>
          <w:p>
            <w:pPr>
              <w:pStyle w:val="Normal"/>
              <w:numPr>
                <w:ilvl w:val="0"/>
                <w:numId w:val="3"/>
              </w:numPr>
              <w:tabs>
                <w:tab w:val="left" w:pos="180" w:leader="none"/>
                <w:tab w:val="left" w:pos="360" w:leader="none"/>
              </w:tabs>
              <w:spacing w:lineRule="auto" w:line="240" w:before="0" w:after="0"/>
              <w:ind w:left="180" w:hanging="0"/>
              <w:rPr>
                <w:rFonts w:ascii="Times New Roman" w:hAnsi="Times New Roman" w:cs="Times New Roman"/>
                <w:bCs/>
                <w:sz w:val="28"/>
                <w:szCs w:val="28"/>
              </w:rPr>
            </w:pPr>
            <w:r>
              <w:rPr>
                <w:rFonts w:cs="Times New Roman" w:ascii="Times New Roman" w:hAnsi="Times New Roman"/>
                <w:bCs/>
                <w:sz w:val="28"/>
                <w:szCs w:val="28"/>
              </w:rPr>
              <w:t>благоприятная криминогенная обстановка;</w:t>
            </w:r>
          </w:p>
          <w:p>
            <w:pPr>
              <w:pStyle w:val="Normal"/>
              <w:numPr>
                <w:ilvl w:val="0"/>
                <w:numId w:val="3"/>
              </w:numPr>
              <w:tabs>
                <w:tab w:val="left" w:pos="180" w:leader="none"/>
                <w:tab w:val="left" w:pos="360" w:leader="none"/>
              </w:tabs>
              <w:spacing w:lineRule="auto" w:line="240" w:before="0" w:after="0"/>
              <w:ind w:left="180" w:hanging="0"/>
              <w:rPr>
                <w:rFonts w:ascii="Times New Roman" w:hAnsi="Times New Roman" w:cs="Times New Roman"/>
                <w:bCs/>
                <w:sz w:val="28"/>
                <w:szCs w:val="28"/>
              </w:rPr>
            </w:pPr>
            <w:r>
              <w:rPr>
                <w:rFonts w:cs="Times New Roman" w:ascii="Times New Roman" w:hAnsi="Times New Roman"/>
                <w:bCs/>
                <w:sz w:val="28"/>
                <w:szCs w:val="28"/>
              </w:rPr>
              <w:t>наличие уникальных объектов культуры;</w:t>
            </w:r>
          </w:p>
          <w:p>
            <w:pPr>
              <w:pStyle w:val="Normal"/>
              <w:numPr>
                <w:ilvl w:val="0"/>
                <w:numId w:val="3"/>
              </w:numPr>
              <w:tabs>
                <w:tab w:val="left" w:pos="180" w:leader="none"/>
                <w:tab w:val="left" w:pos="360" w:leader="none"/>
              </w:tabs>
              <w:spacing w:lineRule="auto" w:line="240" w:before="0" w:after="0"/>
              <w:ind w:left="180" w:hanging="0"/>
              <w:rPr>
                <w:rFonts w:ascii="Times New Roman" w:hAnsi="Times New Roman" w:cs="Times New Roman"/>
                <w:bCs/>
                <w:sz w:val="28"/>
                <w:szCs w:val="28"/>
              </w:rPr>
            </w:pPr>
            <w:r>
              <w:rPr>
                <w:rFonts w:cs="Times New Roman" w:ascii="Times New Roman" w:hAnsi="Times New Roman"/>
                <w:bCs/>
                <w:sz w:val="28"/>
                <w:szCs w:val="28"/>
              </w:rPr>
              <w:t>достаточная доля обеспеченности города культурно-досуговыми учреждениями;</w:t>
            </w:r>
          </w:p>
          <w:p>
            <w:pPr>
              <w:pStyle w:val="Normal"/>
              <w:numPr>
                <w:ilvl w:val="0"/>
                <w:numId w:val="3"/>
              </w:numPr>
              <w:tabs>
                <w:tab w:val="left" w:pos="180" w:leader="none"/>
                <w:tab w:val="left" w:pos="360" w:leader="none"/>
              </w:tabs>
              <w:spacing w:lineRule="auto" w:line="240" w:before="0" w:after="0"/>
              <w:ind w:left="180" w:hanging="0"/>
              <w:rPr>
                <w:rFonts w:ascii="Times New Roman" w:hAnsi="Times New Roman" w:cs="Times New Roman"/>
                <w:bCs/>
                <w:sz w:val="28"/>
                <w:szCs w:val="28"/>
              </w:rPr>
            </w:pPr>
            <w:r>
              <w:rPr>
                <w:rFonts w:cs="Times New Roman" w:ascii="Times New Roman" w:hAnsi="Times New Roman"/>
                <w:bCs/>
                <w:sz w:val="28"/>
                <w:szCs w:val="28"/>
              </w:rPr>
              <w:t>современный МБУК «Городской дворец культуры», на базе которого организовываются не только городские мероприятия, но и всероссийские и международные;</w:t>
            </w:r>
          </w:p>
          <w:p>
            <w:pPr>
              <w:pStyle w:val="Normal"/>
              <w:numPr>
                <w:ilvl w:val="0"/>
                <w:numId w:val="3"/>
              </w:numPr>
              <w:tabs>
                <w:tab w:val="left" w:pos="180" w:leader="none"/>
                <w:tab w:val="left" w:pos="360" w:leader="none"/>
              </w:tabs>
              <w:spacing w:lineRule="auto" w:line="240" w:before="0" w:after="0"/>
              <w:ind w:left="180" w:hanging="0"/>
              <w:rPr>
                <w:rFonts w:ascii="Times New Roman" w:hAnsi="Times New Roman" w:cs="Times New Roman"/>
                <w:bCs/>
                <w:sz w:val="28"/>
                <w:szCs w:val="28"/>
              </w:rPr>
            </w:pPr>
            <w:r>
              <w:rPr>
                <w:rFonts w:cs="Times New Roman" w:ascii="Times New Roman" w:hAnsi="Times New Roman"/>
                <w:bCs/>
                <w:sz w:val="28"/>
                <w:szCs w:val="28"/>
              </w:rPr>
              <w:t>наличие в «Курортном парке» МБУК «Пушкинская галерея», на территории которого систематически проводятся культурно-массовые программы, что обогащает отдых, как населения, так и туристов;</w:t>
            </w:r>
          </w:p>
        </w:tc>
        <w:tc>
          <w:tcPr>
            <w:tcW w:w="38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themeFill="background1" w:val="clear"/>
            <w:tcMar>
              <w:left w:w="103" w:type="dxa"/>
            </w:tcMar>
          </w:tcPr>
          <w:p>
            <w:pPr>
              <w:pStyle w:val="Normal"/>
              <w:numPr>
                <w:ilvl w:val="0"/>
                <w:numId w:val="3"/>
              </w:numPr>
              <w:tabs>
                <w:tab w:val="left" w:pos="180" w:leader="none"/>
                <w:tab w:val="left" w:pos="360" w:leader="none"/>
              </w:tabs>
              <w:spacing w:lineRule="auto" w:line="240" w:before="0" w:after="0"/>
              <w:ind w:left="180" w:hanging="0"/>
              <w:rPr>
                <w:rFonts w:ascii="Times New Roman" w:hAnsi="Times New Roman" w:cs="Times New Roman"/>
                <w:bCs/>
                <w:sz w:val="28"/>
                <w:szCs w:val="28"/>
              </w:rPr>
            </w:pPr>
            <w:r>
              <w:rPr>
                <w:rFonts w:cs="Times New Roman" w:ascii="Times New Roman" w:hAnsi="Times New Roman"/>
                <w:bCs/>
                <w:sz w:val="28"/>
                <w:szCs w:val="28"/>
              </w:rPr>
              <w:t>низкий уровень доходов населения;</w:t>
            </w:r>
          </w:p>
          <w:p>
            <w:pPr>
              <w:pStyle w:val="Normal"/>
              <w:numPr>
                <w:ilvl w:val="0"/>
                <w:numId w:val="3"/>
              </w:numPr>
              <w:tabs>
                <w:tab w:val="left" w:pos="180" w:leader="none"/>
                <w:tab w:val="left" w:pos="360" w:leader="none"/>
              </w:tabs>
              <w:spacing w:lineRule="auto" w:line="240" w:before="0" w:after="0"/>
              <w:ind w:left="180" w:hanging="0"/>
              <w:rPr>
                <w:rFonts w:ascii="Times New Roman" w:hAnsi="Times New Roman" w:cs="Times New Roman"/>
                <w:bCs/>
                <w:sz w:val="28"/>
                <w:szCs w:val="28"/>
              </w:rPr>
            </w:pPr>
            <w:r>
              <w:rPr>
                <w:rFonts w:cs="Times New Roman" w:ascii="Times New Roman" w:hAnsi="Times New Roman"/>
                <w:bCs/>
                <w:sz w:val="28"/>
                <w:szCs w:val="28"/>
              </w:rPr>
              <w:t xml:space="preserve">недостаточное количество детских дошкольных учреждений; </w:t>
            </w:r>
          </w:p>
          <w:p>
            <w:pPr>
              <w:pStyle w:val="Normal"/>
              <w:numPr>
                <w:ilvl w:val="0"/>
                <w:numId w:val="3"/>
              </w:numPr>
              <w:tabs>
                <w:tab w:val="left" w:pos="180" w:leader="none"/>
                <w:tab w:val="left" w:pos="360" w:leader="none"/>
              </w:tabs>
              <w:spacing w:lineRule="auto" w:line="240" w:before="0" w:after="0"/>
              <w:ind w:left="180" w:hanging="0"/>
              <w:rPr>
                <w:rFonts w:ascii="Times New Roman" w:hAnsi="Times New Roman" w:cs="Times New Roman"/>
                <w:bCs/>
                <w:sz w:val="28"/>
                <w:szCs w:val="28"/>
              </w:rPr>
            </w:pPr>
            <w:r>
              <w:rPr>
                <w:rFonts w:cs="Times New Roman" w:ascii="Times New Roman" w:hAnsi="Times New Roman"/>
                <w:bCs/>
                <w:sz w:val="28"/>
                <w:szCs w:val="28"/>
              </w:rPr>
              <w:t>несоответствие системы подготовки трудовых ресурсов потребностям рынка труда;</w:t>
            </w:r>
          </w:p>
          <w:p>
            <w:pPr>
              <w:pStyle w:val="Normal"/>
              <w:numPr>
                <w:ilvl w:val="0"/>
                <w:numId w:val="3"/>
              </w:numPr>
              <w:tabs>
                <w:tab w:val="left" w:pos="180" w:leader="none"/>
                <w:tab w:val="left" w:pos="360" w:leader="none"/>
              </w:tabs>
              <w:spacing w:lineRule="auto" w:line="240" w:before="0" w:after="0"/>
              <w:ind w:left="180" w:hanging="0"/>
              <w:rPr>
                <w:rFonts w:ascii="Times New Roman" w:hAnsi="Times New Roman" w:cs="Times New Roman"/>
                <w:bCs/>
                <w:sz w:val="28"/>
                <w:szCs w:val="28"/>
              </w:rPr>
            </w:pPr>
            <w:r>
              <w:rPr>
                <w:rFonts w:cs="Times New Roman" w:ascii="Times New Roman" w:hAnsi="Times New Roman"/>
                <w:bCs/>
                <w:sz w:val="28"/>
                <w:szCs w:val="28"/>
              </w:rPr>
              <w:t>недостаточная обеспеченность медицинским персоналом;</w:t>
            </w:r>
          </w:p>
          <w:p>
            <w:pPr>
              <w:pStyle w:val="Normal"/>
              <w:numPr>
                <w:ilvl w:val="0"/>
                <w:numId w:val="3"/>
              </w:numPr>
              <w:tabs>
                <w:tab w:val="left" w:pos="180" w:leader="none"/>
                <w:tab w:val="left" w:pos="360" w:leader="none"/>
              </w:tabs>
              <w:spacing w:lineRule="auto" w:line="240" w:before="0" w:after="0"/>
              <w:ind w:left="180" w:hanging="0"/>
              <w:rPr>
                <w:rFonts w:ascii="Times New Roman" w:hAnsi="Times New Roman" w:cs="Times New Roman"/>
                <w:bCs/>
                <w:sz w:val="28"/>
                <w:szCs w:val="28"/>
              </w:rPr>
            </w:pPr>
            <w:r>
              <w:rPr>
                <w:rFonts w:cs="Times New Roman" w:ascii="Times New Roman" w:hAnsi="Times New Roman"/>
                <w:bCs/>
                <w:sz w:val="28"/>
                <w:szCs w:val="28"/>
              </w:rPr>
              <w:t>высокий уровень износа учреждений дополнительного образования, учреждений культуры;</w:t>
            </w:r>
          </w:p>
          <w:p>
            <w:pPr>
              <w:pStyle w:val="Normal"/>
              <w:numPr>
                <w:ilvl w:val="0"/>
                <w:numId w:val="3"/>
              </w:numPr>
              <w:tabs>
                <w:tab w:val="left" w:pos="180" w:leader="none"/>
                <w:tab w:val="left" w:pos="360" w:leader="none"/>
              </w:tabs>
              <w:spacing w:lineRule="auto" w:line="240" w:before="0" w:after="0"/>
              <w:ind w:left="180" w:hanging="0"/>
              <w:rPr>
                <w:rFonts w:ascii="Times New Roman" w:hAnsi="Times New Roman" w:cs="Times New Roman"/>
                <w:bCs/>
                <w:sz w:val="28"/>
                <w:szCs w:val="28"/>
              </w:rPr>
            </w:pPr>
            <w:r>
              <w:rPr>
                <w:rFonts w:cs="Times New Roman" w:ascii="Times New Roman" w:hAnsi="Times New Roman"/>
                <w:bCs/>
                <w:sz w:val="28"/>
                <w:szCs w:val="28"/>
              </w:rPr>
              <w:t>необходимость капитального ремонта и переоснащения культурно-досуговых учреждений;</w:t>
            </w:r>
          </w:p>
          <w:p>
            <w:pPr>
              <w:pStyle w:val="Normal"/>
              <w:numPr>
                <w:ilvl w:val="0"/>
                <w:numId w:val="3"/>
              </w:numPr>
              <w:tabs>
                <w:tab w:val="left" w:pos="180" w:leader="none"/>
                <w:tab w:val="left" w:pos="360" w:leader="none"/>
              </w:tabs>
              <w:spacing w:lineRule="auto" w:line="240" w:before="0" w:after="0"/>
              <w:ind w:left="180" w:hanging="0"/>
              <w:rPr>
                <w:rFonts w:ascii="Times New Roman" w:hAnsi="Times New Roman" w:cs="Times New Roman"/>
                <w:bCs/>
                <w:sz w:val="28"/>
                <w:szCs w:val="28"/>
              </w:rPr>
            </w:pPr>
            <w:r>
              <w:rPr>
                <w:rFonts w:cs="Times New Roman" w:ascii="Times New Roman" w:hAnsi="Times New Roman"/>
                <w:bCs/>
                <w:sz w:val="28"/>
                <w:szCs w:val="28"/>
              </w:rPr>
              <w:t>потребность культурно-досуговых учреждений в музыкальных инструментах;</w:t>
            </w:r>
          </w:p>
          <w:p>
            <w:pPr>
              <w:pStyle w:val="Normal"/>
              <w:tabs>
                <w:tab w:val="left" w:pos="180" w:leader="none"/>
                <w:tab w:val="left" w:pos="360" w:leader="none"/>
              </w:tabs>
              <w:spacing w:lineRule="auto" w:line="240" w:before="0" w:after="0"/>
              <w:ind w:left="180" w:hanging="0"/>
              <w:rPr>
                <w:rFonts w:ascii="Times New Roman" w:hAnsi="Times New Roman" w:cs="Times New Roman"/>
                <w:bCs/>
                <w:sz w:val="28"/>
                <w:szCs w:val="28"/>
              </w:rPr>
            </w:pPr>
            <w:r>
              <w:rPr>
                <w:rFonts w:cs="Times New Roman" w:ascii="Times New Roman" w:hAnsi="Times New Roman"/>
                <w:bCs/>
                <w:sz w:val="28"/>
                <w:szCs w:val="28"/>
              </w:rPr>
            </w:r>
          </w:p>
        </w:tc>
      </w:tr>
      <w:tr>
        <w:trPr/>
        <w:tc>
          <w:tcPr>
            <w:tcW w:w="9639"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D0CECE" w:themeFill="background2" w:themeFillShade="e6" w:val="clear"/>
            <w:tcMar>
              <w:left w:w="107" w:type="dxa"/>
            </w:tcMar>
          </w:tcPr>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 xml:space="preserve">Факторы внешней среды </w:t>
            </w:r>
          </w:p>
        </w:tc>
      </w:tr>
      <w:tr>
        <w:trPr>
          <w:trHeight w:val="23" w:hRule="atLeast"/>
        </w:trPr>
        <w:tc>
          <w:tcPr>
            <w:tcW w:w="1838" w:type="dxa"/>
            <w:tcBorders>
              <w:top w:val="single" w:sz="2" w:space="0" w:color="000001"/>
              <w:left w:val="single" w:sz="2" w:space="0" w:color="000001"/>
              <w:bottom w:val="single" w:sz="2" w:space="0" w:color="000001"/>
              <w:insideH w:val="single" w:sz="2" w:space="0" w:color="000001"/>
            </w:tcBorders>
            <w:shd w:color="auto" w:fill="FFFFFF" w:themeFill="background1" w:val="clear"/>
            <w:tcMar>
              <w:left w:w="107" w:type="dxa"/>
            </w:tcMar>
          </w:tcPr>
          <w:p>
            <w:pPr>
              <w:pStyle w:val="Normal"/>
              <w:spacing w:lineRule="auto" w:line="240" w:before="0" w:after="0"/>
              <w:jc w:val="center"/>
              <w:rPr>
                <w:rFonts w:ascii="Times New Roman" w:hAnsi="Times New Roman" w:cs="Times New Roman"/>
                <w:b/>
                <w:b/>
                <w:bCs/>
                <w:sz w:val="28"/>
                <w:szCs w:val="28"/>
              </w:rPr>
            </w:pPr>
            <w:r>
              <w:rPr>
                <w:rFonts w:cs="Times New Roman" w:ascii="Times New Roman" w:hAnsi="Times New Roman"/>
                <w:b/>
                <w:bCs/>
                <w:sz w:val="28"/>
                <w:szCs w:val="28"/>
              </w:rPr>
              <w:t>Аспект</w:t>
            </w:r>
          </w:p>
        </w:tc>
        <w:tc>
          <w:tcPr>
            <w:tcW w:w="3974" w:type="dxa"/>
            <w:tcBorders>
              <w:top w:val="single" w:sz="2" w:space="0" w:color="000001"/>
              <w:left w:val="single" w:sz="2" w:space="0" w:color="000001"/>
              <w:bottom w:val="single" w:sz="2" w:space="0" w:color="000001"/>
              <w:insideH w:val="single" w:sz="2" w:space="0" w:color="000001"/>
            </w:tcBorders>
            <w:shd w:color="auto" w:fill="FFFFFF" w:themeFill="background1" w:val="clear"/>
            <w:tcMar>
              <w:left w:w="107" w:type="dxa"/>
            </w:tcMar>
          </w:tcPr>
          <w:p>
            <w:pPr>
              <w:pStyle w:val="Normal"/>
              <w:spacing w:lineRule="auto" w:line="240" w:before="0" w:after="0"/>
              <w:jc w:val="center"/>
              <w:rPr>
                <w:rFonts w:ascii="Times New Roman" w:hAnsi="Times New Roman" w:cs="Times New Roman"/>
                <w:b/>
                <w:b/>
                <w:bCs/>
                <w:sz w:val="28"/>
                <w:szCs w:val="28"/>
              </w:rPr>
            </w:pPr>
            <w:r>
              <w:rPr>
                <w:rFonts w:cs="Times New Roman" w:ascii="Times New Roman" w:hAnsi="Times New Roman"/>
                <w:b/>
                <w:bCs/>
                <w:sz w:val="28"/>
                <w:szCs w:val="28"/>
              </w:rPr>
              <w:t>Возможности (O)</w:t>
            </w:r>
          </w:p>
        </w:tc>
        <w:tc>
          <w:tcPr>
            <w:tcW w:w="382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themeFill="background1" w:val="clear"/>
            <w:tcMar>
              <w:left w:w="107" w:type="dxa"/>
            </w:tcMar>
          </w:tcPr>
          <w:p>
            <w:pPr>
              <w:pStyle w:val="Normal"/>
              <w:spacing w:lineRule="auto" w:line="240" w:before="0" w:after="0"/>
              <w:jc w:val="center"/>
              <w:rPr>
                <w:rFonts w:ascii="Times New Roman" w:hAnsi="Times New Roman" w:cs="Times New Roman"/>
                <w:b/>
                <w:b/>
                <w:bCs/>
                <w:sz w:val="28"/>
                <w:szCs w:val="28"/>
              </w:rPr>
            </w:pPr>
            <w:r>
              <w:rPr>
                <w:rFonts w:cs="Times New Roman" w:ascii="Times New Roman" w:hAnsi="Times New Roman"/>
                <w:b/>
                <w:bCs/>
                <w:sz w:val="28"/>
                <w:szCs w:val="28"/>
              </w:rPr>
              <w:t>Угрозы (T)</w:t>
            </w:r>
          </w:p>
        </w:tc>
      </w:tr>
      <w:tr>
        <w:trPr/>
        <w:tc>
          <w:tcPr>
            <w:tcW w:w="1838" w:type="dxa"/>
            <w:tcBorders>
              <w:top w:val="single" w:sz="2" w:space="0" w:color="000001"/>
              <w:left w:val="single" w:sz="2" w:space="0" w:color="000001"/>
              <w:bottom w:val="single" w:sz="2" w:space="0" w:color="000001"/>
              <w:insideH w:val="single" w:sz="2" w:space="0" w:color="000001"/>
            </w:tcBorders>
            <w:shd w:color="auto" w:fill="FFFFFF" w:themeFill="background1" w:val="clear"/>
            <w:tcMar>
              <w:left w:w="107" w:type="dxa"/>
            </w:tcMar>
          </w:tcPr>
          <w:p>
            <w:pPr>
              <w:pStyle w:val="Normal"/>
              <w:tabs>
                <w:tab w:val="left" w:pos="180" w:leader="none"/>
                <w:tab w:val="left" w:pos="360" w:leader="none"/>
              </w:tabs>
              <w:spacing w:lineRule="auto" w:line="240" w:before="0" w:after="0"/>
              <w:rPr>
                <w:rFonts w:ascii="Times New Roman" w:hAnsi="Times New Roman" w:cs="Times New Roman"/>
                <w:sz w:val="28"/>
                <w:szCs w:val="28"/>
              </w:rPr>
            </w:pPr>
            <w:r>
              <w:rPr>
                <w:rFonts w:cs="Times New Roman" w:ascii="Times New Roman" w:hAnsi="Times New Roman"/>
                <w:sz w:val="28"/>
                <w:szCs w:val="28"/>
              </w:rPr>
              <w:t>Пространство</w:t>
            </w:r>
          </w:p>
        </w:tc>
        <w:tc>
          <w:tcPr>
            <w:tcW w:w="3974" w:type="dxa"/>
            <w:tcBorders>
              <w:top w:val="single" w:sz="2" w:space="0" w:color="000001"/>
              <w:left w:val="single" w:sz="2" w:space="0" w:color="000001"/>
              <w:bottom w:val="single" w:sz="2" w:space="0" w:color="000001"/>
              <w:insideH w:val="single" w:sz="2" w:space="0" w:color="000001"/>
            </w:tcBorders>
            <w:shd w:color="auto" w:fill="FFFFFF" w:themeFill="background1" w:val="clear"/>
            <w:tcMar>
              <w:left w:w="107" w:type="dxa"/>
            </w:tcMar>
          </w:tcPr>
          <w:p>
            <w:pPr>
              <w:pStyle w:val="Normal"/>
              <w:numPr>
                <w:ilvl w:val="0"/>
                <w:numId w:val="4"/>
              </w:numPr>
              <w:tabs>
                <w:tab w:val="left" w:pos="180" w:leader="none"/>
                <w:tab w:val="left" w:pos="360" w:leader="none"/>
              </w:tabs>
              <w:suppressAutoHyphens w:val="true"/>
              <w:spacing w:lineRule="auto" w:line="240" w:before="0" w:after="0"/>
              <w:ind w:left="180" w:hanging="0"/>
              <w:rPr>
                <w:rFonts w:ascii="Times New Roman" w:hAnsi="Times New Roman" w:cs="Times New Roman"/>
                <w:sz w:val="28"/>
                <w:szCs w:val="28"/>
              </w:rPr>
            </w:pPr>
            <w:r>
              <w:rPr>
                <w:rFonts w:cs="Times New Roman" w:ascii="Times New Roman" w:hAnsi="Times New Roman"/>
                <w:sz w:val="28"/>
                <w:szCs w:val="28"/>
              </w:rPr>
              <w:t xml:space="preserve">эффективное использование географического положения и природно-ресурсного потенциала для привлечения инвесторов; </w:t>
            </w:r>
          </w:p>
          <w:p>
            <w:pPr>
              <w:pStyle w:val="Normal"/>
              <w:numPr>
                <w:ilvl w:val="0"/>
                <w:numId w:val="4"/>
              </w:numPr>
              <w:tabs>
                <w:tab w:val="left" w:pos="180" w:leader="none"/>
                <w:tab w:val="left" w:pos="360" w:leader="none"/>
              </w:tabs>
              <w:suppressAutoHyphens w:val="true"/>
              <w:spacing w:lineRule="auto" w:line="240" w:before="0" w:after="0"/>
              <w:ind w:left="180" w:hanging="0"/>
              <w:rPr>
                <w:rFonts w:ascii="Times New Roman" w:hAnsi="Times New Roman" w:cs="Times New Roman"/>
                <w:sz w:val="28"/>
                <w:szCs w:val="28"/>
              </w:rPr>
            </w:pPr>
            <w:r>
              <w:rPr>
                <w:rFonts w:cs="Times New Roman" w:ascii="Times New Roman" w:hAnsi="Times New Roman"/>
                <w:sz w:val="28"/>
                <w:szCs w:val="28"/>
              </w:rPr>
              <w:t>модернизация и реконструкция объектов коммунальной инфраструктуры, в том числе с использованием механизма муниципально-частного партнерства;</w:t>
            </w:r>
          </w:p>
          <w:p>
            <w:pPr>
              <w:pStyle w:val="Normal"/>
              <w:numPr>
                <w:ilvl w:val="0"/>
                <w:numId w:val="4"/>
              </w:numPr>
              <w:tabs>
                <w:tab w:val="left" w:pos="180" w:leader="none"/>
                <w:tab w:val="left" w:pos="360" w:leader="none"/>
              </w:tabs>
              <w:suppressAutoHyphens w:val="true"/>
              <w:spacing w:lineRule="auto" w:line="240" w:before="0" w:after="0"/>
              <w:ind w:left="180" w:hanging="0"/>
              <w:rPr>
                <w:rFonts w:ascii="Times New Roman" w:hAnsi="Times New Roman" w:cs="Times New Roman"/>
                <w:sz w:val="28"/>
                <w:szCs w:val="28"/>
              </w:rPr>
            </w:pPr>
            <w:r>
              <w:rPr>
                <w:rFonts w:cs="Times New Roman" w:ascii="Times New Roman" w:hAnsi="Times New Roman"/>
                <w:sz w:val="28"/>
                <w:szCs w:val="28"/>
              </w:rPr>
              <w:t>повышение качества предоставления государственных и муниципальных услуг;</w:t>
            </w:r>
          </w:p>
          <w:p>
            <w:pPr>
              <w:pStyle w:val="Normal"/>
              <w:numPr>
                <w:ilvl w:val="0"/>
                <w:numId w:val="4"/>
              </w:numPr>
              <w:tabs>
                <w:tab w:val="left" w:pos="180" w:leader="none"/>
                <w:tab w:val="left" w:pos="360" w:leader="none"/>
              </w:tabs>
              <w:suppressAutoHyphens w:val="true"/>
              <w:spacing w:lineRule="auto" w:line="240" w:before="0" w:after="0"/>
              <w:ind w:left="180" w:hanging="0"/>
              <w:rPr>
                <w:rFonts w:ascii="Times New Roman" w:hAnsi="Times New Roman" w:cs="Times New Roman"/>
                <w:sz w:val="28"/>
                <w:szCs w:val="28"/>
              </w:rPr>
            </w:pPr>
            <w:r>
              <w:rPr>
                <w:rFonts w:cs="Times New Roman" w:ascii="Times New Roman" w:hAnsi="Times New Roman"/>
                <w:sz w:val="28"/>
                <w:szCs w:val="28"/>
              </w:rPr>
              <w:t>создание единой сети ливневой и дренажной канализации на территории КМВ;</w:t>
            </w:r>
          </w:p>
        </w:tc>
        <w:tc>
          <w:tcPr>
            <w:tcW w:w="382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themeFill="background1" w:val="clear"/>
            <w:tcMar>
              <w:left w:w="107" w:type="dxa"/>
            </w:tcMar>
          </w:tcPr>
          <w:p>
            <w:pPr>
              <w:pStyle w:val="Normal"/>
              <w:numPr>
                <w:ilvl w:val="0"/>
                <w:numId w:val="4"/>
              </w:numPr>
              <w:tabs>
                <w:tab w:val="left" w:pos="180" w:leader="none"/>
                <w:tab w:val="left" w:pos="360" w:leader="none"/>
              </w:tabs>
              <w:suppressAutoHyphens w:val="true"/>
              <w:spacing w:lineRule="auto" w:line="240" w:before="0" w:after="0"/>
              <w:ind w:left="180" w:hanging="0"/>
              <w:rPr>
                <w:rFonts w:ascii="Times New Roman" w:hAnsi="Times New Roman" w:cs="Times New Roman"/>
                <w:sz w:val="28"/>
                <w:szCs w:val="28"/>
              </w:rPr>
            </w:pPr>
            <w:r>
              <w:rPr>
                <w:rFonts w:cs="Times New Roman" w:ascii="Times New Roman" w:hAnsi="Times New Roman"/>
                <w:sz w:val="28"/>
                <w:szCs w:val="28"/>
              </w:rPr>
              <w:t>наличие оползневых участков на территории города;</w:t>
            </w:r>
          </w:p>
          <w:p>
            <w:pPr>
              <w:pStyle w:val="Normal"/>
              <w:numPr>
                <w:ilvl w:val="0"/>
                <w:numId w:val="4"/>
              </w:numPr>
              <w:tabs>
                <w:tab w:val="left" w:pos="180" w:leader="none"/>
                <w:tab w:val="left" w:pos="360" w:leader="none"/>
              </w:tabs>
              <w:suppressAutoHyphens w:val="true"/>
              <w:spacing w:lineRule="auto" w:line="240" w:before="0" w:after="0"/>
              <w:ind w:left="180" w:hanging="0"/>
              <w:rPr>
                <w:rFonts w:ascii="Times New Roman" w:hAnsi="Times New Roman" w:cs="Times New Roman"/>
                <w:sz w:val="28"/>
                <w:szCs w:val="28"/>
              </w:rPr>
            </w:pPr>
            <w:r>
              <w:rPr>
                <w:rFonts w:cs="Times New Roman" w:ascii="Times New Roman" w:hAnsi="Times New Roman"/>
                <w:sz w:val="28"/>
                <w:szCs w:val="28"/>
              </w:rPr>
              <w:t>предложение на рынке коммерческой недвижимости торгово-офисного</w:t>
            </w:r>
          </w:p>
          <w:p>
            <w:pPr>
              <w:pStyle w:val="Normal"/>
              <w:tabs>
                <w:tab w:val="left" w:pos="180" w:leader="none"/>
                <w:tab w:val="left" w:pos="360" w:leader="none"/>
              </w:tabs>
              <w:spacing w:lineRule="auto" w:line="240" w:before="0" w:after="0"/>
              <w:ind w:left="180" w:hanging="0"/>
              <w:rPr>
                <w:rFonts w:ascii="Times New Roman" w:hAnsi="Times New Roman" w:cs="Times New Roman"/>
                <w:sz w:val="28"/>
                <w:szCs w:val="28"/>
              </w:rPr>
            </w:pPr>
            <w:r>
              <w:rPr>
                <w:rFonts w:cs="Times New Roman" w:ascii="Times New Roman" w:hAnsi="Times New Roman"/>
                <w:sz w:val="28"/>
                <w:szCs w:val="28"/>
              </w:rPr>
              <w:t>назначения превышает спрос;</w:t>
            </w:r>
          </w:p>
          <w:p>
            <w:pPr>
              <w:pStyle w:val="Normal"/>
              <w:tabs>
                <w:tab w:val="left" w:pos="180" w:leader="none"/>
                <w:tab w:val="left" w:pos="360" w:leader="none"/>
              </w:tabs>
              <w:spacing w:lineRule="auto" w:line="240" w:before="0" w:after="0"/>
              <w:ind w:left="180" w:hanging="0"/>
              <w:rPr>
                <w:rFonts w:ascii="Times New Roman" w:hAnsi="Times New Roman" w:cs="Times New Roman"/>
                <w:sz w:val="28"/>
                <w:szCs w:val="28"/>
              </w:rPr>
            </w:pPr>
            <w:r>
              <w:rPr>
                <w:rFonts w:cs="Times New Roman" w:ascii="Times New Roman" w:hAnsi="Times New Roman"/>
                <w:sz w:val="28"/>
                <w:szCs w:val="28"/>
              </w:rPr>
              <w:t>ограниченность территории для погребения (мест захоронения);</w:t>
            </w:r>
          </w:p>
        </w:tc>
      </w:tr>
      <w:tr>
        <w:trPr/>
        <w:tc>
          <w:tcPr>
            <w:tcW w:w="1838" w:type="dxa"/>
            <w:tcBorders>
              <w:top w:val="single" w:sz="2" w:space="0" w:color="000001"/>
              <w:left w:val="single" w:sz="2" w:space="0" w:color="000001"/>
              <w:bottom w:val="single" w:sz="2" w:space="0" w:color="000001"/>
              <w:insideH w:val="single" w:sz="2" w:space="0" w:color="000001"/>
            </w:tcBorders>
            <w:shd w:color="auto" w:fill="FFFFFF" w:themeFill="background1" w:val="clear"/>
            <w:tcMar>
              <w:left w:w="107" w:type="dxa"/>
            </w:tcMar>
          </w:tcPr>
          <w:p>
            <w:pPr>
              <w:pStyle w:val="Normal"/>
              <w:tabs>
                <w:tab w:val="left" w:pos="180" w:leader="none"/>
                <w:tab w:val="left" w:pos="360" w:leader="none"/>
              </w:tabs>
              <w:spacing w:lineRule="auto" w:line="240" w:before="0" w:after="0"/>
              <w:rPr>
                <w:rFonts w:ascii="Times New Roman" w:hAnsi="Times New Roman" w:cs="Times New Roman"/>
                <w:sz w:val="28"/>
                <w:szCs w:val="28"/>
              </w:rPr>
            </w:pPr>
            <w:r>
              <w:rPr>
                <w:rFonts w:cs="Times New Roman" w:ascii="Times New Roman" w:hAnsi="Times New Roman"/>
                <w:sz w:val="28"/>
                <w:szCs w:val="28"/>
              </w:rPr>
              <w:t>Экономика</w:t>
            </w:r>
          </w:p>
        </w:tc>
        <w:tc>
          <w:tcPr>
            <w:tcW w:w="3974" w:type="dxa"/>
            <w:tcBorders>
              <w:top w:val="single" w:sz="2" w:space="0" w:color="000001"/>
              <w:left w:val="single" w:sz="2" w:space="0" w:color="000001"/>
              <w:bottom w:val="single" w:sz="2" w:space="0" w:color="000001"/>
              <w:insideH w:val="single" w:sz="2" w:space="0" w:color="000001"/>
            </w:tcBorders>
            <w:shd w:color="auto" w:fill="FFFFFF" w:themeFill="background1" w:val="clear"/>
            <w:tcMar>
              <w:left w:w="107" w:type="dxa"/>
            </w:tcMar>
          </w:tcPr>
          <w:p>
            <w:pPr>
              <w:pStyle w:val="Normal"/>
              <w:numPr>
                <w:ilvl w:val="0"/>
                <w:numId w:val="4"/>
              </w:numPr>
              <w:tabs>
                <w:tab w:val="left" w:pos="180" w:leader="none"/>
                <w:tab w:val="left" w:pos="360" w:leader="none"/>
              </w:tabs>
              <w:suppressAutoHyphens w:val="true"/>
              <w:spacing w:lineRule="auto" w:line="240" w:before="0" w:after="0"/>
              <w:ind w:left="180" w:hanging="0"/>
              <w:rPr>
                <w:rFonts w:ascii="Times New Roman" w:hAnsi="Times New Roman" w:cs="Times New Roman"/>
                <w:sz w:val="28"/>
                <w:szCs w:val="28"/>
              </w:rPr>
            </w:pPr>
            <w:r>
              <w:rPr>
                <w:rFonts w:cs="Times New Roman" w:ascii="Times New Roman" w:hAnsi="Times New Roman"/>
                <w:sz w:val="28"/>
                <w:szCs w:val="28"/>
              </w:rPr>
              <w:t>активное участие в федеральных и региональных программах;</w:t>
            </w:r>
          </w:p>
          <w:p>
            <w:pPr>
              <w:pStyle w:val="Normal"/>
              <w:numPr>
                <w:ilvl w:val="0"/>
                <w:numId w:val="4"/>
              </w:numPr>
              <w:tabs>
                <w:tab w:val="left" w:pos="180" w:leader="none"/>
                <w:tab w:val="left" w:pos="360" w:leader="none"/>
              </w:tabs>
              <w:suppressAutoHyphens w:val="true"/>
              <w:spacing w:lineRule="auto" w:line="240" w:before="0" w:after="0"/>
              <w:ind w:left="180" w:hanging="0"/>
              <w:rPr>
                <w:rFonts w:ascii="Times New Roman" w:hAnsi="Times New Roman" w:cs="Times New Roman"/>
                <w:sz w:val="28"/>
                <w:szCs w:val="28"/>
              </w:rPr>
            </w:pPr>
            <w:r>
              <w:rPr>
                <w:rFonts w:cs="Times New Roman" w:ascii="Times New Roman" w:hAnsi="Times New Roman"/>
                <w:sz w:val="28"/>
                <w:szCs w:val="28"/>
              </w:rPr>
              <w:t>создание благоприятных условий для привлечения инвестиций;</w:t>
            </w:r>
          </w:p>
          <w:p>
            <w:pPr>
              <w:pStyle w:val="Normal"/>
              <w:numPr>
                <w:ilvl w:val="0"/>
                <w:numId w:val="4"/>
              </w:numPr>
              <w:tabs>
                <w:tab w:val="left" w:pos="180" w:leader="none"/>
                <w:tab w:val="left" w:pos="360" w:leader="none"/>
              </w:tabs>
              <w:suppressAutoHyphens w:val="true"/>
              <w:spacing w:lineRule="auto" w:line="240" w:before="0" w:after="0"/>
              <w:ind w:left="180" w:hanging="0"/>
              <w:rPr>
                <w:rFonts w:ascii="Times New Roman" w:hAnsi="Times New Roman" w:cs="Times New Roman"/>
                <w:sz w:val="28"/>
                <w:szCs w:val="28"/>
              </w:rPr>
            </w:pPr>
            <w:r>
              <w:rPr>
                <w:rFonts w:cs="Times New Roman" w:ascii="Times New Roman" w:hAnsi="Times New Roman"/>
                <w:sz w:val="28"/>
                <w:szCs w:val="28"/>
              </w:rPr>
              <w:t>рост инвестиционной активности зарубежных и российских инвесторов;</w:t>
            </w:r>
          </w:p>
          <w:p>
            <w:pPr>
              <w:pStyle w:val="Normal"/>
              <w:numPr>
                <w:ilvl w:val="0"/>
                <w:numId w:val="4"/>
              </w:numPr>
              <w:tabs>
                <w:tab w:val="left" w:pos="180" w:leader="none"/>
                <w:tab w:val="left" w:pos="360" w:leader="none"/>
              </w:tabs>
              <w:suppressAutoHyphens w:val="true"/>
              <w:spacing w:lineRule="auto" w:line="240" w:before="0" w:after="0"/>
              <w:ind w:left="180" w:hanging="0"/>
              <w:rPr>
                <w:rFonts w:ascii="Times New Roman" w:hAnsi="Times New Roman" w:cs="Times New Roman"/>
                <w:sz w:val="28"/>
                <w:szCs w:val="28"/>
              </w:rPr>
            </w:pPr>
            <w:r>
              <w:rPr>
                <w:rFonts w:cs="Times New Roman" w:ascii="Times New Roman" w:hAnsi="Times New Roman"/>
                <w:sz w:val="28"/>
                <w:szCs w:val="28"/>
              </w:rPr>
              <w:t>усиление финансовой поддержки города как курорта федерального значения;</w:t>
            </w:r>
          </w:p>
          <w:p>
            <w:pPr>
              <w:pStyle w:val="Normal"/>
              <w:numPr>
                <w:ilvl w:val="0"/>
                <w:numId w:val="4"/>
              </w:numPr>
              <w:tabs>
                <w:tab w:val="left" w:pos="180" w:leader="none"/>
                <w:tab w:val="left" w:pos="360" w:leader="none"/>
              </w:tabs>
              <w:suppressAutoHyphens w:val="true"/>
              <w:spacing w:lineRule="auto" w:line="240" w:before="0" w:after="0"/>
              <w:ind w:left="180" w:hanging="0"/>
              <w:rPr>
                <w:rFonts w:ascii="Times New Roman" w:hAnsi="Times New Roman" w:cs="Times New Roman"/>
                <w:sz w:val="28"/>
                <w:szCs w:val="28"/>
              </w:rPr>
            </w:pPr>
            <w:r>
              <w:rPr>
                <w:rFonts w:cs="Times New Roman" w:ascii="Times New Roman" w:hAnsi="Times New Roman"/>
                <w:sz w:val="28"/>
                <w:szCs w:val="28"/>
              </w:rPr>
              <w:t>формирование и продвижение имиджа региона Кавказских Минеральных Вод как перспективного направления на внутреннем и международном туристических рынках;</w:t>
            </w:r>
          </w:p>
          <w:p>
            <w:pPr>
              <w:pStyle w:val="Normal"/>
              <w:numPr>
                <w:ilvl w:val="0"/>
                <w:numId w:val="4"/>
              </w:numPr>
              <w:tabs>
                <w:tab w:val="left" w:pos="180" w:leader="none"/>
                <w:tab w:val="left" w:pos="360" w:leader="none"/>
              </w:tabs>
              <w:suppressAutoHyphens w:val="true"/>
              <w:spacing w:lineRule="auto" w:line="240" w:before="0" w:after="0"/>
              <w:ind w:left="180" w:hanging="0"/>
              <w:rPr>
                <w:rFonts w:ascii="Times New Roman" w:hAnsi="Times New Roman" w:cs="Times New Roman"/>
                <w:sz w:val="28"/>
                <w:szCs w:val="28"/>
              </w:rPr>
            </w:pPr>
            <w:r>
              <w:rPr>
                <w:rFonts w:cs="Times New Roman" w:ascii="Times New Roman" w:hAnsi="Times New Roman"/>
                <w:sz w:val="28"/>
                <w:szCs w:val="28"/>
              </w:rPr>
              <w:t>увеличение туристического потока в связи с изменениями на международном туристическом рынке;</w:t>
            </w:r>
          </w:p>
          <w:p>
            <w:pPr>
              <w:pStyle w:val="Normal"/>
              <w:numPr>
                <w:ilvl w:val="0"/>
                <w:numId w:val="4"/>
              </w:numPr>
              <w:tabs>
                <w:tab w:val="left" w:pos="180" w:leader="none"/>
                <w:tab w:val="left" w:pos="360" w:leader="none"/>
              </w:tabs>
              <w:suppressAutoHyphens w:val="true"/>
              <w:spacing w:lineRule="auto" w:line="240" w:before="0" w:after="0"/>
              <w:ind w:left="180" w:hanging="0"/>
              <w:rPr>
                <w:rFonts w:ascii="Times New Roman" w:hAnsi="Times New Roman" w:cs="Times New Roman"/>
                <w:sz w:val="28"/>
                <w:szCs w:val="28"/>
              </w:rPr>
            </w:pPr>
            <w:r>
              <w:rPr>
                <w:rFonts w:cs="Times New Roman" w:ascii="Times New Roman" w:hAnsi="Times New Roman"/>
                <w:sz w:val="28"/>
                <w:szCs w:val="28"/>
              </w:rPr>
              <w:t>укрепление положительного имиджа города-курорта Железноводска на всероссийском и международном уровне за счет увеличения числа широкомасштабных культурно-массовых мероприятий;</w:t>
            </w:r>
          </w:p>
          <w:p>
            <w:pPr>
              <w:pStyle w:val="Normal"/>
              <w:numPr>
                <w:ilvl w:val="0"/>
                <w:numId w:val="4"/>
              </w:numPr>
              <w:tabs>
                <w:tab w:val="left" w:pos="180" w:leader="none"/>
                <w:tab w:val="left" w:pos="360" w:leader="none"/>
              </w:tabs>
              <w:suppressAutoHyphens w:val="true"/>
              <w:spacing w:lineRule="auto" w:line="240" w:before="0" w:after="0"/>
              <w:ind w:left="180" w:hanging="0"/>
              <w:rPr>
                <w:rFonts w:ascii="Times New Roman" w:hAnsi="Times New Roman" w:cs="Times New Roman"/>
                <w:sz w:val="28"/>
                <w:szCs w:val="28"/>
              </w:rPr>
            </w:pPr>
            <w:r>
              <w:rPr>
                <w:rFonts w:cs="Times New Roman" w:ascii="Times New Roman" w:hAnsi="Times New Roman"/>
                <w:sz w:val="28"/>
                <w:szCs w:val="28"/>
              </w:rPr>
              <w:t>создание единого туристического маршрута, включающего исторические места, памятники природы, иные достопримечательности</w:t>
            </w:r>
          </w:p>
        </w:tc>
        <w:tc>
          <w:tcPr>
            <w:tcW w:w="382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themeFill="background1" w:val="clear"/>
            <w:tcMar>
              <w:left w:w="107" w:type="dxa"/>
            </w:tcMar>
          </w:tcPr>
          <w:p>
            <w:pPr>
              <w:pStyle w:val="Normal"/>
              <w:numPr>
                <w:ilvl w:val="0"/>
                <w:numId w:val="4"/>
              </w:numPr>
              <w:tabs>
                <w:tab w:val="left" w:pos="180" w:leader="none"/>
                <w:tab w:val="left" w:pos="360" w:leader="none"/>
              </w:tabs>
              <w:suppressAutoHyphens w:val="true"/>
              <w:spacing w:lineRule="auto" w:line="240" w:before="0" w:after="0"/>
              <w:ind w:left="180" w:hanging="0"/>
              <w:rPr>
                <w:rFonts w:ascii="Times New Roman" w:hAnsi="Times New Roman" w:cs="Times New Roman"/>
                <w:sz w:val="28"/>
                <w:szCs w:val="28"/>
              </w:rPr>
            </w:pPr>
            <w:r>
              <w:rPr>
                <w:rFonts w:cs="Times New Roman" w:ascii="Times New Roman" w:hAnsi="Times New Roman"/>
                <w:sz w:val="28"/>
                <w:szCs w:val="28"/>
              </w:rPr>
              <w:t>снижение привлекательности региона Кавказских Минеральных Вод как рекреационной территории для населения России и стран СНГ;</w:t>
            </w:r>
          </w:p>
          <w:p>
            <w:pPr>
              <w:pStyle w:val="Normal"/>
              <w:numPr>
                <w:ilvl w:val="0"/>
                <w:numId w:val="4"/>
              </w:numPr>
              <w:tabs>
                <w:tab w:val="left" w:pos="180" w:leader="none"/>
                <w:tab w:val="left" w:pos="360" w:leader="none"/>
              </w:tabs>
              <w:suppressAutoHyphens w:val="true"/>
              <w:spacing w:lineRule="auto" w:line="240" w:before="0" w:after="0"/>
              <w:ind w:left="180" w:hanging="0"/>
              <w:rPr>
                <w:rFonts w:ascii="Times New Roman" w:hAnsi="Times New Roman" w:cs="Times New Roman"/>
                <w:sz w:val="28"/>
                <w:szCs w:val="28"/>
              </w:rPr>
            </w:pPr>
            <w:r>
              <w:rPr>
                <w:rFonts w:cs="Times New Roman" w:ascii="Times New Roman" w:hAnsi="Times New Roman"/>
                <w:sz w:val="28"/>
                <w:szCs w:val="28"/>
              </w:rPr>
              <w:t>высокая конкуренция на рынке туристских услуг;</w:t>
            </w:r>
          </w:p>
          <w:p>
            <w:pPr>
              <w:pStyle w:val="Normal"/>
              <w:numPr>
                <w:ilvl w:val="0"/>
                <w:numId w:val="4"/>
              </w:numPr>
              <w:tabs>
                <w:tab w:val="left" w:pos="180" w:leader="none"/>
                <w:tab w:val="left" w:pos="360" w:leader="none"/>
              </w:tabs>
              <w:suppressAutoHyphens w:val="true"/>
              <w:spacing w:lineRule="auto" w:line="240" w:before="0" w:after="0"/>
              <w:ind w:left="180" w:hanging="0"/>
              <w:rPr>
                <w:rFonts w:ascii="Times New Roman" w:hAnsi="Times New Roman" w:cs="Times New Roman"/>
                <w:sz w:val="28"/>
                <w:szCs w:val="28"/>
              </w:rPr>
            </w:pPr>
            <w:r>
              <w:rPr>
                <w:rFonts w:cs="Times New Roman" w:ascii="Times New Roman" w:hAnsi="Times New Roman"/>
                <w:sz w:val="28"/>
                <w:szCs w:val="28"/>
              </w:rPr>
              <w:t>финансирование федеральных и региональных программ в неполном объеме;</w:t>
            </w:r>
          </w:p>
          <w:p>
            <w:pPr>
              <w:pStyle w:val="Normal"/>
              <w:numPr>
                <w:ilvl w:val="0"/>
                <w:numId w:val="4"/>
              </w:numPr>
              <w:tabs>
                <w:tab w:val="left" w:pos="180" w:leader="none"/>
                <w:tab w:val="left" w:pos="360" w:leader="none"/>
              </w:tabs>
              <w:suppressAutoHyphens w:val="true"/>
              <w:spacing w:lineRule="auto" w:line="240" w:before="0" w:after="0"/>
              <w:ind w:left="180" w:hanging="0"/>
              <w:rPr>
                <w:rFonts w:ascii="Times New Roman" w:hAnsi="Times New Roman" w:cs="Times New Roman"/>
                <w:sz w:val="28"/>
                <w:szCs w:val="28"/>
              </w:rPr>
            </w:pPr>
            <w:r>
              <w:rPr>
                <w:rFonts w:cs="Times New Roman" w:ascii="Times New Roman" w:hAnsi="Times New Roman"/>
                <w:sz w:val="28"/>
                <w:szCs w:val="28"/>
              </w:rPr>
              <w:t>ограниченные возможности бюджета города для реализации социальных и экономических программ;</w:t>
            </w:r>
          </w:p>
          <w:p>
            <w:pPr>
              <w:pStyle w:val="Normal"/>
              <w:numPr>
                <w:ilvl w:val="0"/>
                <w:numId w:val="4"/>
              </w:numPr>
              <w:tabs>
                <w:tab w:val="left" w:pos="180" w:leader="none"/>
                <w:tab w:val="left" w:pos="360" w:leader="none"/>
              </w:tabs>
              <w:suppressAutoHyphens w:val="true"/>
              <w:spacing w:lineRule="auto" w:line="240" w:before="0" w:after="0"/>
              <w:ind w:left="180" w:hanging="0"/>
              <w:rPr>
                <w:rFonts w:ascii="Times New Roman" w:hAnsi="Times New Roman" w:cs="Times New Roman"/>
                <w:sz w:val="28"/>
                <w:szCs w:val="28"/>
              </w:rPr>
            </w:pPr>
            <w:r>
              <w:rPr>
                <w:rFonts w:cs="Times New Roman" w:ascii="Times New Roman" w:hAnsi="Times New Roman"/>
                <w:sz w:val="28"/>
                <w:szCs w:val="28"/>
              </w:rPr>
              <w:t>конкуренция за инвестиционные ресурсы;</w:t>
            </w:r>
          </w:p>
          <w:p>
            <w:pPr>
              <w:pStyle w:val="Normal"/>
              <w:tabs>
                <w:tab w:val="left" w:pos="180" w:leader="none"/>
                <w:tab w:val="left" w:pos="360" w:leader="none"/>
              </w:tabs>
              <w:spacing w:lineRule="auto" w:line="240" w:before="0" w:after="0"/>
              <w:ind w:left="180" w:hanging="0"/>
              <w:rPr>
                <w:rFonts w:ascii="Times New Roman" w:hAnsi="Times New Roman" w:cs="Times New Roman"/>
                <w:sz w:val="28"/>
                <w:szCs w:val="28"/>
              </w:rPr>
            </w:pPr>
            <w:r>
              <w:rPr>
                <w:rFonts w:cs="Times New Roman" w:ascii="Times New Roman" w:hAnsi="Times New Roman"/>
                <w:sz w:val="28"/>
                <w:szCs w:val="28"/>
              </w:rPr>
            </w:r>
          </w:p>
        </w:tc>
      </w:tr>
      <w:tr>
        <w:trPr/>
        <w:tc>
          <w:tcPr>
            <w:tcW w:w="1838" w:type="dxa"/>
            <w:tcBorders>
              <w:top w:val="single" w:sz="2" w:space="0" w:color="000001"/>
              <w:left w:val="single" w:sz="2" w:space="0" w:color="000001"/>
              <w:bottom w:val="single" w:sz="2" w:space="0" w:color="000001"/>
              <w:insideH w:val="single" w:sz="2" w:space="0" w:color="000001"/>
            </w:tcBorders>
            <w:shd w:color="auto" w:fill="FFFFFF" w:themeFill="background1" w:val="clear"/>
            <w:tcMar>
              <w:left w:w="107" w:type="dxa"/>
            </w:tcMar>
          </w:tcPr>
          <w:p>
            <w:pPr>
              <w:pStyle w:val="Normal"/>
              <w:tabs>
                <w:tab w:val="left" w:pos="180" w:leader="none"/>
                <w:tab w:val="left" w:pos="360" w:leader="none"/>
              </w:tabs>
              <w:spacing w:lineRule="auto" w:line="240" w:before="0" w:after="0"/>
              <w:rPr>
                <w:rFonts w:ascii="Times New Roman" w:hAnsi="Times New Roman" w:cs="Times New Roman"/>
                <w:sz w:val="28"/>
                <w:szCs w:val="28"/>
              </w:rPr>
            </w:pPr>
            <w:r>
              <w:rPr>
                <w:rFonts w:cs="Times New Roman" w:ascii="Times New Roman" w:hAnsi="Times New Roman"/>
                <w:sz w:val="28"/>
                <w:szCs w:val="28"/>
              </w:rPr>
              <w:t>Население</w:t>
            </w:r>
          </w:p>
        </w:tc>
        <w:tc>
          <w:tcPr>
            <w:tcW w:w="3974" w:type="dxa"/>
            <w:tcBorders>
              <w:top w:val="single" w:sz="2" w:space="0" w:color="000001"/>
              <w:left w:val="single" w:sz="2" w:space="0" w:color="000001"/>
              <w:bottom w:val="single" w:sz="2" w:space="0" w:color="000001"/>
              <w:insideH w:val="single" w:sz="2" w:space="0" w:color="000001"/>
            </w:tcBorders>
            <w:shd w:color="auto" w:fill="FFFFFF" w:themeFill="background1" w:val="clear"/>
            <w:tcMar>
              <w:left w:w="107" w:type="dxa"/>
            </w:tcMar>
          </w:tcPr>
          <w:p>
            <w:pPr>
              <w:pStyle w:val="Normal"/>
              <w:numPr>
                <w:ilvl w:val="0"/>
                <w:numId w:val="4"/>
              </w:numPr>
              <w:tabs>
                <w:tab w:val="left" w:pos="180" w:leader="none"/>
                <w:tab w:val="left" w:pos="360" w:leader="none"/>
              </w:tabs>
              <w:suppressAutoHyphens w:val="true"/>
              <w:spacing w:lineRule="auto" w:line="240" w:before="0" w:after="0"/>
              <w:ind w:left="180" w:hanging="0"/>
              <w:rPr>
                <w:rFonts w:ascii="Times New Roman" w:hAnsi="Times New Roman" w:cs="Times New Roman"/>
                <w:sz w:val="28"/>
                <w:szCs w:val="28"/>
              </w:rPr>
            </w:pPr>
            <w:r>
              <w:rPr>
                <w:rFonts w:cs="Times New Roman" w:ascii="Times New Roman" w:hAnsi="Times New Roman"/>
                <w:sz w:val="28"/>
                <w:szCs w:val="28"/>
              </w:rPr>
              <w:t>создание инфраструктуры развлечений;</w:t>
            </w:r>
          </w:p>
          <w:p>
            <w:pPr>
              <w:pStyle w:val="Normal"/>
              <w:numPr>
                <w:ilvl w:val="0"/>
                <w:numId w:val="1"/>
              </w:numPr>
              <w:tabs>
                <w:tab w:val="left" w:pos="75" w:leader="none"/>
                <w:tab w:val="left" w:pos="255" w:leader="none"/>
              </w:tabs>
              <w:suppressAutoHyphens w:val="true"/>
              <w:spacing w:lineRule="auto" w:line="240" w:before="0" w:after="0"/>
              <w:ind w:left="75" w:hanging="0"/>
              <w:rPr>
                <w:rFonts w:ascii="Times New Roman" w:hAnsi="Times New Roman" w:cs="Times New Roman"/>
                <w:sz w:val="28"/>
                <w:szCs w:val="28"/>
              </w:rPr>
            </w:pPr>
            <w:r>
              <w:rPr>
                <w:rFonts w:cs="Times New Roman" w:ascii="Times New Roman" w:hAnsi="Times New Roman"/>
                <w:sz w:val="28"/>
                <w:szCs w:val="28"/>
              </w:rPr>
              <w:t>рост платежеспособного спроса вследствие стабилизации экономической ситуации в России и странах СНГ;</w:t>
            </w:r>
          </w:p>
          <w:p>
            <w:pPr>
              <w:pStyle w:val="Normal"/>
              <w:numPr>
                <w:ilvl w:val="0"/>
                <w:numId w:val="1"/>
              </w:numPr>
              <w:tabs>
                <w:tab w:val="left" w:pos="75" w:leader="none"/>
                <w:tab w:val="left" w:pos="255" w:leader="none"/>
              </w:tabs>
              <w:suppressAutoHyphens w:val="true"/>
              <w:spacing w:lineRule="auto" w:line="240" w:before="0" w:after="0"/>
              <w:ind w:left="75" w:hanging="0"/>
              <w:rPr>
                <w:rFonts w:ascii="Times New Roman" w:hAnsi="Times New Roman" w:cs="Times New Roman"/>
                <w:sz w:val="28"/>
                <w:szCs w:val="28"/>
              </w:rPr>
            </w:pPr>
            <w:r>
              <w:rPr>
                <w:rFonts w:cs="Times New Roman" w:ascii="Times New Roman" w:hAnsi="Times New Roman"/>
                <w:sz w:val="28"/>
                <w:szCs w:val="28"/>
              </w:rPr>
              <w:t>интегрирование в структуру основной школы классов учреждений дополнительного образования в сфере культуры.</w:t>
            </w:r>
          </w:p>
          <w:p>
            <w:pPr>
              <w:pStyle w:val="Normal"/>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382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themeFill="background1" w:val="clear"/>
            <w:tcMar>
              <w:left w:w="107" w:type="dxa"/>
            </w:tcMar>
          </w:tcPr>
          <w:p>
            <w:pPr>
              <w:pStyle w:val="Normal"/>
              <w:numPr>
                <w:ilvl w:val="0"/>
                <w:numId w:val="1"/>
              </w:numPr>
              <w:tabs>
                <w:tab w:val="left" w:pos="75" w:leader="none"/>
                <w:tab w:val="left" w:pos="255" w:leader="none"/>
              </w:tabs>
              <w:suppressAutoHyphens w:val="true"/>
              <w:spacing w:lineRule="auto" w:line="240" w:before="0" w:after="0"/>
              <w:ind w:left="75" w:hanging="0"/>
              <w:rPr>
                <w:rFonts w:ascii="Times New Roman" w:hAnsi="Times New Roman" w:cs="Times New Roman"/>
                <w:sz w:val="28"/>
                <w:szCs w:val="28"/>
              </w:rPr>
            </w:pPr>
            <w:r>
              <w:rPr>
                <w:rFonts w:cs="Times New Roman" w:ascii="Times New Roman" w:hAnsi="Times New Roman"/>
                <w:sz w:val="28"/>
                <w:szCs w:val="28"/>
              </w:rPr>
              <w:t>рост тарифов на энергоносители;</w:t>
            </w:r>
          </w:p>
          <w:p>
            <w:pPr>
              <w:pStyle w:val="Normal"/>
              <w:numPr>
                <w:ilvl w:val="0"/>
                <w:numId w:val="1"/>
              </w:numPr>
              <w:tabs>
                <w:tab w:val="left" w:pos="75" w:leader="none"/>
                <w:tab w:val="left" w:pos="255" w:leader="none"/>
              </w:tabs>
              <w:suppressAutoHyphens w:val="true"/>
              <w:spacing w:lineRule="auto" w:line="240" w:before="0" w:after="0"/>
              <w:ind w:left="75" w:hanging="0"/>
              <w:rPr>
                <w:rFonts w:ascii="Times New Roman" w:hAnsi="Times New Roman" w:cs="Times New Roman"/>
                <w:sz w:val="28"/>
                <w:szCs w:val="28"/>
              </w:rPr>
            </w:pPr>
            <w:r>
              <w:rPr>
                <w:rFonts w:cs="Times New Roman" w:ascii="Times New Roman" w:hAnsi="Times New Roman"/>
                <w:sz w:val="28"/>
                <w:szCs w:val="28"/>
              </w:rPr>
              <w:t>старение населения;</w:t>
            </w:r>
          </w:p>
          <w:p>
            <w:pPr>
              <w:pStyle w:val="Normal"/>
              <w:numPr>
                <w:ilvl w:val="0"/>
                <w:numId w:val="1"/>
              </w:numPr>
              <w:tabs>
                <w:tab w:val="left" w:pos="75" w:leader="none"/>
                <w:tab w:val="left" w:pos="255" w:leader="none"/>
              </w:tabs>
              <w:suppressAutoHyphens w:val="true"/>
              <w:spacing w:lineRule="auto" w:line="240" w:before="0" w:after="0"/>
              <w:ind w:left="75" w:hanging="0"/>
              <w:rPr>
                <w:rFonts w:ascii="Times New Roman" w:hAnsi="Times New Roman" w:cs="Times New Roman"/>
                <w:sz w:val="28"/>
                <w:szCs w:val="28"/>
              </w:rPr>
            </w:pPr>
            <w:r>
              <w:rPr>
                <w:rFonts w:cs="Times New Roman" w:ascii="Times New Roman" w:hAnsi="Times New Roman"/>
                <w:sz w:val="28"/>
                <w:szCs w:val="28"/>
              </w:rPr>
              <w:t>политическая нестабильность в стране и соседних регионах;</w:t>
            </w:r>
          </w:p>
          <w:p>
            <w:pPr>
              <w:pStyle w:val="Normal"/>
              <w:numPr>
                <w:ilvl w:val="0"/>
                <w:numId w:val="1"/>
              </w:numPr>
              <w:tabs>
                <w:tab w:val="left" w:pos="255" w:leader="none"/>
              </w:tabs>
              <w:suppressAutoHyphens w:val="true"/>
              <w:spacing w:lineRule="auto" w:line="240" w:before="0" w:after="0"/>
              <w:ind w:left="75" w:hanging="0"/>
              <w:rPr>
                <w:rFonts w:ascii="Times New Roman" w:hAnsi="Times New Roman" w:cs="Times New Roman"/>
                <w:sz w:val="28"/>
                <w:szCs w:val="28"/>
              </w:rPr>
            </w:pPr>
            <w:r>
              <w:rPr>
                <w:rFonts w:cs="Times New Roman" w:ascii="Times New Roman" w:hAnsi="Times New Roman"/>
                <w:sz w:val="28"/>
                <w:szCs w:val="28"/>
              </w:rPr>
              <w:t xml:space="preserve">отсутствие системы утилизации отходов в регионе Кавказских Минеральных Вод, </w:t>
            </w:r>
          </w:p>
          <w:p>
            <w:pPr>
              <w:pStyle w:val="Normal"/>
              <w:numPr>
                <w:ilvl w:val="0"/>
                <w:numId w:val="1"/>
              </w:numPr>
              <w:tabs>
                <w:tab w:val="left" w:pos="255" w:leader="none"/>
              </w:tabs>
              <w:suppressAutoHyphens w:val="true"/>
              <w:spacing w:lineRule="auto" w:line="240" w:before="0" w:after="0"/>
              <w:ind w:left="75" w:hanging="0"/>
              <w:rPr>
                <w:rFonts w:ascii="Times New Roman" w:hAnsi="Times New Roman" w:cs="Times New Roman"/>
                <w:sz w:val="28"/>
                <w:szCs w:val="28"/>
              </w:rPr>
            </w:pPr>
            <w:r>
              <w:rPr>
                <w:rFonts w:cs="Times New Roman" w:ascii="Times New Roman" w:hAnsi="Times New Roman"/>
                <w:sz w:val="28"/>
                <w:szCs w:val="28"/>
              </w:rPr>
              <w:t>отток квалифицированных кадров в другие регионы России;</w:t>
            </w:r>
          </w:p>
          <w:p>
            <w:pPr>
              <w:pStyle w:val="Normal"/>
              <w:numPr>
                <w:ilvl w:val="0"/>
                <w:numId w:val="1"/>
              </w:numPr>
              <w:tabs>
                <w:tab w:val="left" w:pos="75" w:leader="none"/>
                <w:tab w:val="left" w:pos="255" w:leader="none"/>
              </w:tabs>
              <w:suppressAutoHyphens w:val="true"/>
              <w:spacing w:lineRule="auto" w:line="240" w:before="0" w:after="0"/>
              <w:ind w:left="75" w:hanging="0"/>
              <w:rPr>
                <w:rFonts w:ascii="Times New Roman" w:hAnsi="Times New Roman" w:cs="Times New Roman"/>
                <w:sz w:val="28"/>
                <w:szCs w:val="28"/>
              </w:rPr>
            </w:pPr>
            <w:r>
              <w:rPr>
                <w:rFonts w:cs="Times New Roman" w:ascii="Times New Roman" w:hAnsi="Times New Roman"/>
                <w:sz w:val="28"/>
                <w:szCs w:val="28"/>
              </w:rPr>
              <w:t>проникновение на территорию города радикальных течений ислама и нетрадиционных религиозных течений, последователи которых способны дестабилизировать социально-политическую обстановку на территории городского округа.</w:t>
            </w:r>
          </w:p>
        </w:tc>
      </w:tr>
    </w:tbl>
    <w:p>
      <w:pPr>
        <w:pStyle w:val="3"/>
        <w:rPr/>
      </w:pPr>
      <w:r>
        <w:rPr/>
      </w:r>
    </w:p>
    <w:p>
      <w:pPr>
        <w:pStyle w:val="3"/>
        <w:rPr/>
      </w:pPr>
      <w:r>
        <w:rPr/>
        <w:t>1.3 Анализ основных проблемных вопросов в экономике и социальной сфере города-курорта Железноводска</w:t>
      </w:r>
    </w:p>
    <w:p>
      <w:pPr>
        <w:pStyle w:val="Standard"/>
        <w:rPr>
          <w:sz w:val="28"/>
        </w:rPr>
      </w:pPr>
      <w:r>
        <w:rPr>
          <w:sz w:val="28"/>
        </w:rPr>
      </w:r>
    </w:p>
    <w:p>
      <w:pPr>
        <w:pStyle w:val="Standard"/>
        <w:rPr>
          <w:rFonts w:eastAsia="Calibri" w:eastAsiaTheme="minorHAnsi"/>
          <w:sz w:val="28"/>
          <w:szCs w:val="28"/>
        </w:rPr>
      </w:pPr>
      <w:r>
        <w:rPr>
          <w:rFonts w:eastAsia="Calibri" w:eastAsiaTheme="minorHAnsi"/>
          <w:sz w:val="28"/>
          <w:szCs w:val="28"/>
        </w:rPr>
        <w:t>Эффективное использование конкурентных преимуществ и внутреннего потенциала ограничивается выявленными проблемами, сдерживающими его социально-экономическое развитие, решение которых имеет стратегическое значение для дальнейшего улучшения качества жизни населения города-курорта Железноводска. В результате анализа положения дел в отраслях экономики и социальной сферы города выявлены следующие системные проблемы:</w:t>
      </w:r>
    </w:p>
    <w:p>
      <w:pPr>
        <w:pStyle w:val="Standard"/>
        <w:rPr>
          <w:rFonts w:eastAsia="Calibri" w:eastAsiaTheme="minorHAnsi"/>
          <w:sz w:val="28"/>
          <w:szCs w:val="28"/>
        </w:rPr>
      </w:pPr>
      <w:r>
        <w:rPr>
          <w:rFonts w:eastAsia="Calibri" w:eastAsiaTheme="minorHAnsi"/>
          <w:sz w:val="28"/>
          <w:szCs w:val="28"/>
        </w:rPr>
        <w:t>Проблемы экономики города:</w:t>
      </w:r>
    </w:p>
    <w:p>
      <w:pPr>
        <w:pStyle w:val="Standard"/>
        <w:rPr>
          <w:rFonts w:eastAsia="Calibri" w:eastAsiaTheme="minorHAnsi"/>
          <w:sz w:val="28"/>
          <w:szCs w:val="28"/>
        </w:rPr>
      </w:pPr>
      <w:r>
        <w:rPr>
          <w:rFonts w:eastAsia="Calibri" w:eastAsiaTheme="minorHAnsi"/>
          <w:sz w:val="28"/>
          <w:szCs w:val="28"/>
        </w:rPr>
        <w:t>- снижение инвестиционной активности и проблемы в ведении финансово-хозяйственной деятельности предприятий и организаций на территории города-курорта Железноводска, связанные с негативным влиянием внешних и внутренних экономических и политических факторов;</w:t>
      </w:r>
    </w:p>
    <w:p>
      <w:pPr>
        <w:pStyle w:val="Standard"/>
        <w:rPr>
          <w:rFonts w:eastAsia="Calibri" w:eastAsiaTheme="minorHAnsi"/>
          <w:sz w:val="28"/>
          <w:szCs w:val="28"/>
        </w:rPr>
      </w:pPr>
      <w:r>
        <w:rPr>
          <w:rFonts w:eastAsia="Calibri" w:eastAsiaTheme="minorHAnsi"/>
          <w:sz w:val="28"/>
          <w:szCs w:val="28"/>
        </w:rPr>
        <w:t>- недостаточная активность предприятий и организаций города по внедрению инновационных и научно-технических разработок;</w:t>
      </w:r>
    </w:p>
    <w:p>
      <w:pPr>
        <w:pStyle w:val="Standard"/>
        <w:rPr>
          <w:rFonts w:eastAsia="Calibri" w:eastAsiaTheme="minorHAnsi"/>
          <w:sz w:val="28"/>
          <w:szCs w:val="28"/>
        </w:rPr>
      </w:pPr>
      <w:r>
        <w:rPr>
          <w:rFonts w:eastAsia="Calibri" w:eastAsiaTheme="minorHAnsi"/>
          <w:sz w:val="28"/>
          <w:szCs w:val="28"/>
        </w:rPr>
        <w:t>- неудовлетворительное состояние объектов федеральной собственности, расположенных на территории города - курорта Железноводска. В соответствии с Постановлением Правительства Российской Федерации № 112 от 18 февраля 2002 года здание Памятника архитектуры федерального значения Островских ванн передано от Федерации независимых профсоюзов России в федеральную собственность и находится на балансе «Санаторий имени Г.К. Орджоникидзе» - филиала федерального государственного бюджетного учреждения «Федеральный медицинский центр» Федерального агентства по управлению государственным имуществом. Более 20 лет объект культурного наследия не эксплуатируется как минеральные ванны. В связи с недостаточным финансированием и отсутствием системного подхода к решению существующих проблем, здание Островских ванн находится в неудовлетворительном состоянии. Кроме того, требуется дальнейшая реставрация памятника архитектуры федерального значения «Пушкинская галерея»;</w:t>
      </w:r>
    </w:p>
    <w:p>
      <w:pPr>
        <w:pStyle w:val="Standard"/>
        <w:rPr>
          <w:rFonts w:eastAsia="Calibri" w:eastAsiaTheme="minorHAnsi"/>
          <w:sz w:val="28"/>
          <w:szCs w:val="28"/>
        </w:rPr>
      </w:pPr>
      <w:r>
        <w:rPr>
          <w:rFonts w:eastAsia="Calibri" w:eastAsiaTheme="minorHAnsi"/>
          <w:sz w:val="28"/>
          <w:szCs w:val="28"/>
        </w:rPr>
        <w:t>- неудовлетворительное состояние многих объектов лечебного парка и общего благоустройства. Лечебный парк города-курорта Железноводска — центр курортной жизни и главное сосредоточение природных, архитектурных и исторических достопримечательностей. Парк является одним из старейших на Кавказских Минеральных Водах и единственным парком, расположенным на территории естественного лесного массива.  В настоящее время памятники и малые архитектурные формы парка находятся полуразрушенном виде. Дорожное покрытие большинства аллей и терренкуров курортной зоны парка разрушены, подлежит восстановлению терренкур, идущий с горы Железной на гору Развалка протяженностью 12 км.</w:t>
      </w:r>
    </w:p>
    <w:p>
      <w:pPr>
        <w:pStyle w:val="Standard"/>
        <w:rPr>
          <w:rFonts w:eastAsia="Calibri" w:eastAsiaTheme="minorHAnsi"/>
          <w:sz w:val="28"/>
          <w:szCs w:val="28"/>
        </w:rPr>
      </w:pPr>
      <w:r>
        <w:rPr>
          <w:rFonts w:eastAsia="Calibri" w:eastAsiaTheme="minorHAnsi"/>
          <w:sz w:val="28"/>
          <w:szCs w:val="28"/>
        </w:rPr>
        <w:t>Обслуживание и содержание лечебного парка осуществляется за счет средств бюджета города-курорта Железноводска и является достаточно весомой ношей для городского бюджета. Федеральными органами власти на данные мероприятия финансовые средства не выделяются;</w:t>
      </w:r>
    </w:p>
    <w:p>
      <w:pPr>
        <w:pStyle w:val="Standard"/>
        <w:rPr>
          <w:rFonts w:eastAsia="Calibri" w:eastAsiaTheme="minorHAnsi"/>
          <w:sz w:val="28"/>
          <w:szCs w:val="28"/>
        </w:rPr>
      </w:pPr>
      <w:r>
        <w:rPr>
          <w:rFonts w:eastAsia="Calibri" w:eastAsiaTheme="minorHAnsi"/>
          <w:sz w:val="28"/>
          <w:szCs w:val="28"/>
        </w:rPr>
        <w:t>- содержание и техническое обслуживание бюветов Смирновского, Лермонтовского и штольни Славяновского источников минеральных вод. В соответствии с постановлением Верховного Совета  Российской Федерации от 27 декабря 1997 г. № 3020-I «О разграничении государственной собственности в Российской Федерации на федеральную собственность, государственную собственность республик в составе Российской Федерации, краёв, областей, автономной области, автономных округов, городов Москвы и Санкт-Петербурга и муниципальную собственность», постановлением Правительства Российской Федерации от 18 февраля 2002 г. № 112, иными правовыми документами бюветы Смирновского, Лермонтовского и штольня Славяновского источников минеральных вод были переданы в федеральную собственность,  балансодержатель объектов – «Санаторий имени Г.К. Орджоникидзе» - филиала федерального государственного бюджетного учреждения «Федеральный медицинский центр» Федерального агентства по управлению государственным имуществом .</w:t>
      </w:r>
    </w:p>
    <w:p>
      <w:pPr>
        <w:pStyle w:val="Standard"/>
        <w:rPr>
          <w:rFonts w:eastAsia="Calibri" w:eastAsiaTheme="minorHAnsi"/>
          <w:sz w:val="28"/>
          <w:szCs w:val="28"/>
        </w:rPr>
      </w:pPr>
      <w:r>
        <w:rPr>
          <w:rFonts w:eastAsia="Calibri" w:eastAsiaTheme="minorHAnsi"/>
          <w:sz w:val="28"/>
          <w:szCs w:val="28"/>
        </w:rPr>
        <w:t>Однако, при передаче указанных объектов не были учтены водосбросные лотки для отвода излишков минеральных вод. На сегодняшний день вопрос определения балансодержателей сбросных лотков так и не решен. В результате из-за отсутствия собственника лотков профилактические работы по их техническому обслуживанию и ремонту не проводятся годами;</w:t>
      </w:r>
    </w:p>
    <w:p>
      <w:pPr>
        <w:pStyle w:val="Standard"/>
        <w:rPr>
          <w:rFonts w:eastAsia="Calibri" w:eastAsiaTheme="minorHAnsi"/>
          <w:sz w:val="28"/>
          <w:szCs w:val="28"/>
        </w:rPr>
      </w:pPr>
      <w:r>
        <w:rPr>
          <w:rFonts w:eastAsia="Calibri" w:eastAsiaTheme="minorHAnsi"/>
          <w:sz w:val="28"/>
          <w:szCs w:val="28"/>
        </w:rPr>
        <w:t>- низкая доля отраслей, обслуживающих курорт, что, в конечном итоге, выступает сдерживающим фактором дальнейшего развития города как курорта. Недостаточный уровень развития инфраструктуры культурно-досуговых потребностей населения и отдыхающих на курорте;</w:t>
      </w:r>
    </w:p>
    <w:p>
      <w:pPr>
        <w:pStyle w:val="Standard"/>
        <w:rPr>
          <w:rFonts w:eastAsia="Calibri" w:eastAsiaTheme="minorHAnsi"/>
          <w:sz w:val="28"/>
          <w:szCs w:val="28"/>
        </w:rPr>
      </w:pPr>
      <w:r>
        <w:rPr>
          <w:rFonts w:eastAsia="Calibri" w:eastAsiaTheme="minorHAnsi"/>
          <w:sz w:val="28"/>
          <w:szCs w:val="28"/>
        </w:rPr>
        <w:t>- необходимость проведения паспортизации, инвентаризации туристско-экскурсионных объектов с оценкой затрат на обустройство и реставрацию, развития новых видов туризма: спортивного, познавательного, оздоровительного, событийного;</w:t>
      </w:r>
    </w:p>
    <w:p>
      <w:pPr>
        <w:pStyle w:val="Standard"/>
        <w:rPr>
          <w:rFonts w:eastAsia="Calibri" w:eastAsiaTheme="minorHAnsi"/>
          <w:sz w:val="28"/>
          <w:szCs w:val="28"/>
        </w:rPr>
      </w:pPr>
      <w:r>
        <w:rPr>
          <w:rFonts w:eastAsia="Calibri" w:eastAsiaTheme="minorHAnsi"/>
          <w:sz w:val="28"/>
          <w:szCs w:val="28"/>
        </w:rPr>
        <w:t>- недостаточное количество туристских операторов и частных мини-отелей;</w:t>
      </w:r>
    </w:p>
    <w:p>
      <w:pPr>
        <w:pStyle w:val="Standard"/>
        <w:rPr>
          <w:rFonts w:eastAsia="Calibri" w:eastAsiaTheme="minorHAnsi"/>
          <w:sz w:val="28"/>
          <w:szCs w:val="28"/>
        </w:rPr>
      </w:pPr>
      <w:r>
        <w:rPr>
          <w:rFonts w:eastAsia="Calibri" w:eastAsiaTheme="minorHAnsi"/>
          <w:sz w:val="28"/>
          <w:szCs w:val="28"/>
        </w:rPr>
        <w:t>- низкая активность реальных инвесторов для полного финансирования перспективных инвестиционных проектов;</w:t>
      </w:r>
    </w:p>
    <w:p>
      <w:pPr>
        <w:pStyle w:val="Standard"/>
        <w:rPr>
          <w:rFonts w:eastAsia="Calibri" w:eastAsiaTheme="minorHAnsi"/>
          <w:sz w:val="28"/>
          <w:szCs w:val="28"/>
        </w:rPr>
      </w:pPr>
      <w:r>
        <w:rPr>
          <w:rFonts w:eastAsia="Calibri" w:eastAsiaTheme="minorHAnsi"/>
          <w:sz w:val="28"/>
          <w:szCs w:val="28"/>
        </w:rPr>
        <w:t>- высокий уровень износа инженерной инфраструктуры и жилого фонда, оказывающий отрицательное влияние на качество предоставления коммунальных услуг, приводящий к загрязнению окружающей среды и высокому уровню потерь коммунальных ресурсов;</w:t>
      </w:r>
    </w:p>
    <w:p>
      <w:pPr>
        <w:pStyle w:val="Standard"/>
        <w:rPr>
          <w:rFonts w:eastAsia="Calibri" w:eastAsiaTheme="minorHAnsi"/>
          <w:sz w:val="28"/>
          <w:szCs w:val="28"/>
        </w:rPr>
      </w:pPr>
      <w:r>
        <w:rPr>
          <w:rFonts w:eastAsia="Calibri" w:eastAsiaTheme="minorHAnsi"/>
          <w:sz w:val="28"/>
          <w:szCs w:val="28"/>
        </w:rPr>
        <w:t>- рост стоимости коммунальных услуг, недостаточный уровень качества предоставляемых услуг населению;</w:t>
      </w:r>
    </w:p>
    <w:p>
      <w:pPr>
        <w:pStyle w:val="Standard"/>
        <w:rPr>
          <w:rFonts w:eastAsia="Calibri" w:eastAsiaTheme="minorHAnsi"/>
          <w:sz w:val="28"/>
          <w:szCs w:val="28"/>
        </w:rPr>
      </w:pPr>
      <w:r>
        <w:rPr>
          <w:rFonts w:eastAsia="Calibri" w:eastAsiaTheme="minorHAnsi"/>
          <w:sz w:val="28"/>
          <w:szCs w:val="28"/>
        </w:rPr>
        <w:t>- высокая степень износа подвижного транспортного состава и плохое состояние улично-дорожной сети города;</w:t>
      </w:r>
    </w:p>
    <w:p>
      <w:pPr>
        <w:pStyle w:val="Standard"/>
        <w:rPr>
          <w:rFonts w:eastAsia="Calibri" w:eastAsiaTheme="minorHAnsi"/>
          <w:sz w:val="28"/>
          <w:szCs w:val="28"/>
        </w:rPr>
      </w:pPr>
      <w:r>
        <w:rPr>
          <w:rFonts w:eastAsia="Calibri" w:eastAsiaTheme="minorHAnsi"/>
          <w:sz w:val="28"/>
          <w:szCs w:val="28"/>
        </w:rPr>
        <w:t>Необходимо усилить работу по формированию позитивного имиджа города и проведения мероприятий, связанных с пропагандой развития города-курорта, сохранением его рекреационной привлекательности и созданием условий комфортности проживания.</w:t>
      </w:r>
    </w:p>
    <w:p>
      <w:pPr>
        <w:pStyle w:val="Standard"/>
        <w:rPr>
          <w:rFonts w:eastAsia="Calibri" w:eastAsiaTheme="minorHAnsi"/>
          <w:sz w:val="28"/>
          <w:szCs w:val="28"/>
        </w:rPr>
      </w:pPr>
      <w:r>
        <w:rPr>
          <w:rFonts w:eastAsia="Calibri" w:eastAsiaTheme="minorHAnsi"/>
          <w:sz w:val="28"/>
          <w:szCs w:val="28"/>
        </w:rPr>
        <w:t xml:space="preserve">Проблемы развития малого и среднего предпринимательства. </w:t>
      </w:r>
    </w:p>
    <w:p>
      <w:pPr>
        <w:pStyle w:val="Standard"/>
        <w:rPr>
          <w:rFonts w:eastAsia="Calibri" w:eastAsiaTheme="minorHAnsi"/>
          <w:sz w:val="28"/>
          <w:szCs w:val="28"/>
        </w:rPr>
      </w:pPr>
      <w:r>
        <w:rPr>
          <w:rFonts w:eastAsia="Calibri" w:eastAsiaTheme="minorHAnsi"/>
          <w:sz w:val="28"/>
          <w:szCs w:val="28"/>
        </w:rPr>
        <w:t>Наряду с положительными тенденциями развития малого и среднего предпринимательства остаются проблемы, препятствующие его развитию:</w:t>
      </w:r>
    </w:p>
    <w:p>
      <w:pPr>
        <w:pStyle w:val="Standard"/>
        <w:rPr>
          <w:rFonts w:eastAsia="Calibri" w:eastAsiaTheme="minorHAnsi"/>
          <w:sz w:val="28"/>
          <w:szCs w:val="28"/>
        </w:rPr>
      </w:pPr>
      <w:r>
        <w:rPr>
          <w:rFonts w:eastAsia="Calibri" w:eastAsiaTheme="minorHAnsi"/>
          <w:sz w:val="28"/>
          <w:szCs w:val="28"/>
        </w:rPr>
        <w:t>недостаточность начального капитала и собственных оборотных средств у субъектов малого и среднего предпринимательства;</w:t>
      </w:r>
    </w:p>
    <w:p>
      <w:pPr>
        <w:pStyle w:val="Standard"/>
        <w:rPr>
          <w:rFonts w:eastAsia="Calibri" w:eastAsiaTheme="minorHAnsi"/>
          <w:sz w:val="28"/>
          <w:szCs w:val="28"/>
        </w:rPr>
      </w:pPr>
      <w:r>
        <w:rPr>
          <w:rFonts w:eastAsia="Calibri" w:eastAsiaTheme="minorHAnsi"/>
          <w:sz w:val="28"/>
          <w:szCs w:val="28"/>
        </w:rPr>
        <w:t>трудности с получением кредитов у кредитных организаций и высокие кредитные ставки.  Кризисные явления в экономике отрицательно повлияли на себестоимость продукции и рентабельность бизнеса, инвестиционные планы и финансовую устойчивость малых и средних предприятий;</w:t>
      </w:r>
    </w:p>
    <w:p>
      <w:pPr>
        <w:pStyle w:val="Standard"/>
        <w:rPr>
          <w:rFonts w:eastAsia="Calibri" w:eastAsiaTheme="minorHAnsi"/>
          <w:sz w:val="28"/>
          <w:szCs w:val="28"/>
        </w:rPr>
      </w:pPr>
      <w:r>
        <w:rPr>
          <w:rFonts w:eastAsia="Calibri" w:eastAsiaTheme="minorHAnsi"/>
          <w:sz w:val="28"/>
          <w:szCs w:val="28"/>
        </w:rPr>
        <w:t>наличие неформальной занятости в сфере малого и среднего предпринимательства, что связано в первую очередь со сложными процедурами государственного регулирования, административным давлением, высоким уровнем финансовой нагрузки;</w:t>
      </w:r>
    </w:p>
    <w:p>
      <w:pPr>
        <w:pStyle w:val="Standard"/>
        <w:rPr>
          <w:rFonts w:eastAsia="Calibri" w:eastAsiaTheme="minorHAnsi"/>
          <w:sz w:val="28"/>
          <w:szCs w:val="28"/>
        </w:rPr>
      </w:pPr>
      <w:r>
        <w:rPr>
          <w:rFonts w:eastAsia="Calibri" w:eastAsiaTheme="minorHAnsi"/>
          <w:sz w:val="28"/>
          <w:szCs w:val="28"/>
        </w:rPr>
        <w:t>низкая инновационная и инвестиционная активность малых и средних предприятий.</w:t>
      </w:r>
    </w:p>
    <w:p>
      <w:pPr>
        <w:pStyle w:val="Standard"/>
        <w:rPr>
          <w:rFonts w:eastAsia="Calibri" w:eastAsiaTheme="minorHAnsi"/>
          <w:sz w:val="28"/>
          <w:szCs w:val="28"/>
        </w:rPr>
      </w:pPr>
      <w:r>
        <w:rPr>
          <w:rFonts w:eastAsia="Calibri" w:eastAsiaTheme="minorHAnsi"/>
          <w:sz w:val="28"/>
          <w:szCs w:val="28"/>
        </w:rPr>
        <w:t>Кроме того, среди проблем, сдерживающих развитие малого предпринимательства, по-прежнему остаются административные барьеры, которые не только мешают развитию предпринимательства, но и вынуждают субъектов малого предпринимательства уходить в теневую экономику.</w:t>
      </w:r>
    </w:p>
    <w:p>
      <w:pPr>
        <w:pStyle w:val="Standard"/>
        <w:rPr>
          <w:rFonts w:eastAsia="Calibri" w:eastAsiaTheme="minorHAnsi"/>
          <w:sz w:val="28"/>
          <w:szCs w:val="28"/>
        </w:rPr>
      </w:pPr>
      <w:r>
        <w:rPr>
          <w:rFonts w:eastAsia="Calibri" w:eastAsiaTheme="minorHAnsi"/>
          <w:sz w:val="28"/>
          <w:szCs w:val="28"/>
        </w:rPr>
        <w:t>Перечисленные проблемы требуют системного подхода, консолидирующего ресурсы и координирующего усилия субъектов предпринимательства и их объединений с действиями органов местного самоуправления города -курорта Железноводска Ставропольского края.</w:t>
      </w:r>
    </w:p>
    <w:p>
      <w:pPr>
        <w:pStyle w:val="Standard"/>
        <w:rPr>
          <w:rFonts w:eastAsia="Calibri" w:eastAsiaTheme="minorHAnsi"/>
          <w:sz w:val="28"/>
          <w:szCs w:val="28"/>
        </w:rPr>
      </w:pPr>
      <w:r>
        <w:rPr>
          <w:rFonts w:eastAsia="Calibri" w:eastAsiaTheme="minorHAnsi"/>
          <w:sz w:val="28"/>
          <w:szCs w:val="28"/>
        </w:rPr>
        <w:t>Экологические проблемы:</w:t>
      </w:r>
    </w:p>
    <w:p>
      <w:pPr>
        <w:pStyle w:val="Standard"/>
        <w:rPr>
          <w:rFonts w:eastAsia="Calibri" w:eastAsiaTheme="minorHAnsi"/>
          <w:sz w:val="28"/>
          <w:szCs w:val="28"/>
        </w:rPr>
      </w:pPr>
      <w:r>
        <w:rPr>
          <w:rFonts w:eastAsia="Calibri" w:eastAsiaTheme="minorHAnsi"/>
          <w:sz w:val="28"/>
          <w:szCs w:val="28"/>
        </w:rPr>
        <w:t>- загрязнение воздушного бассейна и почвы выбросами вредных веществ от стационарных источников и автотранспорта;</w:t>
      </w:r>
    </w:p>
    <w:p>
      <w:pPr>
        <w:pStyle w:val="Standard"/>
        <w:rPr>
          <w:rFonts w:eastAsia="Calibri" w:eastAsiaTheme="minorHAnsi"/>
          <w:sz w:val="28"/>
          <w:szCs w:val="28"/>
        </w:rPr>
      </w:pPr>
      <w:r>
        <w:rPr>
          <w:rFonts w:eastAsia="Calibri" w:eastAsiaTheme="minorHAnsi"/>
          <w:sz w:val="28"/>
          <w:szCs w:val="28"/>
        </w:rPr>
        <w:t>- сброс ливневых стоков с территории города-курорта Железноводска осуществляется без очистки по пяти выпускам в реки, что приводит к загрязнению малых рек города (Кучук и Джемуха);</w:t>
      </w:r>
    </w:p>
    <w:p>
      <w:pPr>
        <w:pStyle w:val="Standard"/>
        <w:rPr>
          <w:rFonts w:eastAsia="Calibri" w:eastAsiaTheme="minorHAnsi"/>
          <w:sz w:val="28"/>
          <w:szCs w:val="28"/>
        </w:rPr>
      </w:pPr>
      <w:r>
        <w:rPr>
          <w:rFonts w:eastAsia="Calibri" w:eastAsiaTheme="minorHAnsi"/>
          <w:sz w:val="28"/>
          <w:szCs w:val="28"/>
        </w:rPr>
        <w:t>- повышенная естественная радиоактивность воздуха и почв в отдельных участках города;</w:t>
      </w:r>
    </w:p>
    <w:p>
      <w:pPr>
        <w:pStyle w:val="Standard"/>
        <w:rPr>
          <w:rFonts w:eastAsia="Calibri" w:eastAsiaTheme="minorHAnsi"/>
          <w:sz w:val="28"/>
          <w:szCs w:val="28"/>
        </w:rPr>
      </w:pPr>
      <w:r>
        <w:rPr>
          <w:rFonts w:eastAsia="Calibri" w:eastAsiaTheme="minorHAnsi"/>
          <w:sz w:val="28"/>
          <w:szCs w:val="28"/>
        </w:rPr>
        <w:t>- отсутствие системы сортировки отходов и переработки вторичного сырья. Существующая закрытая в 2004 году свалка твердых бытовых отходов в городе-курорте Железноводске относится к потенциально опасным в санитарном и экологическом отношении объектам, тем более, что она расположена в границах II зоны округа горно-санитарной охраны Железноводского месторождения минеральных вод;</w:t>
      </w:r>
    </w:p>
    <w:p>
      <w:pPr>
        <w:pStyle w:val="Standard"/>
        <w:rPr>
          <w:rFonts w:eastAsia="Calibri" w:eastAsiaTheme="minorHAnsi"/>
          <w:sz w:val="28"/>
          <w:szCs w:val="28"/>
        </w:rPr>
      </w:pPr>
      <w:r>
        <w:rPr>
          <w:rFonts w:eastAsia="Calibri" w:eastAsiaTheme="minorHAnsi"/>
          <w:sz w:val="28"/>
          <w:szCs w:val="28"/>
        </w:rPr>
        <w:t>- захламленность городских лесов по окраинам населенных мест города;</w:t>
      </w:r>
    </w:p>
    <w:p>
      <w:pPr>
        <w:pStyle w:val="Standard"/>
        <w:rPr>
          <w:rFonts w:eastAsia="Calibri" w:eastAsiaTheme="minorHAnsi"/>
          <w:sz w:val="28"/>
          <w:szCs w:val="28"/>
        </w:rPr>
      </w:pPr>
      <w:r>
        <w:rPr>
          <w:rFonts w:eastAsia="Calibri" w:eastAsiaTheme="minorHAnsi"/>
          <w:sz w:val="28"/>
          <w:szCs w:val="28"/>
        </w:rPr>
        <w:t xml:space="preserve">- нарушения природоохранного режима горно-санитарной охраны в первой и второй зонах. </w:t>
      </w:r>
    </w:p>
    <w:p>
      <w:pPr>
        <w:pStyle w:val="Standard"/>
        <w:rPr>
          <w:rFonts w:eastAsia="Calibri" w:eastAsiaTheme="minorHAnsi"/>
          <w:sz w:val="28"/>
          <w:szCs w:val="28"/>
        </w:rPr>
      </w:pPr>
      <w:r>
        <w:rPr>
          <w:rFonts w:eastAsia="Calibri" w:eastAsiaTheme="minorHAnsi"/>
          <w:sz w:val="28"/>
          <w:szCs w:val="28"/>
        </w:rPr>
        <w:t xml:space="preserve">Проблемы в социальной сфере, сдерживающие развитие человеческого потенциала: </w:t>
      </w:r>
    </w:p>
    <w:p>
      <w:pPr>
        <w:pStyle w:val="Standard"/>
        <w:rPr>
          <w:rFonts w:eastAsia="Calibri" w:eastAsiaTheme="minorHAnsi"/>
          <w:sz w:val="28"/>
          <w:szCs w:val="28"/>
        </w:rPr>
      </w:pPr>
      <w:r>
        <w:rPr>
          <w:rFonts w:eastAsia="Calibri" w:eastAsiaTheme="minorHAnsi"/>
          <w:sz w:val="28"/>
          <w:szCs w:val="28"/>
        </w:rPr>
        <w:t>- снижение уровня доходов населения, показатель среднемесячной заработной платы ниже, чем в других городах-курортах Кавказских Минеральных Вод;</w:t>
      </w:r>
    </w:p>
    <w:p>
      <w:pPr>
        <w:pStyle w:val="Standard"/>
        <w:rPr>
          <w:rFonts w:eastAsia="Calibri" w:eastAsiaTheme="minorHAnsi"/>
          <w:sz w:val="28"/>
          <w:szCs w:val="28"/>
        </w:rPr>
      </w:pPr>
      <w:r>
        <w:rPr>
          <w:rFonts w:eastAsia="Calibri" w:eastAsiaTheme="minorHAnsi"/>
          <w:sz w:val="28"/>
          <w:szCs w:val="28"/>
        </w:rPr>
        <w:t>- несбалансированность спроса и предложения рабочей силы, имеющиеся вакансии на предприятиях города не удовлетворяют требованиях граждан, ищущих работу;</w:t>
      </w:r>
    </w:p>
    <w:p>
      <w:pPr>
        <w:pStyle w:val="Standard"/>
        <w:rPr>
          <w:rFonts w:eastAsia="Calibri" w:eastAsiaTheme="minorHAnsi"/>
          <w:sz w:val="28"/>
          <w:szCs w:val="28"/>
        </w:rPr>
      </w:pPr>
      <w:r>
        <w:rPr>
          <w:rFonts w:eastAsia="Calibri" w:eastAsiaTheme="minorHAnsi"/>
          <w:sz w:val="28"/>
          <w:szCs w:val="28"/>
        </w:rPr>
        <w:t>- недостаточное количество мест в дошкольных образовательных учреждениях. Необходимость строительства дошкольных образовательных учреждений;</w:t>
      </w:r>
    </w:p>
    <w:p>
      <w:pPr>
        <w:pStyle w:val="Standard"/>
        <w:rPr>
          <w:rFonts w:eastAsia="Calibri" w:eastAsiaTheme="minorHAnsi"/>
          <w:sz w:val="28"/>
          <w:szCs w:val="28"/>
        </w:rPr>
      </w:pPr>
      <w:r>
        <w:rPr>
          <w:rFonts w:eastAsia="Calibri" w:eastAsiaTheme="minorHAnsi"/>
          <w:sz w:val="28"/>
          <w:szCs w:val="28"/>
        </w:rPr>
        <w:t>-  недостаток и старение кадров в отраслях социальной сферы;</w:t>
      </w:r>
    </w:p>
    <w:p>
      <w:pPr>
        <w:pStyle w:val="Standard"/>
        <w:rPr>
          <w:rFonts w:eastAsia="Calibri" w:eastAsiaTheme="minorHAnsi"/>
          <w:sz w:val="28"/>
          <w:szCs w:val="28"/>
        </w:rPr>
      </w:pPr>
      <w:r>
        <w:rPr>
          <w:rFonts w:eastAsia="Calibri" w:eastAsiaTheme="minorHAnsi"/>
          <w:sz w:val="28"/>
          <w:szCs w:val="28"/>
        </w:rPr>
        <w:t>-  нехватка муниципальных учреждений дополнительного образования;</w:t>
      </w:r>
    </w:p>
    <w:p>
      <w:pPr>
        <w:pStyle w:val="Standard"/>
        <w:rPr>
          <w:rFonts w:eastAsia="Calibri" w:eastAsiaTheme="minorHAnsi"/>
          <w:sz w:val="28"/>
          <w:szCs w:val="28"/>
        </w:rPr>
      </w:pPr>
      <w:r>
        <w:rPr>
          <w:rFonts w:eastAsia="Calibri" w:eastAsiaTheme="minorHAnsi"/>
          <w:sz w:val="28"/>
          <w:szCs w:val="28"/>
        </w:rPr>
        <w:t>-  значительный физический износ больничных и поликлинических зданий;</w:t>
      </w:r>
    </w:p>
    <w:p>
      <w:pPr>
        <w:pStyle w:val="Standard"/>
        <w:rPr>
          <w:rFonts w:eastAsia="Calibri" w:eastAsiaTheme="minorHAnsi"/>
          <w:sz w:val="28"/>
          <w:szCs w:val="28"/>
        </w:rPr>
      </w:pPr>
      <w:r>
        <w:rPr>
          <w:rFonts w:eastAsia="Calibri" w:eastAsiaTheme="minorHAnsi"/>
          <w:sz w:val="28"/>
          <w:szCs w:val="28"/>
        </w:rPr>
        <w:t>- нехватка современных объектов физкультуры и спорта для жителей городского округа, в том числе учреждений массового спорта в жилой застройке;</w:t>
      </w:r>
    </w:p>
    <w:p>
      <w:pPr>
        <w:pStyle w:val="Standard"/>
        <w:rPr>
          <w:rFonts w:eastAsia="Calibri" w:eastAsiaTheme="minorHAnsi"/>
          <w:sz w:val="28"/>
          <w:szCs w:val="28"/>
        </w:rPr>
      </w:pPr>
      <w:r>
        <w:rPr>
          <w:rFonts w:eastAsia="Calibri" w:eastAsiaTheme="minorHAnsi"/>
          <w:sz w:val="28"/>
          <w:szCs w:val="28"/>
        </w:rPr>
        <w:t>-  недостаточная организация досуга молодежи;</w:t>
      </w:r>
    </w:p>
    <w:p>
      <w:pPr>
        <w:pStyle w:val="Standard"/>
        <w:rPr>
          <w:rFonts w:eastAsia="Calibri" w:eastAsiaTheme="minorHAnsi"/>
          <w:sz w:val="28"/>
          <w:szCs w:val="28"/>
        </w:rPr>
      </w:pPr>
      <w:r>
        <w:rPr>
          <w:rFonts w:eastAsia="Calibri" w:eastAsiaTheme="minorHAnsi"/>
          <w:sz w:val="28"/>
          <w:szCs w:val="28"/>
        </w:rPr>
        <w:t>-  увеличение числа граждан, нуждающихся в социальной поддержке и защите в связи с отставанием роста денежных доходов от удорожания товаров и услуг первой необходимости;</w:t>
      </w:r>
    </w:p>
    <w:p>
      <w:pPr>
        <w:pStyle w:val="Standard"/>
        <w:rPr>
          <w:rFonts w:eastAsia="Calibri" w:eastAsiaTheme="minorHAnsi"/>
          <w:sz w:val="28"/>
          <w:szCs w:val="28"/>
        </w:rPr>
      </w:pPr>
      <w:r>
        <w:rPr>
          <w:rFonts w:eastAsia="Calibri" w:eastAsiaTheme="minorHAnsi"/>
          <w:sz w:val="28"/>
          <w:szCs w:val="28"/>
        </w:rPr>
        <w:t>- изношенность материально-технической базы учреждений социальной защиты населения по оказанию социально-реабилитационных услуг пожилым людям, инвалидам, семьям с детьми.</w:t>
      </w:r>
    </w:p>
    <w:p>
      <w:pPr>
        <w:pStyle w:val="Standard"/>
        <w:rPr>
          <w:rFonts w:eastAsia="Calibri" w:eastAsiaTheme="minorHAnsi"/>
          <w:sz w:val="28"/>
          <w:szCs w:val="28"/>
        </w:rPr>
      </w:pPr>
      <w:r>
        <w:rPr>
          <w:rFonts w:eastAsia="Calibri" w:eastAsiaTheme="minorHAnsi"/>
          <w:sz w:val="28"/>
          <w:szCs w:val="28"/>
        </w:rPr>
        <w:t>Проблемы в муниципальном управлении:</w:t>
      </w:r>
    </w:p>
    <w:p>
      <w:pPr>
        <w:pStyle w:val="Standard"/>
        <w:rPr>
          <w:rFonts w:eastAsia="Calibri" w:eastAsiaTheme="minorHAnsi"/>
          <w:sz w:val="28"/>
          <w:szCs w:val="28"/>
        </w:rPr>
      </w:pPr>
      <w:r>
        <w:rPr>
          <w:rFonts w:eastAsia="Calibri" w:eastAsiaTheme="minorHAnsi"/>
          <w:sz w:val="28"/>
          <w:szCs w:val="28"/>
        </w:rPr>
        <w:t xml:space="preserve">Несмотря на некоторые положительные тенденции в муниципальном управлении сохраняется проблема ограниченности собственных бюджетных возможностей муниципального образования и зависимость доходов бюджета города -курорта Железноводска от вышестоящих бюджетов.  В </w:t>
        <w:br/>
        <w:t>2014 — 2018 годах безвозмездные поступления в структуре бюджета города составили         от 76 % до 79%. Следовательно, в силу положений действующего законодательства, возможности муниципального образования по стимулированию развития отдельных отраслей экономики, реализации инфраструктурных проектов и улучшению социальной сферы достаточно ограничены. Кроме того, предоставление финансовой поддержки из вышестоящих бюджетов курортным городам осуществляется по общей методологии без учета положений о статусе курортов федерального значения в соответствии с Постановлением Правительства Российской Федерации от 17 января 2006 г. № 14 «О признании курортов Ессентуки, Железноводск, Кисловодск и Пятигорск, расположенных в Ставропольском крае, курортами федерального значения и об утверждении положений об этих курортах». Актуальными остаются вопросы эффективности реализации системы внедрения в практику муниципального управления современных технологий планирования и прогнозирования, подготовки высококвалифицированных кадров для муниципальной службы, необходимости разработки маркетинговой стратегии продвижения имиджа города, внедрения и развития механизма муниципально-частного партнерства.</w:t>
      </w:r>
    </w:p>
    <w:p>
      <w:pPr>
        <w:pStyle w:val="Standard"/>
        <w:rPr>
          <w:rFonts w:eastAsia="Calibri" w:eastAsiaTheme="minorHAnsi"/>
          <w:sz w:val="28"/>
          <w:szCs w:val="28"/>
        </w:rPr>
      </w:pPr>
      <w:r>
        <w:rPr>
          <w:rFonts w:eastAsia="Calibri" w:eastAsiaTheme="minorHAnsi"/>
          <w:sz w:val="28"/>
          <w:szCs w:val="28"/>
        </w:rPr>
        <w:t>Значимость и актуальность обозначенных проблемных вопросов в экономике и социальной сфере города-курорта Железноводска Ставропольского края требуют сбалансированного решения вопросов, связанных, с одной стороны, с сохранением и развитием имеющегося потенциала и, с другой стороны, с выбором и поддержкой приоритетных направлений, обеспечивающих развитие экономики и социальной сферы города-курорта Железноводска Ставропольского края.</w:t>
      </w:r>
    </w:p>
    <w:p>
      <w:pPr>
        <w:pStyle w:val="Standard"/>
        <w:rPr>
          <w:rFonts w:eastAsia="Calibri" w:eastAsiaTheme="minorHAnsi"/>
          <w:sz w:val="28"/>
          <w:szCs w:val="28"/>
        </w:rPr>
      </w:pPr>
      <w:r>
        <w:rPr>
          <w:rFonts w:eastAsia="Calibri" w:eastAsiaTheme="minorHAnsi"/>
          <w:sz w:val="28"/>
          <w:szCs w:val="28"/>
        </w:rPr>
      </w:r>
    </w:p>
    <w:p>
      <w:pPr>
        <w:pStyle w:val="3"/>
        <w:rPr/>
      </w:pPr>
      <w:bookmarkStart w:id="11" w:name="_Toc11337744"/>
      <w:bookmarkEnd w:id="11"/>
      <w:r>
        <w:rPr/>
        <w:t>2. ПРИОРИТЕТНЫЕ ЦЕЛИ И ЗАДАЧИ СОЦИАЛЬНО-ЭКОНОМИЧЕСКОГО РАЗВИТИЯ ГОРОДА-КУРОРТА ЖЕЛЕЗНОВОДСКА</w:t>
      </w:r>
    </w:p>
    <w:p>
      <w:pPr>
        <w:pStyle w:val="Standard"/>
        <w:jc w:val="center"/>
        <w:rPr>
          <w:sz w:val="28"/>
        </w:rPr>
      </w:pPr>
      <w:r>
        <w:rPr>
          <w:sz w:val="28"/>
        </w:rPr>
      </w:r>
    </w:p>
    <w:p>
      <w:pPr>
        <w:pStyle w:val="3"/>
        <w:rPr/>
      </w:pPr>
      <w:bookmarkStart w:id="12" w:name="_Toc11337745"/>
      <w:bookmarkEnd w:id="12"/>
      <w:r>
        <w:rPr/>
        <w:t>2.1 Приоритеты социально-экономического развития города-курорта Железноводска</w:t>
      </w:r>
    </w:p>
    <w:p>
      <w:pPr>
        <w:pStyle w:val="Standard"/>
        <w:jc w:val="center"/>
        <w:rPr>
          <w:b/>
          <w:b/>
          <w:sz w:val="28"/>
        </w:rPr>
      </w:pPr>
      <w:r>
        <w:rPr>
          <w:b/>
          <w:sz w:val="28"/>
        </w:rPr>
      </w:r>
    </w:p>
    <w:p>
      <w:pPr>
        <w:pStyle w:val="Standard"/>
        <w:rPr>
          <w:sz w:val="28"/>
        </w:rPr>
      </w:pPr>
      <w:r>
        <w:rPr>
          <w:sz w:val="28"/>
        </w:rPr>
        <w:t>На основе анализа социально-экономического положения города -курорта Железноводска Ставропольского края и параметров  прогноза социально-экономического развития города-курорта Железноводска Ставропольского края, а также с учетом стратегических целей, определенных в Концепции долгосрочного социально-экономического развития Российской Федерации на период до 2020 года, Стратегии социально-экономического развития Ставропольского края до 2020 года и на период до 2025 года, для города-курорта Железноводска Ставропольского края стратегическими приоритетами являются:</w:t>
      </w:r>
    </w:p>
    <w:p>
      <w:pPr>
        <w:pStyle w:val="Standard"/>
        <w:rPr>
          <w:sz w:val="28"/>
        </w:rPr>
      </w:pPr>
      <w:r>
        <w:rPr>
          <w:sz w:val="28"/>
        </w:rPr>
        <w:t>1. Развитие человеческого потенциала.</w:t>
      </w:r>
    </w:p>
    <w:p>
      <w:pPr>
        <w:pStyle w:val="Standard"/>
        <w:rPr>
          <w:sz w:val="28"/>
        </w:rPr>
      </w:pPr>
      <w:r>
        <w:rPr>
          <w:sz w:val="28"/>
        </w:rPr>
        <w:t>2. Создание и развитие кластера туристско-рекреационного типа</w:t>
      </w:r>
    </w:p>
    <w:p>
      <w:pPr>
        <w:pStyle w:val="Standard"/>
        <w:rPr>
          <w:sz w:val="28"/>
        </w:rPr>
      </w:pPr>
      <w:r>
        <w:rPr>
          <w:sz w:val="28"/>
        </w:rPr>
        <w:t>3.Создание благоприятных высококонкурентных условий для   осуществления и стимулирования предпринимательской и инвестиционной деятельности на территории муниципального образования.</w:t>
      </w:r>
    </w:p>
    <w:p>
      <w:pPr>
        <w:pStyle w:val="Standard"/>
        <w:rPr>
          <w:sz w:val="28"/>
        </w:rPr>
      </w:pPr>
      <w:r>
        <w:rPr>
          <w:sz w:val="28"/>
        </w:rPr>
        <w:t>4. Модернизация инфраструктуры.</w:t>
      </w:r>
    </w:p>
    <w:p>
      <w:pPr>
        <w:pStyle w:val="Standard"/>
        <w:jc w:val="center"/>
        <w:rPr>
          <w:b/>
          <w:b/>
          <w:sz w:val="28"/>
        </w:rPr>
      </w:pPr>
      <w:r>
        <w:rPr>
          <w:b/>
          <w:sz w:val="28"/>
        </w:rPr>
      </w:r>
    </w:p>
    <w:p>
      <w:pPr>
        <w:pStyle w:val="3"/>
        <w:rPr/>
      </w:pPr>
      <w:bookmarkStart w:id="13" w:name="_Toc11337746"/>
      <w:bookmarkEnd w:id="13"/>
      <w:r>
        <w:rPr/>
        <w:t>2.2 Цели и задачи социально-экономического развития города-курорта Железноводска</w:t>
      </w:r>
    </w:p>
    <w:p>
      <w:pPr>
        <w:pStyle w:val="Standard"/>
        <w:jc w:val="center"/>
        <w:rPr>
          <w:b/>
          <w:b/>
          <w:sz w:val="28"/>
        </w:rPr>
      </w:pPr>
      <w:r>
        <w:rPr>
          <w:b/>
          <w:sz w:val="28"/>
        </w:rPr>
      </w:r>
    </w:p>
    <w:p>
      <w:pPr>
        <w:pStyle w:val="Standard"/>
        <w:rPr>
          <w:sz w:val="28"/>
        </w:rPr>
      </w:pPr>
      <w:r>
        <w:rPr>
          <w:sz w:val="28"/>
        </w:rPr>
        <w:t xml:space="preserve">Оценка ресурсного потенциала города и выявленные конкурентные преимущества позволили сформулировать миссию города, генеральную и стратегические цели. </w:t>
      </w:r>
    </w:p>
    <w:p>
      <w:pPr>
        <w:pStyle w:val="Standard"/>
        <w:rPr>
          <w:sz w:val="28"/>
        </w:rPr>
      </w:pPr>
      <w:r>
        <w:rPr>
          <w:b/>
          <w:sz w:val="28"/>
        </w:rPr>
        <w:t>Миссия:</w:t>
      </w:r>
      <w:r>
        <w:rPr>
          <w:sz w:val="28"/>
        </w:rPr>
        <w:t xml:space="preserve"> Железноводск — уникальный природный, исторический, курортно-туристский город-парк, притягательный для жизни, лечения и отдыха.</w:t>
      </w:r>
    </w:p>
    <w:p>
      <w:pPr>
        <w:pStyle w:val="Standard"/>
        <w:rPr>
          <w:sz w:val="28"/>
        </w:rPr>
      </w:pPr>
      <w:r>
        <w:rPr>
          <w:sz w:val="28"/>
        </w:rPr>
        <w:t>На период до 2035 года Железноводск позиционируется как:</w:t>
      </w:r>
    </w:p>
    <w:p>
      <w:pPr>
        <w:pStyle w:val="Standard"/>
        <w:rPr>
          <w:sz w:val="28"/>
        </w:rPr>
      </w:pPr>
      <w:r>
        <w:rPr>
          <w:sz w:val="28"/>
        </w:rPr>
        <w:t>Экологически чистый город парков «Зелёная планета» в созвездии Кавказских Минеральных Вод с развитой индустрией туризма и инфраструктурой развлечений.</w:t>
      </w:r>
    </w:p>
    <w:p>
      <w:pPr>
        <w:pStyle w:val="Standard"/>
        <w:rPr>
          <w:sz w:val="28"/>
        </w:rPr>
      </w:pPr>
      <w:r>
        <w:rPr>
          <w:sz w:val="28"/>
        </w:rPr>
        <w:t xml:space="preserve">Стратегическими целями являются: </w:t>
      </w:r>
    </w:p>
    <w:p>
      <w:pPr>
        <w:pStyle w:val="Standard"/>
        <w:rPr>
          <w:sz w:val="28"/>
        </w:rPr>
      </w:pPr>
      <w:r>
        <w:rPr>
          <w:sz w:val="28"/>
        </w:rPr>
        <w:t>формирование высокого уровня качества жизни горожан в максимально удобной среде проживания;</w:t>
      </w:r>
    </w:p>
    <w:p>
      <w:pPr>
        <w:pStyle w:val="Standard"/>
        <w:rPr>
          <w:sz w:val="28"/>
        </w:rPr>
      </w:pPr>
      <w:r>
        <w:rPr>
          <w:sz w:val="28"/>
        </w:rPr>
        <w:t>создание динамичного и конкурентоспособного санаторно-курортного и туристско-рекреационного комплекса.</w:t>
      </w:r>
    </w:p>
    <w:p>
      <w:pPr>
        <w:pStyle w:val="Standard"/>
        <w:jc w:val="right"/>
        <w:rPr>
          <w:b/>
          <w:b/>
        </w:rPr>
      </w:pPr>
      <w:r>
        <w:rPr>
          <w:b/>
        </w:rPr>
      </w:r>
    </w:p>
    <w:p>
      <w:pPr>
        <w:pStyle w:val="Standard"/>
        <w:jc w:val="right"/>
        <w:rPr>
          <w:b/>
          <w:b/>
        </w:rPr>
      </w:pPr>
      <w:r>
        <w:rPr>
          <w:b/>
        </w:rPr>
        <w:t>Таблица 15</w:t>
      </w:r>
    </w:p>
    <w:p>
      <w:pPr>
        <w:pStyle w:val="Standard"/>
        <w:jc w:val="center"/>
        <w:rPr>
          <w:b/>
          <w:b/>
        </w:rPr>
      </w:pPr>
      <w:r>
        <w:rPr>
          <w:b/>
        </w:rPr>
        <w:t>Цели, задачи и мероприятия социально-экономического развития города-курорта Железноводска Ставропольского края</w:t>
      </w:r>
    </w:p>
    <w:tbl>
      <w:tblPr>
        <w:tblW w:w="9476" w:type="dxa"/>
        <w:jc w:val="left"/>
        <w:tblInd w:w="15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13" w:type="dxa"/>
          <w:bottom w:w="0" w:type="dxa"/>
          <w:right w:w="108" w:type="dxa"/>
        </w:tblCellMar>
        <w:tblLook w:noVBand="0" w:val="0000" w:noHBand="0" w:lastColumn="0" w:firstColumn="0" w:lastRow="0" w:firstRow="0"/>
      </w:tblPr>
      <w:tblGrid>
        <w:gridCol w:w="2246"/>
        <w:gridCol w:w="7229"/>
      </w:tblGrid>
      <w:tr>
        <w:trPr/>
        <w:tc>
          <w:tcPr>
            <w:tcW w:w="947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13" w:type="dxa"/>
            </w:tcMar>
          </w:tcPr>
          <w:p>
            <w:pPr>
              <w:pStyle w:val="Normal"/>
              <w:keepNext/>
              <w:keepLines/>
              <w:spacing w:before="0" w:after="0"/>
              <w:jc w:val="center"/>
              <w:rPr>
                <w:rFonts w:ascii="Times New Roman" w:hAnsi="Times New Roman" w:cs="Times New Roman"/>
              </w:rPr>
            </w:pPr>
            <w:r>
              <w:rPr>
                <w:rFonts w:cs="Times New Roman" w:ascii="Times New Roman" w:hAnsi="Times New Roman"/>
                <w:sz w:val="28"/>
                <w:szCs w:val="28"/>
                <w:lang w:val="en-US"/>
              </w:rPr>
              <w:t>I</w:t>
            </w:r>
            <w:r>
              <w:rPr>
                <w:rFonts w:cs="Times New Roman" w:ascii="Times New Roman" w:hAnsi="Times New Roman"/>
                <w:sz w:val="28"/>
                <w:szCs w:val="28"/>
              </w:rPr>
              <w:t>. Формирование высокого уровня  качества жизни горожан в максимально удобной среде проживания</w:t>
            </w:r>
          </w:p>
        </w:tc>
      </w:tr>
      <w:tr>
        <w:trPr>
          <w:trHeight w:val="408" w:hRule="atLeast"/>
        </w:trPr>
        <w:tc>
          <w:tcPr>
            <w:tcW w:w="22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13" w:type="dxa"/>
            </w:tcMar>
          </w:tcPr>
          <w:p>
            <w:pPr>
              <w:pStyle w:val="Normal"/>
              <w:spacing w:before="0" w:after="0"/>
              <w:jc w:val="center"/>
              <w:rPr>
                <w:rFonts w:ascii="Times New Roman" w:hAnsi="Times New Roman" w:cs="Times New Roman"/>
                <w:sz w:val="28"/>
                <w:szCs w:val="28"/>
              </w:rPr>
            </w:pPr>
            <w:r>
              <w:rPr>
                <w:rFonts w:cs="Times New Roman" w:ascii="Times New Roman" w:hAnsi="Times New Roman"/>
                <w:sz w:val="28"/>
                <w:szCs w:val="28"/>
              </w:rPr>
              <w:t>Задачи</w:t>
            </w:r>
          </w:p>
        </w:tc>
        <w:tc>
          <w:tcPr>
            <w:tcW w:w="72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13" w:type="dxa"/>
            </w:tcMar>
          </w:tcPr>
          <w:p>
            <w:pPr>
              <w:pStyle w:val="Normal"/>
              <w:keepNext/>
              <w:keepLines/>
              <w:spacing w:before="0" w:after="0"/>
              <w:jc w:val="center"/>
              <w:rPr>
                <w:rFonts w:ascii="Times New Roman" w:hAnsi="Times New Roman" w:cs="Times New Roman"/>
              </w:rPr>
            </w:pPr>
            <w:r>
              <w:rPr>
                <w:rFonts w:cs="Times New Roman" w:ascii="Times New Roman" w:hAnsi="Times New Roman"/>
                <w:sz w:val="28"/>
                <w:szCs w:val="28"/>
              </w:rPr>
              <w:t>Мероприятия</w:t>
            </w:r>
          </w:p>
        </w:tc>
      </w:tr>
      <w:tr>
        <w:trPr>
          <w:trHeight w:val="408" w:hRule="atLeast"/>
        </w:trPr>
        <w:tc>
          <w:tcPr>
            <w:tcW w:w="224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13" w:type="dxa"/>
            </w:tcMar>
          </w:tcPr>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1. Охрана и укрепление здоровья населения на протяжении всей жизни</w:t>
            </w:r>
          </w:p>
        </w:tc>
        <w:tc>
          <w:tcPr>
            <w:tcW w:w="72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13" w:type="dxa"/>
            </w:tcMar>
          </w:tcPr>
          <w:p>
            <w:pPr>
              <w:pStyle w:val="ConsPlusCell"/>
              <w:keepNext/>
              <w:keepLines/>
              <w:widowControl/>
              <w:tabs>
                <w:tab w:val="left" w:pos="72" w:leader="none"/>
              </w:tabs>
              <w:suppressAutoHyphens w:val="false"/>
              <w:jc w:val="both"/>
              <w:rPr>
                <w:rFonts w:ascii="Times New Roman" w:hAnsi="Times New Roman" w:eastAsia="Calibri" w:cs="Times New Roman" w:eastAsiaTheme="minorHAnsi"/>
                <w:sz w:val="28"/>
                <w:szCs w:val="28"/>
                <w:lang w:eastAsia="en-US"/>
              </w:rPr>
            </w:pPr>
            <w:r>
              <w:rPr>
                <w:rFonts w:eastAsia="Calibri" w:cs="Times New Roman" w:ascii="Times New Roman" w:hAnsi="Times New Roman" w:eastAsiaTheme="minorHAnsi"/>
                <w:sz w:val="28"/>
                <w:szCs w:val="28"/>
                <w:lang w:eastAsia="en-US"/>
              </w:rPr>
              <w:t>1.1. Осуществление комплекса мер, направленных на повышение рождаемости и укрепление семьи.</w:t>
            </w:r>
          </w:p>
          <w:p>
            <w:pPr>
              <w:pStyle w:val="ConsPlusCell"/>
              <w:keepNext/>
              <w:keepLines/>
              <w:widowControl/>
              <w:tabs>
                <w:tab w:val="left" w:pos="72" w:leader="none"/>
              </w:tabs>
              <w:suppressAutoHyphens w:val="false"/>
              <w:jc w:val="both"/>
              <w:rPr>
                <w:rFonts w:ascii="Times New Roman" w:hAnsi="Times New Roman" w:eastAsia="Calibri" w:cs="Times New Roman" w:eastAsiaTheme="minorHAnsi"/>
                <w:sz w:val="28"/>
                <w:szCs w:val="28"/>
                <w:lang w:eastAsia="en-US"/>
              </w:rPr>
            </w:pPr>
            <w:r>
              <w:rPr>
                <w:rFonts w:eastAsia="Calibri" w:cs="Times New Roman" w:ascii="Times New Roman" w:hAnsi="Times New Roman" w:eastAsiaTheme="minorHAnsi"/>
                <w:sz w:val="28"/>
                <w:szCs w:val="28"/>
                <w:lang w:eastAsia="en-US"/>
              </w:rPr>
              <w:t>1.2. Повышение эффективности предоставления медицинских услуг, объемы, виды и качество которых должны соответствовать достижениям в здравоохранении.</w:t>
            </w:r>
          </w:p>
          <w:p>
            <w:pPr>
              <w:pStyle w:val="ConsPlusCell"/>
              <w:keepNext/>
              <w:keepLines/>
              <w:widowControl/>
              <w:tabs>
                <w:tab w:val="left" w:pos="72" w:leader="none"/>
              </w:tabs>
              <w:suppressAutoHyphens w:val="false"/>
              <w:jc w:val="both"/>
              <w:rPr>
                <w:rFonts w:ascii="Times New Roman" w:hAnsi="Times New Roman" w:eastAsia="Calibri" w:cs="Times New Roman" w:eastAsiaTheme="minorHAnsi"/>
                <w:sz w:val="28"/>
                <w:szCs w:val="28"/>
                <w:lang w:eastAsia="en-US"/>
              </w:rPr>
            </w:pPr>
            <w:r>
              <w:rPr>
                <w:rFonts w:eastAsia="Calibri" w:cs="Times New Roman" w:ascii="Times New Roman" w:hAnsi="Times New Roman" w:eastAsiaTheme="minorHAnsi"/>
                <w:sz w:val="28"/>
                <w:szCs w:val="28"/>
                <w:lang w:eastAsia="en-US"/>
              </w:rPr>
              <w:t>1.3. Обеспечение гарантированного медицинского обслуживания в лечебно-профилактических учреждениях, укрепление их материально-технической базы и обеспеченностью высококвалифицированным персоналом. способным улучшить качество оказания медицинской помощи.</w:t>
            </w:r>
          </w:p>
        </w:tc>
      </w:tr>
      <w:tr>
        <w:trPr>
          <w:trHeight w:val="5066" w:hRule="atLeast"/>
        </w:trPr>
        <w:tc>
          <w:tcPr>
            <w:tcW w:w="22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13" w:type="dxa"/>
            </w:tcMar>
          </w:tcPr>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r>
          </w:p>
        </w:tc>
        <w:tc>
          <w:tcPr>
            <w:tcW w:w="72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13" w:type="dxa"/>
            </w:tcMar>
          </w:tcPr>
          <w:p>
            <w:pPr>
              <w:pStyle w:val="ConsPlusCell"/>
              <w:keepNext/>
              <w:keepLines/>
              <w:widowControl/>
              <w:tabs>
                <w:tab w:val="left" w:pos="72" w:leader="none"/>
              </w:tabs>
              <w:suppressAutoHyphens w:val="false"/>
              <w:jc w:val="both"/>
              <w:rPr>
                <w:rFonts w:ascii="Times New Roman" w:hAnsi="Times New Roman" w:eastAsia="Calibri" w:cs="Times New Roman" w:eastAsiaTheme="minorHAnsi"/>
                <w:sz w:val="28"/>
                <w:szCs w:val="28"/>
                <w:lang w:eastAsia="en-US"/>
              </w:rPr>
            </w:pPr>
            <w:r>
              <w:rPr>
                <w:rFonts w:eastAsia="Calibri" w:cs="Times New Roman" w:ascii="Times New Roman" w:hAnsi="Times New Roman" w:eastAsiaTheme="minorHAnsi"/>
                <w:sz w:val="28"/>
                <w:szCs w:val="28"/>
                <w:lang w:eastAsia="en-US"/>
              </w:rPr>
              <w:t xml:space="preserve">1.4. Развитие системы профилактического осмотра, школ здоровья и профилакториев. </w:t>
            </w:r>
          </w:p>
          <w:p>
            <w:pPr>
              <w:pStyle w:val="Normal"/>
              <w:keepNext/>
              <w:keepLines/>
              <w:tabs>
                <w:tab w:val="left" w:pos="72" w:leader="none"/>
              </w:tabs>
              <w:spacing w:lineRule="auto" w:line="228" w:before="0" w:after="0"/>
              <w:jc w:val="both"/>
              <w:rPr>
                <w:rFonts w:ascii="Times New Roman" w:hAnsi="Times New Roman" w:cs="Times New Roman"/>
                <w:sz w:val="28"/>
                <w:szCs w:val="28"/>
              </w:rPr>
            </w:pPr>
            <w:r>
              <w:rPr>
                <w:rFonts w:cs="Times New Roman" w:ascii="Times New Roman" w:hAnsi="Times New Roman"/>
                <w:sz w:val="28"/>
                <w:szCs w:val="28"/>
              </w:rPr>
              <w:t>1.5. Профилактика социально обусловленных заболеваний через создание разнообразных форм информирования населения (средства массовой информации, сайт города в сети Интернет, телевидение, радио).</w:t>
            </w:r>
          </w:p>
          <w:p>
            <w:pPr>
              <w:pStyle w:val="ConsPlusCell"/>
              <w:keepNext/>
              <w:keepLines/>
              <w:widowControl/>
              <w:tabs>
                <w:tab w:val="left" w:pos="72" w:leader="none"/>
              </w:tabs>
              <w:suppressAutoHyphens w:val="false"/>
              <w:jc w:val="both"/>
              <w:rPr>
                <w:rFonts w:ascii="Times New Roman" w:hAnsi="Times New Roman" w:eastAsia="Calibri" w:cs="Times New Roman" w:eastAsiaTheme="minorHAnsi"/>
                <w:sz w:val="28"/>
                <w:szCs w:val="28"/>
                <w:lang w:eastAsia="en-US"/>
              </w:rPr>
            </w:pPr>
            <w:r>
              <w:rPr>
                <w:rFonts w:eastAsia="Calibri" w:cs="Times New Roman" w:ascii="Times New Roman" w:hAnsi="Times New Roman" w:eastAsiaTheme="minorHAnsi"/>
                <w:sz w:val="28"/>
                <w:szCs w:val="28"/>
                <w:lang w:eastAsia="en-US"/>
              </w:rPr>
              <w:t>1.6. Модернизация, реконструкция и капитальный ремонт существующих стационаров и поликлиник.</w:t>
            </w:r>
          </w:p>
          <w:p>
            <w:pPr>
              <w:pStyle w:val="Normal"/>
              <w:keepNext/>
              <w:keepLines/>
              <w:tabs>
                <w:tab w:val="left" w:pos="72" w:leader="none"/>
              </w:tabs>
              <w:spacing w:lineRule="auto" w:line="228" w:before="0" w:after="0"/>
              <w:jc w:val="both"/>
              <w:rPr>
                <w:rFonts w:ascii="Times New Roman" w:hAnsi="Times New Roman" w:cs="Times New Roman"/>
                <w:sz w:val="28"/>
                <w:szCs w:val="28"/>
              </w:rPr>
            </w:pPr>
            <w:r>
              <w:rPr>
                <w:rFonts w:cs="Times New Roman" w:ascii="Times New Roman" w:hAnsi="Times New Roman"/>
                <w:sz w:val="28"/>
                <w:szCs w:val="28"/>
              </w:rPr>
              <w:t xml:space="preserve">1.7. Пропаганда здорового образа жизни, популяризация физической культуры и спорта среди различных групп населения города </w:t>
            </w:r>
          </w:p>
          <w:p>
            <w:pPr>
              <w:pStyle w:val="Normal"/>
              <w:keepNext/>
              <w:keepLines/>
              <w:numPr>
                <w:ilvl w:val="0"/>
                <w:numId w:val="5"/>
              </w:numPr>
              <w:tabs>
                <w:tab w:val="left" w:pos="72" w:leader="none"/>
                <w:tab w:val="left" w:pos="252" w:leader="none"/>
              </w:tabs>
              <w:spacing w:lineRule="auto" w:line="240" w:before="0" w:after="0"/>
              <w:ind w:left="0" w:firstLine="25"/>
              <w:jc w:val="both"/>
              <w:rPr>
                <w:rFonts w:ascii="Times New Roman" w:hAnsi="Times New Roman" w:cs="Times New Roman"/>
                <w:sz w:val="28"/>
                <w:szCs w:val="28"/>
              </w:rPr>
            </w:pPr>
            <w:r>
              <w:rPr>
                <w:rFonts w:cs="Times New Roman" w:ascii="Times New Roman" w:hAnsi="Times New Roman"/>
                <w:sz w:val="28"/>
                <w:szCs w:val="28"/>
              </w:rPr>
              <w:t>1.8. Развитие муниципальной сети спортивных сооружений в жилых микрорайонах города, реконструкция и обновление объектов физической культуры и спорта, обеспечение доступности населения на спортивные сооружения, в том числе инвалидов и лиц с ограниченными возможностями здоровья,</w:t>
            </w: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родителям детей до 3 лет, гражданам, желающим принять на воспитание детей, оставшихся без попечения родителей.</w:t>
            </w:r>
          </w:p>
        </w:tc>
      </w:tr>
      <w:tr>
        <w:trPr>
          <w:trHeight w:val="672" w:hRule="atLeast"/>
        </w:trPr>
        <w:tc>
          <w:tcPr>
            <w:tcW w:w="22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13" w:type="dxa"/>
            </w:tcMar>
          </w:tcPr>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2.Создание условий для получения доступного и качественного образования</w:t>
            </w:r>
          </w:p>
        </w:tc>
        <w:tc>
          <w:tcPr>
            <w:tcW w:w="72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13" w:type="dxa"/>
            </w:tcMar>
          </w:tcPr>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2.1. Совершенствование условий получения и повышение качества дошкольного, общего и дополнительного образования детей в городе.</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2.2. Обновление содержания образования на основе федеральных государственных образовательных стандартов.</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 xml:space="preserve">2.3. Достижение 100-процентной доступности дошкольного образования для детей в возрасте до 3 лет за счет строительства новых дошкольных образовательных организаций, а также развитие субъектов МСП, занятым в сфере оказания услуг дошкольного образования и содержания детей дошкольного возраста. </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2.4. Создание новых мест в общеобразовательных организациях, снижение числа детей, занимающихся во вторую смену.</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2.5. Создание необходимых условий для инклюзивного образования детей с ограниченными возможностями здоровья. Успешная социализация детей с ограниченными возможностями здоровья через создание условий для получения качественного образования.</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2.6. Организация психолого-педагогической, методической и консультативной помощи родителям детей, в том числе родителям детей с ограниченными возможностями здоровья, родителям детей до 3 лет.</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2.7. Модернизация образовательного процесса на основе цифровизации. Создание и развитие сети инновационных школ, ориентированных на высокие технологии.</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2.8. Совершенствование сетевых форм взаимодействия общеобразовательных организаций и других учреждений для повышения качества образовательных услуг, направленных на сопровождение школ с низкими результатами обучения, а также поддержку школ с высокими результатами обучения.</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2.9. Формирование образовательной среды и условий, содействующих творческому, интеллектуальному, коммуникативному развитию обучающихся.</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2.10. Создание необходимых условий для реализации дополнительных общеобразовательных программ различной, в том числе технической и естественно-научной направленности для детей, соответствующих интересам обучающихся и перспективным потребностям социально-экономического развития города.</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2.11. Создание центров развития детей, детских и мобильных технопарков, способствующих ранней профилизации и формированию современных компетенций и навыков у детей, участие школьников в онлайн-уроках «Проектория» и работе проекта «Билет в будущее».</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2.12. Стимулирование развития в образовательных организациях клубов по интересам, спортивных команд, творческих объединений, художественных коллективов.</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 xml:space="preserve">2.13. Формирование у подрастающего поколения ответственного отношения к здоровью и потребности в здоровом образе жизни. Создание равных условий для занятий физической культурой и спортом, развивающего отдыха и оздоровления детей и подростков, в том числе с ограниченными возможностями здоровья. Формирование культуры здорового питания.   </w:t>
            </w:r>
          </w:p>
          <w:p>
            <w:pPr>
              <w:pStyle w:val="Normal"/>
              <w:tabs>
                <w:tab w:val="left" w:pos="72" w:leader="none"/>
              </w:tabs>
              <w:jc w:val="both"/>
              <w:rPr>
                <w:rFonts w:ascii="Times New Roman" w:hAnsi="Times New Roman" w:cs="Times New Roman"/>
                <w:sz w:val="28"/>
                <w:szCs w:val="28"/>
              </w:rPr>
            </w:pPr>
            <w:r>
              <w:rPr>
                <w:rFonts w:cs="Times New Roman" w:ascii="Times New Roman" w:hAnsi="Times New Roman"/>
                <w:sz w:val="28"/>
                <w:szCs w:val="28"/>
              </w:rPr>
              <w:t>2.14. Развитие системы независимой оценки качества дошкольного, общего и дополнительного образования посредством внедрения образовательного аудита, совершенствования механизмов внутреннего и внешнего контроля в образовательных организациях, общественного участия в оценке качества образования. 2.15. Формирование принципиально нового отношения обучающихся, родителей и образовательных организаций к качеству образования, процедурам и механизмам его измерения и оценки.  Увеличение удовлетворенности населения качеством общего образования.</w:t>
            </w:r>
          </w:p>
        </w:tc>
      </w:tr>
      <w:tr>
        <w:trPr/>
        <w:tc>
          <w:tcPr>
            <w:tcW w:w="22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13" w:type="dxa"/>
            </w:tcMar>
          </w:tcPr>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3.Эффективная поддержка социально уязвимых слоев населения</w:t>
            </w:r>
          </w:p>
        </w:tc>
        <w:tc>
          <w:tcPr>
            <w:tcW w:w="72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13" w:type="dxa"/>
            </w:tcMar>
            <w:vAlign w:val="center"/>
          </w:tcPr>
          <w:p>
            <w:pPr>
              <w:pStyle w:val="Normal"/>
              <w:tabs>
                <w:tab w:val="left" w:pos="72" w:leader="none"/>
                <w:tab w:val="left" w:pos="252" w:leader="none"/>
              </w:tabs>
              <w:spacing w:before="0" w:after="0"/>
              <w:jc w:val="both"/>
              <w:rPr>
                <w:rFonts w:ascii="Times New Roman" w:hAnsi="Times New Roman" w:cs="Times New Roman"/>
                <w:sz w:val="28"/>
                <w:szCs w:val="28"/>
              </w:rPr>
            </w:pPr>
            <w:r>
              <w:rPr>
                <w:rFonts w:cs="Times New Roman" w:ascii="Times New Roman" w:hAnsi="Times New Roman"/>
                <w:sz w:val="28"/>
                <w:szCs w:val="28"/>
              </w:rPr>
              <w:t>3.1. Формирование эффективной системы институтов, обеспечивающих поддержку и содействие социальной адаптации граждан, попавших в сложную жизненную ситуацию или находящиеся в социально опасном положении.</w:t>
            </w:r>
          </w:p>
          <w:p>
            <w:pPr>
              <w:pStyle w:val="Normal"/>
              <w:tabs>
                <w:tab w:val="left" w:pos="72" w:leader="none"/>
                <w:tab w:val="left" w:pos="252" w:leader="none"/>
              </w:tabs>
              <w:spacing w:before="0" w:after="0"/>
              <w:jc w:val="both"/>
              <w:rPr>
                <w:rFonts w:ascii="Times New Roman" w:hAnsi="Times New Roman" w:cs="Times New Roman"/>
                <w:sz w:val="28"/>
                <w:szCs w:val="28"/>
              </w:rPr>
            </w:pPr>
            <w:r>
              <w:rPr>
                <w:rFonts w:cs="Times New Roman" w:ascii="Times New Roman" w:hAnsi="Times New Roman"/>
                <w:sz w:val="28"/>
                <w:szCs w:val="28"/>
              </w:rPr>
              <w:t>3.2. Повышение эффективности и доступности сети социальных служб, деятельность которых связана с профилактикой семейного неблагополучия и представлением социальной и психологической поддержки детям из семей, находящихся в социально-опасном положении, дезадаптированным детям.</w:t>
            </w:r>
          </w:p>
          <w:p>
            <w:pPr>
              <w:pStyle w:val="Normal"/>
              <w:tabs>
                <w:tab w:val="left" w:pos="72" w:leader="none"/>
                <w:tab w:val="left" w:pos="252" w:leader="none"/>
              </w:tabs>
              <w:spacing w:lineRule="auto" w:line="228" w:before="0" w:after="0"/>
              <w:jc w:val="both"/>
              <w:rPr>
                <w:rFonts w:ascii="Times New Roman" w:hAnsi="Times New Roman" w:cs="Times New Roman"/>
                <w:sz w:val="28"/>
                <w:szCs w:val="28"/>
              </w:rPr>
            </w:pPr>
            <w:r>
              <w:rPr>
                <w:rFonts w:cs="Times New Roman" w:ascii="Times New Roman" w:hAnsi="Times New Roman"/>
                <w:sz w:val="28"/>
                <w:szCs w:val="28"/>
              </w:rPr>
              <w:t xml:space="preserve">3.3. Совершенствование социальной поддержки семьи и детей. </w:t>
            </w:r>
          </w:p>
          <w:p>
            <w:pPr>
              <w:pStyle w:val="Normal"/>
              <w:tabs>
                <w:tab w:val="left" w:pos="72" w:leader="none"/>
                <w:tab w:val="left" w:pos="252" w:leader="none"/>
              </w:tabs>
              <w:spacing w:before="0" w:after="0"/>
              <w:jc w:val="both"/>
              <w:rPr>
                <w:rFonts w:ascii="Times New Roman" w:hAnsi="Times New Roman" w:cs="Times New Roman"/>
                <w:sz w:val="28"/>
                <w:szCs w:val="28"/>
              </w:rPr>
            </w:pPr>
            <w:r>
              <w:rPr>
                <w:rFonts w:cs="Times New Roman" w:ascii="Times New Roman" w:hAnsi="Times New Roman"/>
                <w:sz w:val="28"/>
                <w:szCs w:val="28"/>
              </w:rPr>
              <w:t>3.4. Обеспечение граждан пожилого возраста, нуждающихся в постоянном постороннем уходе, местами, соответствующими потребностям в стационарных учреждениях социального обслуживания.</w:t>
            </w:r>
          </w:p>
          <w:p>
            <w:pPr>
              <w:pStyle w:val="Normal"/>
              <w:tabs>
                <w:tab w:val="left" w:pos="72" w:leader="none"/>
                <w:tab w:val="left" w:pos="252" w:leader="none"/>
              </w:tabs>
              <w:spacing w:before="0" w:after="0"/>
              <w:jc w:val="both"/>
              <w:rPr>
                <w:rFonts w:ascii="Times New Roman" w:hAnsi="Times New Roman" w:cs="Times New Roman"/>
                <w:sz w:val="28"/>
                <w:szCs w:val="28"/>
              </w:rPr>
            </w:pPr>
            <w:r>
              <w:rPr>
                <w:rFonts w:cs="Times New Roman" w:ascii="Times New Roman" w:hAnsi="Times New Roman"/>
                <w:sz w:val="28"/>
                <w:szCs w:val="28"/>
              </w:rPr>
              <w:t>3.5. Создание инфраструктуры реабилитационных центров обеспечивающих комплексную реабилитацию инвалидов и их возвращение к полноценной жизни в обществе.</w:t>
            </w:r>
          </w:p>
          <w:p>
            <w:pPr>
              <w:pStyle w:val="Normal"/>
              <w:tabs>
                <w:tab w:val="left" w:pos="72" w:leader="none"/>
              </w:tabs>
              <w:spacing w:lineRule="auto" w:line="228" w:before="0" w:after="0"/>
              <w:jc w:val="both"/>
              <w:rPr>
                <w:rFonts w:ascii="Times New Roman" w:hAnsi="Times New Roman" w:cs="Times New Roman"/>
                <w:sz w:val="28"/>
                <w:szCs w:val="28"/>
              </w:rPr>
            </w:pPr>
            <w:r>
              <w:rPr>
                <w:rFonts w:cs="Times New Roman" w:ascii="Times New Roman" w:hAnsi="Times New Roman"/>
                <w:sz w:val="28"/>
                <w:szCs w:val="28"/>
              </w:rPr>
              <w:t>3.6. Создание «доступной среды» для инвалидов и других маломобильных групп населения.</w:t>
            </w:r>
          </w:p>
          <w:p>
            <w:pPr>
              <w:pStyle w:val="Normal"/>
              <w:tabs>
                <w:tab w:val="left" w:pos="72" w:leader="none"/>
                <w:tab w:val="left" w:pos="252" w:leader="none"/>
              </w:tabs>
              <w:spacing w:lineRule="auto" w:line="228" w:before="0" w:after="0"/>
              <w:jc w:val="both"/>
              <w:rPr>
                <w:rFonts w:ascii="Times New Roman" w:hAnsi="Times New Roman" w:cs="Times New Roman"/>
                <w:sz w:val="28"/>
                <w:szCs w:val="28"/>
              </w:rPr>
            </w:pPr>
            <w:r>
              <w:rPr>
                <w:rFonts w:cs="Times New Roman" w:ascii="Times New Roman" w:hAnsi="Times New Roman"/>
                <w:sz w:val="28"/>
                <w:szCs w:val="28"/>
              </w:rPr>
              <w:t>3.7. Поддержка социально ориентированных некоммерческих организаций.</w:t>
            </w:r>
          </w:p>
          <w:p>
            <w:pPr>
              <w:pStyle w:val="Normal"/>
              <w:tabs>
                <w:tab w:val="left" w:pos="72" w:leader="none"/>
                <w:tab w:val="left" w:pos="252" w:leader="none"/>
              </w:tabs>
              <w:spacing w:before="0" w:after="0"/>
              <w:jc w:val="both"/>
              <w:rPr>
                <w:rFonts w:ascii="Times New Roman" w:hAnsi="Times New Roman" w:cs="Times New Roman"/>
                <w:sz w:val="28"/>
                <w:szCs w:val="28"/>
              </w:rPr>
            </w:pPr>
            <w:r>
              <w:rPr>
                <w:rFonts w:cs="Times New Roman" w:ascii="Times New Roman" w:hAnsi="Times New Roman"/>
                <w:sz w:val="28"/>
                <w:szCs w:val="28"/>
              </w:rPr>
              <w:t>3.8. Содействие занятости населения города-курорта Железноводска, защита граждан от безработицы, содействие развитию кадрового потенциала для экономики города-курорта Железноводска.</w:t>
            </w:r>
          </w:p>
        </w:tc>
      </w:tr>
      <w:tr>
        <w:trPr/>
        <w:tc>
          <w:tcPr>
            <w:tcW w:w="22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13" w:type="dxa"/>
            </w:tcMar>
          </w:tcPr>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4.Создание  благоприятных условий проживания жителей</w:t>
            </w:r>
          </w:p>
        </w:tc>
        <w:tc>
          <w:tcPr>
            <w:tcW w:w="72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13" w:type="dxa"/>
            </w:tcMar>
          </w:tcPr>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 xml:space="preserve">4.1. Развитие современных форм культурного и активного досуга   с комфортными условиями, широким спектром и высоким качеством услуг, доступных для различных категорий населения.  </w:t>
            </w:r>
          </w:p>
          <w:p>
            <w:pPr>
              <w:pStyle w:val="Normal"/>
              <w:tabs>
                <w:tab w:val="left" w:pos="72" w:leader="none"/>
              </w:tabs>
              <w:spacing w:lineRule="auto" w:line="228" w:before="0" w:after="0"/>
              <w:jc w:val="both"/>
              <w:rPr>
                <w:rFonts w:ascii="Times New Roman" w:hAnsi="Times New Roman" w:cs="Times New Roman"/>
                <w:sz w:val="28"/>
                <w:szCs w:val="28"/>
              </w:rPr>
            </w:pPr>
            <w:r>
              <w:rPr>
                <w:rFonts w:cs="Times New Roman" w:ascii="Times New Roman" w:hAnsi="Times New Roman"/>
                <w:sz w:val="28"/>
                <w:szCs w:val="28"/>
              </w:rPr>
              <w:t>4.2. Развитие инфраструктуры по работе с молодежью.</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4.3. Повышение уровня обеспеченности населения комфортным жильем.</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4.4. Приведение технического состояния жилищного фонда города в соответствие с нормативными требованиями.</w:t>
            </w:r>
          </w:p>
          <w:p>
            <w:pPr>
              <w:pStyle w:val="Normal"/>
              <w:tabs>
                <w:tab w:val="left" w:pos="72" w:leader="none"/>
              </w:tabs>
              <w:spacing w:lineRule="auto" w:line="228" w:before="0" w:after="0"/>
              <w:jc w:val="both"/>
              <w:rPr>
                <w:rFonts w:ascii="Times New Roman" w:hAnsi="Times New Roman" w:cs="Times New Roman"/>
                <w:sz w:val="28"/>
                <w:szCs w:val="28"/>
              </w:rPr>
            </w:pPr>
            <w:r>
              <w:rPr>
                <w:rFonts w:cs="Times New Roman" w:ascii="Times New Roman" w:hAnsi="Times New Roman"/>
                <w:sz w:val="28"/>
                <w:szCs w:val="28"/>
              </w:rPr>
              <w:t>4.5. Создание условий для формирования современной и эффективной системы оказания жилищно-коммунальных услуг населению.</w:t>
            </w:r>
          </w:p>
          <w:p>
            <w:pPr>
              <w:pStyle w:val="Normal"/>
              <w:tabs>
                <w:tab w:val="left" w:pos="72" w:leader="none"/>
              </w:tabs>
              <w:spacing w:lineRule="auto" w:line="228" w:before="0" w:after="0"/>
              <w:jc w:val="both"/>
              <w:rPr>
                <w:rFonts w:ascii="Times New Roman" w:hAnsi="Times New Roman" w:cs="Times New Roman"/>
                <w:sz w:val="28"/>
                <w:szCs w:val="28"/>
              </w:rPr>
            </w:pPr>
            <w:r>
              <w:rPr>
                <w:rFonts w:cs="Times New Roman" w:ascii="Times New Roman" w:hAnsi="Times New Roman"/>
                <w:sz w:val="28"/>
                <w:szCs w:val="28"/>
              </w:rPr>
              <w:t>4.6. Предоставление качественных транспортных услуг, повышение эффективности работы общественного пассажирского транспорта, формирование конкуренции на рынке транспортных услуг.</w:t>
            </w:r>
          </w:p>
          <w:p>
            <w:pPr>
              <w:pStyle w:val="Normal"/>
              <w:tabs>
                <w:tab w:val="left" w:pos="72" w:leader="none"/>
              </w:tabs>
              <w:spacing w:lineRule="auto" w:line="228" w:before="0" w:after="0"/>
              <w:jc w:val="both"/>
              <w:rPr>
                <w:rFonts w:ascii="Times New Roman" w:hAnsi="Times New Roman" w:cs="Times New Roman"/>
                <w:sz w:val="28"/>
                <w:szCs w:val="28"/>
              </w:rPr>
            </w:pPr>
            <w:r>
              <w:rPr>
                <w:rFonts w:cs="Times New Roman" w:ascii="Times New Roman" w:hAnsi="Times New Roman"/>
                <w:sz w:val="28"/>
                <w:szCs w:val="28"/>
              </w:rPr>
              <w:t>4.7. Улучшение эколого-санитарной обстановки, обеспечение экологической безопасности населения.</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 xml:space="preserve">4.8. Повышение качества жизни на основе предоставления доступа граждан и организаций к услугам на основе информационных и телекоммуникационных технологий. </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4.9. Повышение эффективности и открытости муниципального управления путем совершенствования информационно-аналитического потенциала системы муниципального управления, создание условий для развития информационного общества.</w:t>
            </w:r>
          </w:p>
          <w:p>
            <w:pPr>
              <w:pStyle w:val="Normal"/>
              <w:tabs>
                <w:tab w:val="left" w:pos="72" w:leader="none"/>
              </w:tabs>
              <w:spacing w:lineRule="auto" w:line="228" w:before="0" w:after="0"/>
              <w:jc w:val="both"/>
              <w:rPr>
                <w:rFonts w:ascii="Times New Roman" w:hAnsi="Times New Roman" w:cs="Times New Roman"/>
                <w:sz w:val="28"/>
                <w:szCs w:val="28"/>
              </w:rPr>
            </w:pPr>
            <w:r>
              <w:rPr>
                <w:rFonts w:cs="Times New Roman" w:ascii="Times New Roman" w:hAnsi="Times New Roman"/>
                <w:sz w:val="28"/>
                <w:szCs w:val="28"/>
              </w:rPr>
              <w:t>4.10. Обеспечение прозрачности, объективности и непрерывности процесса предоставления государственных и муниципальных услуг, в том числе в многофункциональных центрах.</w:t>
            </w:r>
          </w:p>
          <w:p>
            <w:pPr>
              <w:pStyle w:val="Normal"/>
              <w:tabs>
                <w:tab w:val="left" w:pos="72" w:leader="none"/>
              </w:tabs>
              <w:spacing w:lineRule="auto" w:line="228" w:before="0" w:after="0"/>
              <w:jc w:val="both"/>
              <w:rPr>
                <w:rFonts w:ascii="Times New Roman" w:hAnsi="Times New Roman" w:cs="Times New Roman"/>
                <w:sz w:val="28"/>
                <w:szCs w:val="28"/>
              </w:rPr>
            </w:pPr>
            <w:r>
              <w:rPr>
                <w:rFonts w:cs="Times New Roman" w:ascii="Times New Roman" w:hAnsi="Times New Roman"/>
                <w:sz w:val="28"/>
                <w:szCs w:val="28"/>
              </w:rPr>
              <w:t>4.11. Развитие институтов гражданского общества, активное включение их в механизм управления социально-экономическим развитием территории города.</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4.12. Формирование условий безопасной жизнедеятельности населения города.</w:t>
            </w:r>
          </w:p>
          <w:p>
            <w:pPr>
              <w:pStyle w:val="Normal"/>
              <w:tabs>
                <w:tab w:val="left" w:pos="72" w:leader="none"/>
              </w:tabs>
              <w:spacing w:lineRule="auto" w:line="228" w:before="0" w:after="0"/>
              <w:jc w:val="both"/>
              <w:rPr>
                <w:rFonts w:ascii="Times New Roman" w:hAnsi="Times New Roman" w:cs="Times New Roman"/>
                <w:sz w:val="28"/>
                <w:szCs w:val="28"/>
              </w:rPr>
            </w:pPr>
            <w:r>
              <w:rPr>
                <w:rFonts w:cs="Times New Roman" w:ascii="Times New Roman" w:hAnsi="Times New Roman"/>
                <w:sz w:val="28"/>
                <w:szCs w:val="28"/>
              </w:rPr>
              <w:t>4.13. Предупреждение и защита населения и территории города от чрезвычайных ситуаций природного и техногенного характера.</w:t>
            </w:r>
          </w:p>
          <w:p>
            <w:pPr>
              <w:pStyle w:val="Normal"/>
              <w:tabs>
                <w:tab w:val="left" w:pos="72" w:leader="none"/>
              </w:tabs>
              <w:spacing w:lineRule="auto" w:line="228" w:before="0" w:after="0"/>
              <w:jc w:val="both"/>
              <w:rPr>
                <w:rFonts w:ascii="Times New Roman" w:hAnsi="Times New Roman" w:cs="Times New Roman"/>
                <w:sz w:val="28"/>
                <w:szCs w:val="28"/>
              </w:rPr>
            </w:pPr>
            <w:r>
              <w:rPr>
                <w:rFonts w:cs="Times New Roman" w:ascii="Times New Roman" w:hAnsi="Times New Roman"/>
                <w:sz w:val="28"/>
                <w:szCs w:val="28"/>
              </w:rPr>
              <w:t>4.14. Создание организационных условий для увеличения числа социально-ответственных общественных организаций, оказывающих социально значимые услуги в сфере межнациональных и этноконфессиональных отношений, а также для расширения сегмента благотворительности, меценатства, добровольчества в данной сфере.</w:t>
            </w:r>
          </w:p>
          <w:p>
            <w:pPr>
              <w:pStyle w:val="Normal"/>
              <w:tabs>
                <w:tab w:val="left" w:pos="72" w:leader="none"/>
              </w:tabs>
              <w:spacing w:lineRule="auto" w:line="228" w:before="0" w:after="0"/>
              <w:jc w:val="both"/>
              <w:rPr>
                <w:rFonts w:ascii="Times New Roman" w:hAnsi="Times New Roman" w:cs="Times New Roman"/>
                <w:sz w:val="28"/>
                <w:szCs w:val="28"/>
              </w:rPr>
            </w:pPr>
            <w:r>
              <w:rPr>
                <w:rFonts w:cs="Times New Roman" w:ascii="Times New Roman" w:hAnsi="Times New Roman"/>
                <w:sz w:val="28"/>
                <w:szCs w:val="28"/>
              </w:rPr>
              <w:t>4.15. Недопущение социальной и территориальной изоляции иностранных граждан на территории города Железноводска, устранение способствующих этому условий.</w:t>
            </w:r>
          </w:p>
          <w:p>
            <w:pPr>
              <w:pStyle w:val="Normal"/>
              <w:tabs>
                <w:tab w:val="left" w:pos="72" w:leader="none"/>
              </w:tabs>
              <w:spacing w:lineRule="auto" w:line="228" w:before="0" w:after="0"/>
              <w:jc w:val="both"/>
              <w:rPr>
                <w:rFonts w:ascii="Times New Roman" w:hAnsi="Times New Roman" w:cs="Times New Roman"/>
                <w:sz w:val="28"/>
                <w:szCs w:val="28"/>
              </w:rPr>
            </w:pPr>
            <w:r>
              <w:rPr>
                <w:rFonts w:cs="Times New Roman" w:ascii="Times New Roman" w:hAnsi="Times New Roman"/>
                <w:sz w:val="28"/>
                <w:szCs w:val="28"/>
              </w:rPr>
              <w:t>4.16. Усиление роли казачества в решении муниципальных задач посредством формирования эффективных механизмов общественно-государственного партнерства.</w:t>
            </w:r>
          </w:p>
          <w:p>
            <w:pPr>
              <w:pStyle w:val="Normal"/>
              <w:tabs>
                <w:tab w:val="left" w:pos="72" w:leader="none"/>
              </w:tabs>
              <w:spacing w:lineRule="auto" w:line="228" w:before="0" w:after="0"/>
              <w:jc w:val="both"/>
              <w:rPr>
                <w:rFonts w:ascii="Times New Roman" w:hAnsi="Times New Roman" w:cs="Times New Roman"/>
                <w:sz w:val="28"/>
                <w:szCs w:val="28"/>
              </w:rPr>
            </w:pPr>
            <w:r>
              <w:rPr>
                <w:rFonts w:cs="Times New Roman" w:ascii="Times New Roman" w:hAnsi="Times New Roman"/>
                <w:sz w:val="28"/>
                <w:szCs w:val="28"/>
              </w:rPr>
              <w:t>4.17. Развитие имиджа города-курорта Железноводска как территории конструктивного диалога народов и культур.</w:t>
            </w:r>
          </w:p>
        </w:tc>
      </w:tr>
      <w:tr>
        <w:trPr/>
        <w:tc>
          <w:tcPr>
            <w:tcW w:w="947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13" w:type="dxa"/>
            </w:tcMar>
          </w:tcPr>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 xml:space="preserve">II. Создание  динамичного и конкурентоспособного санаторно-курортного и туристско-рекреационного комплекса </w:t>
            </w:r>
          </w:p>
        </w:tc>
      </w:tr>
      <w:tr>
        <w:trPr/>
        <w:tc>
          <w:tcPr>
            <w:tcW w:w="22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13" w:type="dxa"/>
            </w:tcMar>
          </w:tcPr>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1. Развитие инвестиционной и инновационной деятельности</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r>
          </w:p>
        </w:tc>
        <w:tc>
          <w:tcPr>
            <w:tcW w:w="72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13" w:type="dxa"/>
            </w:tcMar>
          </w:tcPr>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1.1. Формирование эффективной инвестиционной инфраструктуры, обеспечивающей потребности потенциальных и существующих инвесторов, бизнеса и органов местного самоуправления города.</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1.2. Создание и совершенствование мер по созданию благоприятного инвестиционного климата на территории муниципального образования.</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1.3. Формирование и ведение банка данных инвестиционных проектов и свободных инвестиционных площадок для потенциальных инвесторов.</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1.4. Ликвидация недостроенных, долгостроящихся и простаивающих объектов недвижимости</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1.5. Оказание содействия реализации приоритетных инвестиционных и инновационных проектов в городе -курорте Железноводске.</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1.6. Содействие в создании благоприятных условий для ведения бизнеса, в том числе путем снижения административных барьеров и внедрения механизмов муниципальной и государственной поддержки инвесторов на территории города.</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1.7. Формирование и ведение системы комплексной информационной и консультационной поддержки инвесторов.</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 xml:space="preserve">1.8. Развитие системы взаимодействия органов местного самоуправления города-курорта Железноводска с частными партнерами и экспертным сообществом по вопросам реализации проектов муниципально-частного партнерства и концессионных соглашений. </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1.9. Первоочередная корректировка генерального плана города Железноводска. Наличие современного, актуального генерального плана, соответствующего последним требованиям законодательства, Схеме территориального планирования Ставропольского края, дает возможность оперативно управлять процессом градостроительства, учитывая интересы как жителей города, так и предпринимателей; позволяет в кратчайшие сроки подгото</w:t>
              <w:softHyphen/>
              <w:t>вить объективную ин</w:t>
              <w:softHyphen/>
              <w:t>формацию об инвестиционных площадках и, в свою оче</w:t>
              <w:softHyphen/>
              <w:t xml:space="preserve">редь, более полно рассмотреть предложения инвесторов с учётом действующей градостроительной ситуации. </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1.10. Формирование положительного имиджа города-курорта Железноводска Ставропольского края и организация продвижения инвестиционного и инновационного потенциала города путем участия в мероприятиях различного уровня.</w:t>
            </w:r>
          </w:p>
        </w:tc>
      </w:tr>
      <w:tr>
        <w:trPr>
          <w:trHeight w:val="1891" w:hRule="atLeast"/>
        </w:trPr>
        <w:tc>
          <w:tcPr>
            <w:tcW w:w="22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13" w:type="dxa"/>
            </w:tcMar>
          </w:tcPr>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 xml:space="preserve">2. Развитие малого </w:t>
              <w:br/>
              <w:t>и среднего предпринимательства</w:t>
            </w:r>
          </w:p>
        </w:tc>
        <w:tc>
          <w:tcPr>
            <w:tcW w:w="72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13" w:type="dxa"/>
            </w:tcMar>
          </w:tcPr>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2.1. Развитие инфраструктуры поддержки субъектов малого и среднего предпринимательства.</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 xml:space="preserve">2.2. Активизация предпринимательской деятельности. </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2.3. Совершенствование финансовых и нефинансовых механизмов муниципальной поддержки малого и среднего предпринимательства.</w:t>
            </w:r>
          </w:p>
        </w:tc>
      </w:tr>
      <w:tr>
        <w:trPr/>
        <w:tc>
          <w:tcPr>
            <w:tcW w:w="22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13" w:type="dxa"/>
            </w:tcMar>
          </w:tcPr>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3. Повышение качества и конкурентоспособности туристского продукта</w:t>
            </w:r>
          </w:p>
        </w:tc>
        <w:tc>
          <w:tcPr>
            <w:tcW w:w="72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13" w:type="dxa"/>
            </w:tcMar>
          </w:tcPr>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 xml:space="preserve">3.1. Эффективное использование существующих, разработка и внедрение новых лечебно-оздоровительных технологий на основе применения природных лечебных факторов, </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3.2. Модернизация лечебно-диагностической базы урологического и гастроэнтерологического профиля</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3.3. Развитие новых типов предоставляемых услуг, нацеленных на профилактику, восстановление и укрепление здоровья, усиление туристско-рекреационного направления курорта, связанного с отдыхом и развлечением</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3.4. Повышение уровня сервиса, качества работы и расширение социально-бытовой и культурно-досуговой сферы в санаторно-курортных учреждениях и гостиницах</w:t>
            </w:r>
          </w:p>
          <w:p>
            <w:pPr>
              <w:pStyle w:val="Normal"/>
              <w:tabs>
                <w:tab w:val="left" w:pos="72" w:leader="none"/>
                <w:tab w:val="left" w:pos="252" w:leader="none"/>
              </w:tabs>
              <w:spacing w:before="0" w:after="0"/>
              <w:jc w:val="both"/>
              <w:rPr>
                <w:rFonts w:ascii="Times New Roman" w:hAnsi="Times New Roman" w:cs="Times New Roman"/>
                <w:sz w:val="28"/>
                <w:szCs w:val="28"/>
              </w:rPr>
            </w:pPr>
            <w:r>
              <w:rPr>
                <w:rFonts w:cs="Times New Roman" w:ascii="Times New Roman" w:hAnsi="Times New Roman"/>
                <w:sz w:val="28"/>
                <w:szCs w:val="28"/>
              </w:rPr>
              <w:t>3.5. Расширение сети, организация разработки и паспортизации городских и Кавминводских туристических маршрутов.</w:t>
            </w:r>
          </w:p>
          <w:p>
            <w:pPr>
              <w:pStyle w:val="Normal"/>
              <w:tabs>
                <w:tab w:val="left" w:pos="72" w:leader="none"/>
                <w:tab w:val="left" w:pos="252" w:leader="none"/>
              </w:tabs>
              <w:spacing w:before="0" w:after="0"/>
              <w:jc w:val="both"/>
              <w:rPr>
                <w:rFonts w:ascii="Times New Roman" w:hAnsi="Times New Roman" w:cs="Times New Roman"/>
                <w:sz w:val="28"/>
                <w:szCs w:val="28"/>
              </w:rPr>
            </w:pPr>
            <w:r>
              <w:rPr>
                <w:rFonts w:cs="Times New Roman" w:ascii="Times New Roman" w:hAnsi="Times New Roman"/>
                <w:sz w:val="28"/>
                <w:szCs w:val="28"/>
              </w:rPr>
              <w:t>3.6. Создание и развитие комфортной информационной туристской среды, включая систему туристской навигации, знаки ориентирования, информацию о туристских ресурсах.</w:t>
            </w:r>
          </w:p>
          <w:p>
            <w:pPr>
              <w:pStyle w:val="Normal"/>
              <w:tabs>
                <w:tab w:val="left" w:pos="72" w:leader="none"/>
                <w:tab w:val="left" w:pos="252" w:leader="none"/>
              </w:tabs>
              <w:spacing w:before="0" w:after="0"/>
              <w:jc w:val="both"/>
              <w:rPr>
                <w:rFonts w:ascii="Times New Roman" w:hAnsi="Times New Roman" w:cs="Times New Roman"/>
                <w:sz w:val="28"/>
                <w:szCs w:val="28"/>
              </w:rPr>
            </w:pPr>
            <w:r>
              <w:rPr>
                <w:rFonts w:cs="Times New Roman" w:ascii="Times New Roman" w:hAnsi="Times New Roman"/>
                <w:sz w:val="28"/>
                <w:szCs w:val="28"/>
              </w:rPr>
              <w:t>3.7. Применения прогрессивных технологий, методов обслуживания и безопасности, широкого использования информационных технологий и программных средств.</w:t>
            </w:r>
          </w:p>
          <w:p>
            <w:pPr>
              <w:pStyle w:val="Normal"/>
              <w:tabs>
                <w:tab w:val="left" w:pos="72" w:leader="none"/>
                <w:tab w:val="left" w:pos="252" w:leader="none"/>
              </w:tabs>
              <w:spacing w:before="0" w:after="0"/>
              <w:jc w:val="both"/>
              <w:rPr>
                <w:rFonts w:ascii="Times New Roman" w:hAnsi="Times New Roman" w:cs="Times New Roman"/>
                <w:sz w:val="28"/>
                <w:szCs w:val="28"/>
              </w:rPr>
            </w:pPr>
            <w:r>
              <w:rPr>
                <w:rFonts w:cs="Times New Roman" w:ascii="Times New Roman" w:hAnsi="Times New Roman"/>
                <w:sz w:val="28"/>
                <w:szCs w:val="28"/>
              </w:rPr>
              <w:t>3.8. Создание современной системы подготовки, переподготовки, повышения квалификации, стажировки кадров, работающих в сфере курорта и туризма.</w:t>
            </w:r>
          </w:p>
          <w:p>
            <w:pPr>
              <w:pStyle w:val="Normal"/>
              <w:tabs>
                <w:tab w:val="left" w:pos="72" w:leader="none"/>
                <w:tab w:val="left" w:pos="252" w:leader="none"/>
              </w:tabs>
              <w:spacing w:before="0" w:after="0"/>
              <w:jc w:val="both"/>
              <w:rPr>
                <w:rFonts w:ascii="Times New Roman" w:hAnsi="Times New Roman" w:cs="Times New Roman"/>
                <w:sz w:val="28"/>
                <w:szCs w:val="28"/>
              </w:rPr>
            </w:pPr>
            <w:r>
              <w:rPr>
                <w:rFonts w:cs="Times New Roman" w:ascii="Times New Roman" w:hAnsi="Times New Roman"/>
                <w:sz w:val="28"/>
                <w:szCs w:val="28"/>
              </w:rPr>
              <w:t>3.9 Развитие культурно-досуговой составляющей города путем привлечения культурных мероприятий различного уровня и инициирование собственных широкомасштабных событийных мероприятий.</w:t>
            </w:r>
          </w:p>
        </w:tc>
      </w:tr>
      <w:tr>
        <w:trPr/>
        <w:tc>
          <w:tcPr>
            <w:tcW w:w="22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13" w:type="dxa"/>
            </w:tcMar>
          </w:tcPr>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4. Создание и продвижение бренда города-курорта Железноводска в сфере курорта и туризма</w:t>
            </w:r>
          </w:p>
        </w:tc>
        <w:tc>
          <w:tcPr>
            <w:tcW w:w="72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13" w:type="dxa"/>
            </w:tcMar>
          </w:tcPr>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4.1. Создание пакета рекламно-информационных материалов, отражающих специфику города-курорта Железноводска как урологического и гастроэнтерологического центра</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4.2. Создание «Рекламного туристского паспорта города-курорта Железноводска Ставропольского края»</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4.3. Развитие производства и реализация товаров для туристов, туристского оборудования, инвентаря, развитие народных промыслов, народных фольклорных коллективов</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4.4. Разработка и создание туристского продукта, способствующего узнаваемости города Железноводска – отражающего его неповторимость и преимущества</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4.5. Формирование системы туристической навигации. Установка информационных щитов и указателей к туристским объектам на территории города-курорта Железноводска</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4.6. Активное участие в региональных, межрегиональных и международных выставках и ярмарках с целью пропаганды туристского потенциала города</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4.7. Развитие межрегионального и международного сотрудничества в сфере туризма, интеграция города в систему российского туристского рынка</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4.8. Проведение активной издательско-информационной, рекламной деятельности, направленной на формирование имиджа города, как благоприятной для лечения, отдыха и туризма территории</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4.9 Привлечение в город большого количества федеральных и международных культурных мероприятий с целью укрепления положительного имиджа города, как культурно-исторического центра туризма, в котором отдыхали, творили и выступали выдающиеся личности: Лермонтов М.Ю., Толстой Л.Н., Пушкин А.С., Шаляпин Ф.И., Дункан А. и другие.</w:t>
            </w:r>
          </w:p>
        </w:tc>
      </w:tr>
      <w:tr>
        <w:trPr>
          <w:trHeight w:val="5633" w:hRule="atLeast"/>
        </w:trPr>
        <w:tc>
          <w:tcPr>
            <w:tcW w:w="22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13" w:type="dxa"/>
            </w:tcMar>
          </w:tcPr>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 xml:space="preserve">5.Модернизация объектов инфраструктуры </w:t>
            </w:r>
          </w:p>
        </w:tc>
        <w:tc>
          <w:tcPr>
            <w:tcW w:w="72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13" w:type="dxa"/>
            </w:tcMar>
          </w:tcPr>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5.1. Развитие инфраструктуры курортно-туристского кластера.</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5.2. Модернизация, реконструкция объектов курортного и бальнеологического назначения, в том числе федерального значения, благоустройство курортных зон.</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5.3. Паспортизация объектов туристской индустрии, инвентаризация всех объектов культурного наследия</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5.4. Организация достаточного количества предприятий общественного питания, игровых и развлекательных учреждений, объектов познавательного, спортивного и иного назначения для взрослых и детей в местах пребывания туристов</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Осуществление комплекса мер по благоустройству территории города.</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5.5. Обновление и развитие городских инженерных сетей</w:t>
            </w:r>
          </w:p>
          <w:p>
            <w:pPr>
              <w:pStyle w:val="Normal"/>
              <w:tabs>
                <w:tab w:val="left" w:pos="72" w:leader="none"/>
              </w:tabs>
              <w:spacing w:before="0" w:after="0"/>
              <w:jc w:val="both"/>
              <w:rPr>
                <w:rFonts w:ascii="Times New Roman" w:hAnsi="Times New Roman" w:cs="Times New Roman"/>
                <w:sz w:val="28"/>
                <w:szCs w:val="28"/>
              </w:rPr>
            </w:pPr>
            <w:r>
              <w:rPr>
                <w:rFonts w:cs="Times New Roman" w:ascii="Times New Roman" w:hAnsi="Times New Roman"/>
                <w:sz w:val="28"/>
                <w:szCs w:val="28"/>
              </w:rPr>
              <w:t xml:space="preserve">5.6. Развитие транспортной и коммуникационной инфраструктуры. </w:t>
            </w:r>
          </w:p>
        </w:tc>
      </w:tr>
    </w:tbl>
    <w:p>
      <w:pPr>
        <w:pStyle w:val="Standard"/>
        <w:rPr>
          <w:sz w:val="28"/>
        </w:rPr>
      </w:pPr>
      <w:r>
        <w:rPr>
          <w:sz w:val="28"/>
        </w:rPr>
      </w:r>
    </w:p>
    <w:p>
      <w:pPr>
        <w:pStyle w:val="3"/>
        <w:rPr/>
      </w:pPr>
      <w:bookmarkStart w:id="14" w:name="_Toc11337747"/>
      <w:bookmarkEnd w:id="14"/>
      <w:r>
        <w:rPr/>
        <w:t>3. ОСНОВНЫЕ НАПРАВЛЕНИЯ СОЦИАЛЬНО-ЭКОНОМИЧЕСКОГО РАЗВИТИЯ ГОРОДА-КУРОРТА ЖЕЛЕЗНОВОДСКА</w:t>
      </w:r>
    </w:p>
    <w:p>
      <w:pPr>
        <w:pStyle w:val="Standard"/>
        <w:jc w:val="center"/>
        <w:rPr>
          <w:b/>
          <w:b/>
          <w:sz w:val="28"/>
        </w:rPr>
      </w:pPr>
      <w:r>
        <w:rPr>
          <w:b/>
          <w:sz w:val="28"/>
        </w:rPr>
      </w:r>
    </w:p>
    <w:p>
      <w:pPr>
        <w:pStyle w:val="3"/>
        <w:rPr/>
      </w:pPr>
      <w:bookmarkStart w:id="15" w:name="_Toc11337748"/>
      <w:bookmarkEnd w:id="15"/>
      <w:r>
        <w:rPr/>
        <w:t>3.1. Развитие человеческого потенциала</w:t>
      </w:r>
    </w:p>
    <w:p>
      <w:pPr>
        <w:pStyle w:val="Standard"/>
        <w:rPr>
          <w:b/>
          <w:b/>
          <w:sz w:val="28"/>
        </w:rPr>
      </w:pPr>
      <w:r>
        <w:rPr>
          <w:b/>
          <w:sz w:val="28"/>
        </w:rPr>
      </w:r>
    </w:p>
    <w:p>
      <w:pPr>
        <w:pStyle w:val="Standard"/>
        <w:rPr>
          <w:sz w:val="28"/>
        </w:rPr>
      </w:pPr>
      <w:r>
        <w:rPr>
          <w:sz w:val="28"/>
        </w:rPr>
        <w:t>Человеческий потенциал города формируется под воздействием демографической ситуации, процессов в сфере образования, здравоохранения, социальной защиты, физической культуры и спорта, культуры и других процессов, характеризующих воспроизводство человеческого потенциала.</w:t>
      </w:r>
    </w:p>
    <w:p>
      <w:pPr>
        <w:pStyle w:val="Standard"/>
        <w:rPr>
          <w:sz w:val="28"/>
        </w:rPr>
      </w:pPr>
      <w:r>
        <w:rPr>
          <w:sz w:val="28"/>
        </w:rPr>
        <w:t>Наличие выявленных проблем в социальной сфере города сдерживают развитие человеческого потенциала и не позволяют оптимально реализовать жителям свой социальный, трудовой, образовательный, культурный потенциал.</w:t>
      </w:r>
    </w:p>
    <w:p>
      <w:pPr>
        <w:pStyle w:val="Standard"/>
        <w:rPr>
          <w:sz w:val="28"/>
        </w:rPr>
      </w:pPr>
      <w:r>
        <w:rPr>
          <w:sz w:val="28"/>
        </w:rPr>
        <w:t>Развитие человеческого потенциала возможно на основе развития в обществе высокой духовности и творческого потенциала каждой личности, создания возможностей для удовлетворения социально значимых и культурных потребностей.</w:t>
      </w:r>
    </w:p>
    <w:p>
      <w:pPr>
        <w:pStyle w:val="Standard"/>
        <w:rPr>
          <w:sz w:val="28"/>
        </w:rPr>
      </w:pPr>
      <w:r>
        <w:rPr>
          <w:sz w:val="28"/>
        </w:rPr>
      </w:r>
    </w:p>
    <w:p>
      <w:pPr>
        <w:pStyle w:val="3"/>
        <w:rPr>
          <w:b w:val="false"/>
          <w:b w:val="false"/>
        </w:rPr>
      </w:pPr>
      <w:bookmarkStart w:id="16" w:name="_Toc11337749"/>
      <w:bookmarkEnd w:id="16"/>
      <w:r>
        <w:rPr>
          <w:b w:val="false"/>
        </w:rPr>
        <w:t>3.1.1. Охрана и укрепления здоровья населения на протяжении</w:t>
      </w:r>
    </w:p>
    <w:p>
      <w:pPr>
        <w:pStyle w:val="3"/>
        <w:rPr>
          <w:b w:val="false"/>
          <w:b w:val="false"/>
        </w:rPr>
      </w:pPr>
      <w:bookmarkStart w:id="17" w:name="_Toc11337750"/>
      <w:bookmarkEnd w:id="17"/>
      <w:r>
        <w:rPr>
          <w:b w:val="false"/>
        </w:rPr>
        <w:t>всей жизни</w:t>
      </w:r>
    </w:p>
    <w:p>
      <w:pPr>
        <w:pStyle w:val="Normal"/>
        <w:widowControl w:val="false"/>
        <w:spacing w:lineRule="auto" w:line="240" w:before="0" w:after="0"/>
        <w:ind w:firstLine="709"/>
        <w:jc w:val="center"/>
        <w:rPr>
          <w:rFonts w:ascii="Times New Roman" w:hAnsi="Times New Roman" w:cs="Times New Roman"/>
          <w:sz w:val="28"/>
          <w:szCs w:val="28"/>
        </w:rPr>
      </w:pPr>
      <w:r>
        <w:rPr>
          <w:rFonts w:cs="Times New Roman" w:ascii="Times New Roman" w:hAnsi="Times New Roman"/>
          <w:sz w:val="28"/>
          <w:szCs w:val="28"/>
        </w:rPr>
      </w:r>
    </w:p>
    <w:p>
      <w:pPr>
        <w:pStyle w:val="Normal"/>
        <w:widowControl w:val="fals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Целью </w:t>
      </w:r>
      <w:r>
        <w:rPr>
          <w:rFonts w:cs="Times New Roman" w:ascii="Times New Roman" w:hAnsi="Times New Roman"/>
          <w:b/>
          <w:bCs/>
          <w:sz w:val="28"/>
          <w:szCs w:val="28"/>
        </w:rPr>
        <w:t>демографической</w:t>
      </w:r>
      <w:r>
        <w:rPr>
          <w:rFonts w:cs="Times New Roman" w:ascii="Times New Roman" w:hAnsi="Times New Roman"/>
          <w:sz w:val="28"/>
          <w:szCs w:val="28"/>
        </w:rPr>
        <w:t xml:space="preserve"> политики в городе является</w:t>
      </w:r>
      <w:r>
        <w:rPr>
          <w:rFonts w:cs="Times New Roman" w:ascii="Times New Roman" w:hAnsi="Times New Roman"/>
          <w:i/>
          <w:sz w:val="28"/>
          <w:szCs w:val="28"/>
        </w:rPr>
        <w:t xml:space="preserve"> </w:t>
      </w:r>
      <w:r>
        <w:rPr>
          <w:rFonts w:cs="Times New Roman" w:ascii="Times New Roman" w:hAnsi="Times New Roman"/>
          <w:sz w:val="28"/>
          <w:szCs w:val="28"/>
        </w:rPr>
        <w:t>стабилизация и последующий рост численности населения</w:t>
      </w:r>
      <w:r>
        <w:rPr>
          <w:rFonts w:cs="Times New Roman" w:ascii="Times New Roman" w:hAnsi="Times New Roman"/>
          <w:i/>
          <w:sz w:val="28"/>
          <w:szCs w:val="28"/>
        </w:rPr>
        <w:t xml:space="preserve"> муниципального</w:t>
      </w:r>
      <w:r>
        <w:rPr>
          <w:rFonts w:cs="Times New Roman" w:ascii="Times New Roman" w:hAnsi="Times New Roman"/>
          <w:sz w:val="28"/>
          <w:szCs w:val="28"/>
        </w:rPr>
        <w:t xml:space="preserve"> образования за счет </w:t>
      </w:r>
      <w:r>
        <w:rPr>
          <w:rFonts w:cs="Times New Roman" w:ascii="Times New Roman" w:hAnsi="Times New Roman"/>
          <w:i/>
          <w:sz w:val="28"/>
          <w:szCs w:val="28"/>
        </w:rPr>
        <w:t xml:space="preserve">  </w:t>
      </w:r>
      <w:r>
        <w:rPr>
          <w:rFonts w:cs="Times New Roman" w:ascii="Times New Roman" w:hAnsi="Times New Roman"/>
          <w:sz w:val="28"/>
          <w:szCs w:val="28"/>
        </w:rPr>
        <w:t>увеличения   продолжительности жизни населения, роста рождаемости и миграционного прироста.</w:t>
      </w:r>
      <w:r>
        <w:rPr>
          <w:rFonts w:cs="Times New Roman" w:ascii="Times New Roman" w:hAnsi="Times New Roman"/>
          <w:i/>
          <w:sz w:val="28"/>
          <w:szCs w:val="28"/>
        </w:rPr>
        <w:t xml:space="preserve">   </w:t>
      </w:r>
    </w:p>
    <w:p>
      <w:pPr>
        <w:pStyle w:val="Normal"/>
        <w:widowControl w:val="fals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Основными задачами демографического развития являются:</w:t>
      </w:r>
    </w:p>
    <w:p>
      <w:pPr>
        <w:pStyle w:val="Normal"/>
        <w:widowControl w:val="fals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сохранение и укрепление здоровья населения, увеличение продолжительности активной жизни, создание условий и формирование мотивации для ведения здорового образа жизни, укрепление репродуктивного здоровья населения, здоровья детей и подростков;</w:t>
      </w:r>
    </w:p>
    <w:p>
      <w:pPr>
        <w:pStyle w:val="Normal"/>
        <w:widowControl w:val="fals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создание социально-экономических и духовно-нравственных условий, при которых родители смогли бы успешно воспитать двоих и более детей;</w:t>
      </w:r>
    </w:p>
    <w:p>
      <w:pPr>
        <w:pStyle w:val="Normal"/>
        <w:widowControl w:val="fals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создание условий, позволяющих оптимизировать миграционные процессы с учетом потребностей в работниках, обладающих требуемыми профессиями и квалификациями. </w:t>
      </w:r>
    </w:p>
    <w:p>
      <w:pPr>
        <w:pStyle w:val="Normal"/>
        <w:widowControl w:val="fals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В целях создания социально-экономических и духовно-нравственных условий, при которых родители смогли бы успешно воспитать двоих и более детей, необходимо проведение следующих мероприятий:</w:t>
      </w:r>
    </w:p>
    <w:p>
      <w:pPr>
        <w:pStyle w:val="Normal"/>
        <w:widowControl w:val="fals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обеспечение мерами социальной поддержки семей, имеющих детей в соответствии с федеральным и краевым законодательством;</w:t>
      </w:r>
    </w:p>
    <w:p>
      <w:pPr>
        <w:pStyle w:val="Normal"/>
        <w:widowControl w:val="fals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реализация комплекса мер по содействию занятости женщин, имеющих малолетних детей, позволяющих обеспечить совмещение родительских и семейных обязанностей с профессиональной деятельностью, в частности, по обеспечению потребности семей в услугах дошкольного образования;</w:t>
      </w:r>
    </w:p>
    <w:p>
      <w:pPr>
        <w:pStyle w:val="Normal"/>
        <w:widowControl w:val="fals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создание для женщин, выходящих из отпуска по уходу за ребенком, условий, способствующих их возвращению к трудовой деятельности, а также организация системы повышения их квалификации и переобучения профессиям, востребованным на рынке труда;</w:t>
      </w:r>
    </w:p>
    <w:p>
      <w:pPr>
        <w:pStyle w:val="Normal"/>
        <w:widowControl w:val="fals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создание условий для строительства доступного жилья, отвечающего потребностям семей с детьми;</w:t>
      </w:r>
    </w:p>
    <w:p>
      <w:pPr>
        <w:pStyle w:val="Normal"/>
        <w:widowControl w:val="fals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реализация системы мер по профилактике заболеваний репродуктивной системы и улучшению репродуктивного здоровья населения, включая меры по профилактике абортов и лечению бесплодия;</w:t>
      </w:r>
    </w:p>
    <w:p>
      <w:pPr>
        <w:pStyle w:val="Normal"/>
        <w:widowControl w:val="fals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создание условий для организации   консультативной и психологической поддержки семей в налаживании благоприятного психологического климата во внутрисемейных отношениях, профилактике семейного неблагополучия, социальной реабилитации семей и детей, находящихся в трудной жизненной ситуации;</w:t>
      </w:r>
    </w:p>
    <w:p>
      <w:pPr>
        <w:pStyle w:val="Normal"/>
        <w:widowControl w:val="false"/>
        <w:spacing w:lineRule="auto" w:line="240" w:before="0" w:after="0"/>
        <w:ind w:firstLine="709"/>
        <w:jc w:val="both"/>
        <w:rPr>
          <w:rFonts w:ascii="Times New Roman" w:hAnsi="Times New Roman" w:cs="Times New Roman"/>
          <w:color w:val="FF0000"/>
          <w:sz w:val="28"/>
          <w:szCs w:val="28"/>
        </w:rPr>
      </w:pPr>
      <w:r>
        <w:rPr>
          <w:rFonts w:cs="Times New Roman" w:ascii="Times New Roman" w:hAnsi="Times New Roman"/>
          <w:color w:val="000000"/>
          <w:sz w:val="28"/>
          <w:szCs w:val="28"/>
        </w:rPr>
        <w:t>оказание консультативной и психологической поддержки семей, воспитывающих детей-сирот и детей, оставшихся без попечения родителей, и семей, желающих принять на воспитание детей данной категории;</w:t>
      </w:r>
    </w:p>
    <w:p>
      <w:pPr>
        <w:pStyle w:val="Normal"/>
        <w:widowControl w:val="fals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формирование системы мероприятий по пропаганде ценностей семьи и материнства, а также по повышению общественного престижа семьи с двумя и более детьми.</w:t>
      </w:r>
    </w:p>
    <w:p>
      <w:pPr>
        <w:pStyle w:val="Normal"/>
        <w:widowControl w:val="fals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Решение задачи по созданию условий, позволяющих оптимизировать миграционные процессы, в целях создания механизма замещения естественной убыли населения и с учетом потребности в работниках, обладающих требуемыми профессиями и квалификацией, включает в себя осуществление следующих мероприятий:</w:t>
      </w:r>
    </w:p>
    <w:p>
      <w:pPr>
        <w:pStyle w:val="Normal"/>
        <w:widowControl w:val="fals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создание благоприятных условий для привлечения рабочей силы из других муниципальных образований; </w:t>
      </w:r>
    </w:p>
    <w:p>
      <w:pPr>
        <w:pStyle w:val="Normal"/>
        <w:widowControl w:val="fals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содействие снижению миграционного оттока на основе социально-экономического развития территории и созданию высокоэффективных рабочих мест.</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Повышение качества и доступности медицинских услуг в системе </w:t>
      </w:r>
      <w:r>
        <w:rPr>
          <w:rFonts w:cs="Times New Roman" w:ascii="Times New Roman" w:hAnsi="Times New Roman"/>
          <w:b/>
          <w:bCs/>
          <w:sz w:val="28"/>
          <w:szCs w:val="28"/>
        </w:rPr>
        <w:t>здравоохранения</w:t>
      </w:r>
      <w:r>
        <w:rPr>
          <w:rFonts w:cs="Times New Roman" w:ascii="Times New Roman" w:hAnsi="Times New Roman"/>
          <w:sz w:val="28"/>
          <w:szCs w:val="28"/>
        </w:rPr>
        <w:t xml:space="preserve">, включая все виды услуг от первичного звена до высокотехнологической помощи и восстановительного лечения, позволит решить   задачу по увеличению ожидаемую продолжительности жизни. Продолжительности активной жизни и трудоспособности населения напрямую связано со снижением смертности лиц трудоспособного возраста. Проведение диспансеризации, профилактических мероприятий, выявление лиц группы риска, внедрение высоких технологий, позволят снизить смертность трудоспособного возраста населения. </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Направления развития отрасли здравоохранения:</w:t>
      </w:r>
    </w:p>
    <w:p>
      <w:pPr>
        <w:pStyle w:val="NormalWeb"/>
        <w:widowControl w:val="false"/>
        <w:spacing w:before="0" w:after="0"/>
        <w:ind w:firstLine="709"/>
        <w:jc w:val="both"/>
        <w:rPr>
          <w:sz w:val="28"/>
          <w:szCs w:val="28"/>
        </w:rPr>
      </w:pPr>
      <w:r>
        <w:rPr>
          <w:sz w:val="28"/>
          <w:szCs w:val="28"/>
        </w:rPr>
        <w:t>приведение материально-технической базы учреждений здравоохранения города в соответствие с современными требованиями оказания медицинской помощи;</w:t>
      </w:r>
    </w:p>
    <w:p>
      <w:pPr>
        <w:pStyle w:val="NormalWeb"/>
        <w:widowControl w:val="false"/>
        <w:spacing w:before="0" w:after="0"/>
        <w:ind w:firstLine="709"/>
        <w:jc w:val="both"/>
        <w:rPr>
          <w:sz w:val="28"/>
          <w:szCs w:val="28"/>
        </w:rPr>
      </w:pPr>
      <w:r>
        <w:rPr>
          <w:sz w:val="28"/>
          <w:szCs w:val="28"/>
        </w:rPr>
        <w:t>внедрение современных информационных систем в учреждениях здравоохранения города (персонифицированный учет оказанных медицинских услуг, обмен телемедицинскими данными, завершение внедрения системы электронного документооборота, ведение электронного паспорта медицинского учреждения и паспорта системы здравоохранения города-курорта Железноводска);</w:t>
      </w:r>
    </w:p>
    <w:p>
      <w:pPr>
        <w:pStyle w:val="NormalWeb"/>
        <w:widowControl w:val="false"/>
        <w:spacing w:before="0" w:after="0"/>
        <w:ind w:firstLine="709"/>
        <w:jc w:val="both"/>
        <w:rPr>
          <w:rFonts w:eastAsia="Times New Roman"/>
          <w:sz w:val="28"/>
          <w:szCs w:val="28"/>
        </w:rPr>
      </w:pPr>
      <w:r>
        <w:rPr>
          <w:sz w:val="28"/>
          <w:szCs w:val="28"/>
        </w:rPr>
        <w:t>повышение уровня и эффективности оказания медицинской помощи населению города, переход к оказанию медицинской помощи в соответствии со стандартами медицинской помощи;</w:t>
      </w:r>
    </w:p>
    <w:p>
      <w:pPr>
        <w:pStyle w:val="NormalWeb"/>
        <w:widowControl w:val="false"/>
        <w:spacing w:before="0" w:after="0"/>
        <w:ind w:firstLine="709"/>
        <w:jc w:val="both"/>
        <w:rPr>
          <w:sz w:val="28"/>
          <w:szCs w:val="28"/>
        </w:rPr>
      </w:pPr>
      <w:r>
        <w:rPr>
          <w:sz w:val="28"/>
          <w:szCs w:val="28"/>
        </w:rPr>
        <w:t>укрепление кадрового потенциала учреждений здравоохранения, повышение квалификационной категории медицинского персонала;</w:t>
      </w:r>
    </w:p>
    <w:p>
      <w:pPr>
        <w:pStyle w:val="Normal"/>
        <w:widowControl w:val="fals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обеспечение приоритета профилактической направленности в деятельности учреждения здравоохранения.</w:t>
      </w:r>
    </w:p>
    <w:p>
      <w:pPr>
        <w:pStyle w:val="Normal"/>
        <w:widowControl w:val="fals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Целью в сфере </w:t>
      </w:r>
      <w:r>
        <w:rPr>
          <w:rFonts w:cs="Times New Roman" w:ascii="Times New Roman" w:hAnsi="Times New Roman"/>
          <w:b/>
          <w:bCs/>
          <w:sz w:val="28"/>
          <w:szCs w:val="28"/>
        </w:rPr>
        <w:t>физической культуры и спорта</w:t>
      </w:r>
      <w:r>
        <w:rPr>
          <w:rFonts w:cs="Times New Roman" w:ascii="Times New Roman" w:hAnsi="Times New Roman"/>
          <w:sz w:val="28"/>
          <w:szCs w:val="28"/>
        </w:rPr>
        <w:t xml:space="preserve"> является создание условий для занятия физической культурой и спортом и приобщения всех слоев населения города-курорта Железноводска к систематическому занятию физической культурой и спортом, развитие спортивной инфраструктуры.</w:t>
      </w:r>
    </w:p>
    <w:p>
      <w:pPr>
        <w:pStyle w:val="Normal"/>
        <w:widowControl w:val="fals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Реализация этой цели будет осуществляться по следующим направлениям:</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развитие физической культуры и массовых видов спорта на основе формирования сегментированного рынка спортивно-оздоровительных услуг, ориентированного на различные запросы и платежный спрос разных социальных и возрастных групп населения;</w:t>
      </w:r>
    </w:p>
    <w:p>
      <w:pPr>
        <w:pStyle w:val="Normal"/>
        <w:spacing w:lineRule="auto" w:line="240" w:before="0" w:after="0"/>
        <w:ind w:firstLine="709"/>
        <w:jc w:val="both"/>
        <w:rPr>
          <w:rFonts w:ascii="Times New Roman" w:hAnsi="Times New Roman" w:eastAsia="Times New Roman" w:cs="Times New Roman"/>
          <w:sz w:val="28"/>
          <w:szCs w:val="28"/>
        </w:rPr>
      </w:pPr>
      <w:r>
        <w:rPr>
          <w:rFonts w:cs="Times New Roman" w:ascii="Times New Roman" w:hAnsi="Times New Roman"/>
          <w:sz w:val="28"/>
          <w:szCs w:val="28"/>
        </w:rPr>
        <w:t>обеспечение условий для развития спортивно-оздоровительного туризма и различных форм активного отдыха населения;</w:t>
      </w:r>
    </w:p>
    <w:p>
      <w:pPr>
        <w:pStyle w:val="NormalWeb"/>
        <w:spacing w:before="0" w:after="0"/>
        <w:ind w:firstLine="709"/>
        <w:jc w:val="both"/>
        <w:rPr>
          <w:rFonts w:eastAsia="Times New Roman"/>
          <w:sz w:val="28"/>
          <w:szCs w:val="28"/>
        </w:rPr>
      </w:pPr>
      <w:r>
        <w:rPr>
          <w:sz w:val="28"/>
          <w:szCs w:val="28"/>
        </w:rPr>
        <w:t>организация и проведение спортивно массовых мероприятий, в том числе городского, регионального и общероссийского уровня;</w:t>
      </w:r>
    </w:p>
    <w:p>
      <w:pPr>
        <w:pStyle w:val="NormalWeb"/>
        <w:spacing w:before="0" w:after="0"/>
        <w:ind w:firstLine="709"/>
        <w:jc w:val="both"/>
        <w:rPr>
          <w:sz w:val="28"/>
          <w:szCs w:val="28"/>
        </w:rPr>
      </w:pPr>
      <w:r>
        <w:rPr>
          <w:sz w:val="28"/>
          <w:szCs w:val="28"/>
        </w:rPr>
        <w:t>укрепление материально-технической базы за счет модернизации имеющихся и строительства новых спортивных объектов;</w:t>
      </w:r>
    </w:p>
    <w:p>
      <w:pPr>
        <w:pStyle w:val="NormalWeb"/>
        <w:spacing w:before="0" w:after="0"/>
        <w:ind w:firstLine="709"/>
        <w:jc w:val="both"/>
        <w:rPr>
          <w:sz w:val="28"/>
          <w:szCs w:val="28"/>
        </w:rPr>
      </w:pPr>
      <w:r>
        <w:rPr>
          <w:sz w:val="28"/>
          <w:szCs w:val="28"/>
        </w:rPr>
        <w:t xml:space="preserve">модернизация, техническое переоснащение, реконструкция, ремонт существующих объектов физической культуры и спорта </w:t>
      </w:r>
      <w:r>
        <w:rPr>
          <w:rFonts w:eastAsia="Times New Roman"/>
          <w:sz w:val="28"/>
          <w:szCs w:val="28"/>
        </w:rPr>
        <w:t>в рамках муниципально-частного партнерства</w:t>
      </w:r>
      <w:r>
        <w:rPr>
          <w:sz w:val="28"/>
          <w:szCs w:val="28"/>
        </w:rPr>
        <w:t>;</w:t>
      </w:r>
    </w:p>
    <w:p>
      <w:pPr>
        <w:pStyle w:val="NormalWeb"/>
        <w:spacing w:before="0" w:after="0"/>
        <w:ind w:firstLine="709"/>
        <w:jc w:val="both"/>
        <w:rPr>
          <w:sz w:val="28"/>
          <w:szCs w:val="28"/>
        </w:rPr>
      </w:pPr>
      <w:r>
        <w:rPr>
          <w:sz w:val="28"/>
          <w:szCs w:val="28"/>
        </w:rPr>
        <w:t>строительство новых объектов физической культуры и спорта;</w:t>
      </w:r>
    </w:p>
    <w:p>
      <w:pPr>
        <w:pStyle w:val="NormalWeb"/>
        <w:spacing w:before="0" w:after="0"/>
        <w:ind w:firstLine="709"/>
        <w:jc w:val="both"/>
        <w:rPr>
          <w:rFonts w:eastAsia="Times New Roman"/>
          <w:sz w:val="28"/>
          <w:szCs w:val="28"/>
        </w:rPr>
      </w:pPr>
      <w:r>
        <w:rPr>
          <w:sz w:val="28"/>
          <w:szCs w:val="28"/>
        </w:rPr>
        <w:t>создание возможностей для бесплатного получения доступа к объектам физической культуры и спорта, путем развития комплекса спортивных площадок, оборудования детских площадок, беговых и велосипедных дорожек;</w:t>
      </w:r>
    </w:p>
    <w:p>
      <w:pPr>
        <w:pStyle w:val="NormalWeb"/>
        <w:spacing w:before="0" w:after="0"/>
        <w:ind w:firstLine="709"/>
        <w:jc w:val="both"/>
        <w:rPr>
          <w:rFonts w:eastAsia="Times New Roman"/>
          <w:sz w:val="28"/>
          <w:szCs w:val="28"/>
        </w:rPr>
      </w:pPr>
      <w:r>
        <w:rPr>
          <w:sz w:val="28"/>
          <w:szCs w:val="28"/>
        </w:rPr>
        <w:t>популяризации и пропаганды физической культуры и спорта среди населения города;</w:t>
      </w:r>
    </w:p>
    <w:p>
      <w:pPr>
        <w:pStyle w:val="NormalWeb"/>
        <w:spacing w:before="0" w:after="0"/>
        <w:ind w:firstLine="709"/>
        <w:jc w:val="both"/>
        <w:rPr>
          <w:rFonts w:eastAsia="Times New Roman"/>
          <w:sz w:val="28"/>
          <w:szCs w:val="28"/>
        </w:rPr>
      </w:pPr>
      <w:r>
        <w:rPr>
          <w:sz w:val="28"/>
          <w:szCs w:val="28"/>
        </w:rPr>
        <w:t>создание условий для вовлечения людей с ограниченными возможностями в занятия физической культурой и спортом;</w:t>
      </w:r>
    </w:p>
    <w:p>
      <w:pPr>
        <w:pStyle w:val="NormalWeb"/>
        <w:widowControl w:val="false"/>
        <w:spacing w:before="0" w:after="0"/>
        <w:ind w:firstLine="709"/>
        <w:jc w:val="both"/>
        <w:rPr>
          <w:sz w:val="28"/>
          <w:szCs w:val="28"/>
        </w:rPr>
      </w:pPr>
      <w:r>
        <w:rPr>
          <w:rFonts w:eastAsia="Times New Roman"/>
          <w:sz w:val="28"/>
          <w:szCs w:val="28"/>
        </w:rPr>
        <w:t xml:space="preserve">  </w:t>
      </w:r>
      <w:r>
        <w:rPr>
          <w:sz w:val="28"/>
          <w:szCs w:val="28"/>
        </w:rPr>
        <w:t>повышение уровня квалификации специалистов по физической культуре и спорту.</w:t>
      </w:r>
    </w:p>
    <w:p>
      <w:pPr>
        <w:pStyle w:val="NormalWeb"/>
        <w:widowControl w:val="false"/>
        <w:spacing w:before="0" w:after="0"/>
        <w:ind w:firstLine="709"/>
        <w:jc w:val="both"/>
        <w:rPr>
          <w:sz w:val="28"/>
          <w:szCs w:val="28"/>
        </w:rPr>
      </w:pPr>
      <w:r>
        <w:rPr>
          <w:sz w:val="28"/>
          <w:szCs w:val="28"/>
        </w:rPr>
      </w:r>
    </w:p>
    <w:p>
      <w:pPr>
        <w:pStyle w:val="NormalWeb"/>
        <w:widowControl w:val="false"/>
        <w:spacing w:before="0" w:after="0"/>
        <w:ind w:firstLine="709"/>
        <w:jc w:val="both"/>
        <w:rPr>
          <w:b/>
          <w:b/>
          <w:sz w:val="28"/>
          <w:szCs w:val="28"/>
        </w:rPr>
      </w:pPr>
      <w:r>
        <w:rPr>
          <w:b/>
          <w:sz w:val="28"/>
          <w:szCs w:val="28"/>
        </w:rPr>
        <w:t>Ожидаемые результаты</w:t>
      </w:r>
      <w:r>
        <w:rPr>
          <w:b/>
          <w:caps/>
          <w:sz w:val="28"/>
          <w:szCs w:val="28"/>
        </w:rPr>
        <w:t>:</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естественный прирост населения города-курорта Железноводска, повышение уровня рождаемости населения и снижение уровня смертности;</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увеличение продолжительности жизни, в том числе продолжительности активной жизни и трудоспособности граждан;</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color w:val="000000"/>
          <w:sz w:val="28"/>
          <w:szCs w:val="28"/>
          <w:shd w:fill="FFFFFF" w:val="clear"/>
        </w:rPr>
        <w:t>создание условий для комфортной жизнедеятельности семей, воспитывающих детей</w:t>
      </w:r>
      <w:r>
        <w:rPr>
          <w:rFonts w:cs="Times New Roman" w:ascii="Times New Roman" w:hAnsi="Times New Roman"/>
          <w:sz w:val="28"/>
          <w:szCs w:val="28"/>
        </w:rPr>
        <w:t>;</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повышение доступности высококвалифицированной медицинской помощи для жителей города;</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рост кадрового потенциала медицинских учреждений;</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увеличение количества спортсменов, достигших высоких спортивных результатов на соревнованиях регионального, всероссийского и международного уровней;</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укрепление материально-технической базы муниципальных учреждений физкультурно-спортивной направленности;</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увеличение показателя численности населения систематически занимающегося физической культурой и спортом.</w:t>
      </w:r>
    </w:p>
    <w:p>
      <w:pPr>
        <w:pStyle w:val="Standard"/>
        <w:rPr>
          <w:sz w:val="28"/>
        </w:rPr>
      </w:pPr>
      <w:r>
        <w:rPr>
          <w:sz w:val="28"/>
        </w:rPr>
      </w:r>
    </w:p>
    <w:p>
      <w:pPr>
        <w:pStyle w:val="3"/>
        <w:rPr>
          <w:b w:val="false"/>
          <w:b w:val="false"/>
        </w:rPr>
      </w:pPr>
      <w:bookmarkStart w:id="18" w:name="_Toc11337751"/>
      <w:bookmarkEnd w:id="18"/>
      <w:r>
        <w:rPr>
          <w:b w:val="false"/>
        </w:rPr>
        <w:t>3.1.2 Создание условий для получения доступного и качественного образования</w:t>
      </w:r>
    </w:p>
    <w:p>
      <w:pPr>
        <w:pStyle w:val="Normal"/>
        <w:spacing w:lineRule="auto" w:line="240" w:before="0" w:after="0"/>
        <w:ind w:left="1069" w:firstLine="709"/>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firstLine="709"/>
        <w:jc w:val="both"/>
        <w:rPr>
          <w:rFonts w:ascii="Times New Roman" w:hAnsi="Times New Roman" w:eastAsia="Times New Roman" w:cs="Times New Roman"/>
          <w:sz w:val="28"/>
          <w:szCs w:val="28"/>
        </w:rPr>
      </w:pPr>
      <w:r>
        <w:rPr>
          <w:rFonts w:cs="Times New Roman" w:ascii="Times New Roman" w:hAnsi="Times New Roman"/>
          <w:sz w:val="28"/>
          <w:szCs w:val="28"/>
        </w:rPr>
        <w:t>Приоритетными направлениями политики города-курорта Железноводска в сфере образования являются:</w:t>
      </w:r>
    </w:p>
    <w:p>
      <w:pPr>
        <w:pStyle w:val="NormalWeb"/>
        <w:spacing w:before="0" w:after="0"/>
        <w:ind w:firstLine="709"/>
        <w:jc w:val="both"/>
        <w:rPr>
          <w:rFonts w:eastAsia="Times New Roman"/>
          <w:sz w:val="28"/>
          <w:szCs w:val="28"/>
        </w:rPr>
      </w:pPr>
      <w:r>
        <w:rPr>
          <w:sz w:val="28"/>
          <w:szCs w:val="28"/>
        </w:rPr>
        <w:t>укрепление материально-технической базы учреждений образования;</w:t>
      </w:r>
    </w:p>
    <w:p>
      <w:pPr>
        <w:pStyle w:val="NormalWeb"/>
        <w:spacing w:before="0" w:after="0"/>
        <w:ind w:firstLine="709"/>
        <w:jc w:val="both"/>
        <w:rPr>
          <w:rFonts w:eastAsia="Times New Roman"/>
          <w:sz w:val="28"/>
          <w:szCs w:val="28"/>
        </w:rPr>
      </w:pPr>
      <w:r>
        <w:rPr>
          <w:sz w:val="28"/>
          <w:szCs w:val="28"/>
        </w:rPr>
        <w:t>строительство муниципальных дошкольных образовательных учреждений, открытие новых учреждений дополнительного образования;</w:t>
      </w:r>
    </w:p>
    <w:p>
      <w:pPr>
        <w:pStyle w:val="NormalWeb"/>
        <w:spacing w:before="0" w:after="0"/>
        <w:ind w:firstLine="709"/>
        <w:jc w:val="both"/>
        <w:rPr>
          <w:rFonts w:eastAsia="Times New Roman"/>
          <w:sz w:val="28"/>
          <w:szCs w:val="28"/>
        </w:rPr>
      </w:pPr>
      <w:r>
        <w:rPr>
          <w:sz w:val="28"/>
          <w:szCs w:val="28"/>
        </w:rPr>
        <w:t>внедрение новых образовательных технологий и принципов организации учебного процесса, в том числе с использованием современных информационных и коммуникационных технологий, дистанционной формы обучения;</w:t>
      </w:r>
    </w:p>
    <w:p>
      <w:pPr>
        <w:pStyle w:val="NormalWeb"/>
        <w:spacing w:before="0" w:after="0"/>
        <w:ind w:firstLine="709"/>
        <w:jc w:val="both"/>
        <w:rPr>
          <w:rFonts w:eastAsia="Times New Roman"/>
          <w:sz w:val="28"/>
          <w:szCs w:val="28"/>
        </w:rPr>
      </w:pPr>
      <w:r>
        <w:rPr>
          <w:sz w:val="28"/>
          <w:szCs w:val="28"/>
        </w:rPr>
        <w:t>повышение уровня оплаты труда и квалификации работников учреждений образования;</w:t>
      </w:r>
    </w:p>
    <w:p>
      <w:pPr>
        <w:pStyle w:val="NormalWeb"/>
        <w:spacing w:before="0" w:after="0"/>
        <w:ind w:firstLine="709"/>
        <w:jc w:val="both"/>
        <w:rPr>
          <w:rFonts w:eastAsia="Times New Roman"/>
          <w:sz w:val="28"/>
          <w:szCs w:val="28"/>
        </w:rPr>
      </w:pPr>
      <w:r>
        <w:rPr>
          <w:sz w:val="28"/>
          <w:szCs w:val="28"/>
        </w:rPr>
        <w:t>обеспечение доступности дошкольного образования;</w:t>
      </w:r>
    </w:p>
    <w:p>
      <w:pPr>
        <w:pStyle w:val="NormalWeb"/>
        <w:spacing w:before="0" w:after="0"/>
        <w:ind w:firstLine="709"/>
        <w:jc w:val="both"/>
        <w:rPr>
          <w:rFonts w:eastAsia="Times New Roman"/>
          <w:sz w:val="28"/>
          <w:szCs w:val="28"/>
        </w:rPr>
      </w:pPr>
      <w:r>
        <w:rPr>
          <w:sz w:val="28"/>
          <w:szCs w:val="28"/>
        </w:rPr>
        <w:t>усиление социальной направленности системы образования;</w:t>
      </w:r>
    </w:p>
    <w:p>
      <w:pPr>
        <w:pStyle w:val="NormalWeb"/>
        <w:spacing w:before="0" w:after="0"/>
        <w:ind w:firstLine="709"/>
        <w:jc w:val="both"/>
        <w:rPr>
          <w:rFonts w:eastAsia="Times New Roman"/>
          <w:sz w:val="28"/>
          <w:szCs w:val="28"/>
        </w:rPr>
      </w:pPr>
      <w:r>
        <w:rPr>
          <w:sz w:val="28"/>
          <w:szCs w:val="28"/>
        </w:rPr>
        <w:t>развитие системы выявления, поддержки и сопровождения одаренных детей;</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создание системы образовательных услуг, обеспечивающих раннее развитие детей, независимо от их проживания, состояния здоровья, социального статуса, с опорой на воспитательный статус семьи;</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color w:val="000000"/>
          <w:sz w:val="28"/>
          <w:szCs w:val="28"/>
        </w:rPr>
        <w:t>создание образовательной среды, обеспечивающей доступность качественного образования для детей-инвалидов и детей с ограниченными возможностями здоровья и их социализацию;</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sz w:val="28"/>
          <w:szCs w:val="28"/>
        </w:rPr>
        <w:t>обеспечение всестороннего удовлетворения образовательных потребностей детей и подростков через предоставление дополнительных образовательных услуг;</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color w:val="000000"/>
          <w:sz w:val="28"/>
          <w:szCs w:val="28"/>
        </w:rPr>
        <w:t>оптимизация управления муниципальной образовательной системой.</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реализация комплекса мер по профессиональной ориентации учащихся общеобразовательных учреждений и незанятой молодежи и воспитанию творческого отношения к труду;</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повышение эффективности профессионального образования на основе привлечения работодателей к разработке профессиональных и образовательных стандартов, учебных планов и программ;</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создание эффективной системы кадрового обеспечения системы образования;</w:t>
      </w:r>
    </w:p>
    <w:p>
      <w:pPr>
        <w:pStyle w:val="Normal"/>
        <w:spacing w:lineRule="auto" w:line="240" w:before="0" w:after="0"/>
        <w:ind w:firstLine="709"/>
        <w:jc w:val="both"/>
        <w:rPr>
          <w:rFonts w:ascii="Times New Roman" w:hAnsi="Times New Roman" w:eastAsia="Times New Roman" w:cs="Times New Roman"/>
          <w:sz w:val="28"/>
          <w:szCs w:val="28"/>
        </w:rPr>
      </w:pPr>
      <w:r>
        <w:rPr>
          <w:rFonts w:cs="Times New Roman" w:ascii="Times New Roman" w:hAnsi="Times New Roman"/>
          <w:sz w:val="28"/>
          <w:szCs w:val="28"/>
        </w:rPr>
        <w:t>создание условий для подготовки специалистов и иных категорий работников для новых сегментов рынка труда.</w:t>
      </w:r>
    </w:p>
    <w:p>
      <w:pPr>
        <w:pStyle w:val="NormalWeb"/>
        <w:spacing w:before="0" w:after="0"/>
        <w:ind w:firstLine="709"/>
        <w:jc w:val="both"/>
        <w:rPr>
          <w:rFonts w:eastAsia="Times New Roman"/>
          <w:sz w:val="28"/>
          <w:szCs w:val="28"/>
        </w:rPr>
      </w:pPr>
      <w:r>
        <w:rPr>
          <w:sz w:val="28"/>
          <w:szCs w:val="28"/>
        </w:rPr>
        <w:t xml:space="preserve">В городе-курорте Железноводске должны быть созданы условия для непрерывного профессионального и неформального образования. Горожане, независимо от возраста должны иметь возможность получать и развивать необходимые в современном обществе социальные компетенции, навыки предпринимательства, изучать иностранные языки, повышать компьютерную грамотность. Должен быть обеспечен доступ к системе социальных лифтов для одаренных детей и молодежи вне зависимости от их материального положения. </w:t>
      </w:r>
    </w:p>
    <w:p>
      <w:pPr>
        <w:pStyle w:val="NormalWeb"/>
        <w:spacing w:before="0" w:after="0"/>
        <w:ind w:firstLine="709"/>
        <w:jc w:val="both"/>
        <w:rPr>
          <w:sz w:val="28"/>
          <w:szCs w:val="28"/>
        </w:rPr>
      </w:pPr>
      <w:r>
        <w:rPr>
          <w:rFonts w:eastAsia="Times New Roman"/>
          <w:sz w:val="28"/>
          <w:szCs w:val="28"/>
        </w:rPr>
        <w:t xml:space="preserve"> </w:t>
      </w:r>
      <w:r>
        <w:rPr>
          <w:sz w:val="28"/>
          <w:szCs w:val="28"/>
        </w:rPr>
        <w:t>Усиление связи образовательного процесса с предприятиями и организациями города и стажировки в бизнесе и муниципальных структурах должны обеспечить широкие возможности трудоустройства.</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firstLine="709"/>
        <w:jc w:val="both"/>
        <w:rPr>
          <w:rFonts w:ascii="Times New Roman" w:hAnsi="Times New Roman" w:cs="Times New Roman"/>
          <w:b/>
          <w:b/>
          <w:color w:val="000000"/>
          <w:sz w:val="28"/>
          <w:szCs w:val="28"/>
        </w:rPr>
      </w:pPr>
      <w:r>
        <w:rPr>
          <w:rFonts w:cs="Times New Roman" w:ascii="Times New Roman" w:hAnsi="Times New Roman"/>
          <w:b/>
          <w:sz w:val="28"/>
          <w:szCs w:val="28"/>
        </w:rPr>
        <w:t>Ожидаемые результаты:</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повышение уровня удовлетворённости населения качеством образовательной системы города-курорта Железноводска, в соответствии с предъявляемыми требованиями к доступности и качественному образованию;</w:t>
      </w:r>
      <w:r>
        <w:rPr>
          <w:rFonts w:cs="Times New Roman" w:ascii="Times New Roman" w:hAnsi="Times New Roman"/>
          <w:b/>
          <w:sz w:val="28"/>
          <w:szCs w:val="28"/>
        </w:rPr>
        <w:t xml:space="preserve"> </w:t>
      </w:r>
    </w:p>
    <w:p>
      <w:pPr>
        <w:pStyle w:val="ListParagraph1"/>
        <w:ind w:left="0"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увеличение охвата детей услугами дошкольного образования;</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рост обеспеченности педагогическими кадрами дошкольных образовательных учреждений;</w:t>
      </w:r>
    </w:p>
    <w:p>
      <w:pPr>
        <w:pStyle w:val="ListParagraph1"/>
        <w:ind w:left="0"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увеличение количества обучающихся в общеобразовательных учреждениях;</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увеличение количества педагогических работников общеобразовательных учреждений;</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color w:val="000000"/>
          <w:sz w:val="28"/>
          <w:szCs w:val="28"/>
        </w:rPr>
        <w:t xml:space="preserve">увеличение </w:t>
      </w:r>
      <w:r>
        <w:rPr>
          <w:rFonts w:cs="Times New Roman" w:ascii="Times New Roman" w:hAnsi="Times New Roman"/>
          <w:sz w:val="28"/>
          <w:szCs w:val="28"/>
        </w:rPr>
        <w:t>доли детей, охваченных дополнительным образованием, в общей численности детей и молодежи в возрасте от 5 лет до 18 лет до 73%</w:t>
      </w:r>
      <w:r>
        <w:rPr>
          <w:rFonts w:cs="Times New Roman" w:ascii="Times New Roman" w:hAnsi="Times New Roman"/>
          <w:color w:val="000000"/>
          <w:sz w:val="28"/>
          <w:szCs w:val="28"/>
        </w:rPr>
        <w:t>;</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повышение доли детей с ограниченными возможностями здоровья, детей-инвалидов школьного возраста, получающих образование в различных формах, в общей численности детей с ограниченными возможностями здоровья, детей-инвалидов школьного возраста;</w:t>
      </w:r>
    </w:p>
    <w:p>
      <w:pPr>
        <w:pStyle w:val="Normal"/>
        <w:spacing w:lineRule="auto" w:line="240" w:before="0" w:after="0"/>
        <w:ind w:firstLine="709"/>
        <w:jc w:val="both"/>
        <w:rPr>
          <w:rFonts w:ascii="Times New Roman" w:hAnsi="Times New Roman" w:cs="Times New Roman"/>
          <w:spacing w:val="0"/>
          <w:sz w:val="28"/>
          <w:szCs w:val="28"/>
        </w:rPr>
      </w:pPr>
      <w:r>
        <w:rPr>
          <w:rFonts w:cs="Times New Roman" w:ascii="Times New Roman" w:hAnsi="Times New Roman"/>
          <w:sz w:val="28"/>
          <w:szCs w:val="28"/>
        </w:rPr>
        <w:t xml:space="preserve">обеспечение высокого качества воспитания детей и подростков </w:t>
        <w:br/>
        <w:t>в соответствии с перспективными задачами городского сообщества;</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pacing w:val="0"/>
          <w:sz w:val="28"/>
          <w:szCs w:val="28"/>
        </w:rPr>
        <w:t>повышение социально-экономической эффективности функционирования системы образования.</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3"/>
        <w:rPr>
          <w:b w:val="false"/>
          <w:b w:val="false"/>
        </w:rPr>
      </w:pPr>
      <w:bookmarkStart w:id="19" w:name="_Toc11337752"/>
      <w:bookmarkEnd w:id="19"/>
      <w:r>
        <w:rPr>
          <w:b w:val="false"/>
        </w:rPr>
        <w:t>3.1.3. Эффективная поддержка социально уязвимых слоев населения города-курорта Железноводска Ставропольского края</w:t>
      </w:r>
    </w:p>
    <w:p>
      <w:pPr>
        <w:pStyle w:val="Normal"/>
        <w:suppressAutoHyphens w:val="true"/>
        <w:spacing w:lineRule="auto" w:line="240" w:before="0" w:after="0"/>
        <w:ind w:firstLine="709"/>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Основными направлениями политики города-курорта Железноводска в сфере оказания социальной поддержки населению являются:</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поддержание реальных доходов граждан города за счет оказания адресной социальной помощи с учетом конкретной жизненной ситуации, социального статуса, состава семьи, получаемого дохода;</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обеспечение мерами материальной поддержки семей с детьми, в том числе с ребенком-инвалидом и многодетных семей;</w:t>
      </w:r>
    </w:p>
    <w:p>
      <w:pPr>
        <w:pStyle w:val="Normal"/>
        <w:tabs>
          <w:tab w:val="left" w:pos="252"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развитие сети социальных служб, деятельность которых связана с профилактикой семейного неблагополучия и представлением социальной и психологической поддержки детям из семей, находящихся в социально-опасном положении;</w:t>
      </w:r>
    </w:p>
    <w:p>
      <w:pPr>
        <w:pStyle w:val="Normal"/>
        <w:tabs>
          <w:tab w:val="left" w:pos="252" w:leader="none"/>
        </w:tabs>
        <w:spacing w:lineRule="auto" w:line="240" w:before="0" w:after="0"/>
        <w:ind w:firstLine="709"/>
        <w:jc w:val="both"/>
        <w:rPr>
          <w:rFonts w:ascii="Times New Roman" w:hAnsi="Times New Roman" w:cs="Times New Roman"/>
          <w:bCs/>
          <w:sz w:val="28"/>
          <w:szCs w:val="28"/>
        </w:rPr>
      </w:pPr>
      <w:r>
        <w:rPr>
          <w:rFonts w:cs="Times New Roman" w:ascii="Times New Roman" w:hAnsi="Times New Roman"/>
          <w:sz w:val="28"/>
          <w:szCs w:val="28"/>
        </w:rPr>
        <w:t>создание условий для обеспечения беспрепятственного доступа инвалидов и других маломобильных групп населения к объектам социальной инфраструктуры различной ведомственной принадлежности;</w:t>
      </w:r>
    </w:p>
    <w:p>
      <w:pPr>
        <w:pStyle w:val="Normal"/>
        <w:tabs>
          <w:tab w:val="left" w:pos="252" w:leader="none"/>
        </w:tabs>
        <w:spacing w:lineRule="auto" w:line="240" w:before="0" w:after="0"/>
        <w:ind w:firstLine="709"/>
        <w:jc w:val="both"/>
        <w:rPr>
          <w:rFonts w:ascii="Times New Roman" w:hAnsi="Times New Roman" w:cs="Times New Roman"/>
          <w:bCs/>
          <w:sz w:val="28"/>
          <w:szCs w:val="28"/>
        </w:rPr>
      </w:pPr>
      <w:r>
        <w:rPr>
          <w:rFonts w:cs="Times New Roman" w:ascii="Times New Roman" w:hAnsi="Times New Roman"/>
          <w:bCs/>
          <w:sz w:val="28"/>
          <w:szCs w:val="28"/>
        </w:rPr>
        <w:t>поддержка социально ориентированных некоммерческих организаций;</w:t>
      </w:r>
    </w:p>
    <w:p>
      <w:pPr>
        <w:pStyle w:val="Normal"/>
        <w:tabs>
          <w:tab w:val="left" w:pos="252"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bCs/>
          <w:sz w:val="28"/>
          <w:szCs w:val="28"/>
        </w:rPr>
        <w:t>проведение мероприятий, посвященных знаменательным и памятным датам, с привлечением отдельных категорий граждан.</w:t>
      </w:r>
    </w:p>
    <w:p>
      <w:pPr>
        <w:pStyle w:val="Normal"/>
        <w:tabs>
          <w:tab w:val="left" w:pos="252"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реализация в соответствии с законодательством мер по содействию занятости населения города, защиты граждан от безработицы.</w:t>
      </w:r>
    </w:p>
    <w:p>
      <w:pPr>
        <w:pStyle w:val="Normal"/>
        <w:shd w:val="clear" w:color="auto" w:fill="FFFFFF"/>
        <w:tabs>
          <w:tab w:val="left" w:pos="252"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Дальнейшая работа по повышению эффективности социальной поддержки населения будет направлена на совершенствование нормативно-правовой базы, регламентирующей предоставление дополнительных мер социальной поддержки, внедрение новых механизмов оказания адресной социальной помощи гражданам на основании объективных критериев нуждаемости, стимулирование социальной активности граждан, поддержку социально ориентированных некоммерческих организаций.</w:t>
      </w:r>
    </w:p>
    <w:p>
      <w:pPr>
        <w:pStyle w:val="Normal"/>
        <w:tabs>
          <w:tab w:val="left" w:pos="252" w:leader="none"/>
        </w:tabs>
        <w:spacing w:lineRule="auto" w:line="240" w:before="0" w:after="0"/>
        <w:ind w:firstLine="709"/>
        <w:jc w:val="both"/>
        <w:rPr>
          <w:rFonts w:ascii="Times New Roman" w:hAnsi="Times New Roman" w:cs="Times New Roman"/>
          <w:b/>
          <w:b/>
          <w:sz w:val="28"/>
          <w:szCs w:val="28"/>
        </w:rPr>
      </w:pPr>
      <w:r>
        <w:rPr>
          <w:rFonts w:cs="Times New Roman" w:ascii="Times New Roman" w:hAnsi="Times New Roman"/>
          <w:b/>
          <w:sz w:val="28"/>
          <w:szCs w:val="28"/>
        </w:rPr>
        <w:t>Ожидаемые результаты:</w:t>
      </w:r>
    </w:p>
    <w:p>
      <w:pPr>
        <w:pStyle w:val="Normal"/>
        <w:tabs>
          <w:tab w:val="left" w:pos="252"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повышение социальной защищенности и жизненного уровня определенной части населения города: малоимущих семей, семей, оказавшихся в трудной жизненной ситуации, семей с ребенком- инвалидом, многодетных семей;</w:t>
      </w:r>
    </w:p>
    <w:p>
      <w:pPr>
        <w:pStyle w:val="Normal"/>
        <w:tabs>
          <w:tab w:val="left" w:pos="252"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снижение доли населения города-курорта Железноводска с доходами ниже величины прожиточного минимума для соответствующих социально-демографических групп;</w:t>
      </w:r>
    </w:p>
    <w:p>
      <w:pPr>
        <w:pStyle w:val="Normal"/>
        <w:tabs>
          <w:tab w:val="left" w:pos="252"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обеспечение доступности для инвалидов и других маломобильных групп объектов социальной инфраструктуры, возможности в полной мере реализации ими   своих прав на получение образования, занятие физической культурой и спортом, на доступ к культурным ценностям;</w:t>
      </w:r>
    </w:p>
    <w:p>
      <w:pPr>
        <w:pStyle w:val="Normal"/>
        <w:spacing w:lineRule="auto" w:line="240" w:before="0" w:after="0"/>
        <w:ind w:firstLine="709"/>
        <w:jc w:val="both"/>
        <w:rPr>
          <w:rFonts w:ascii="Times New Roman" w:hAnsi="Times New Roman" w:cs="Times New Roman"/>
          <w:bCs/>
          <w:sz w:val="28"/>
          <w:szCs w:val="28"/>
        </w:rPr>
      </w:pPr>
      <w:r>
        <w:rPr>
          <w:rFonts w:cs="Times New Roman" w:ascii="Times New Roman" w:hAnsi="Times New Roman"/>
          <w:sz w:val="28"/>
          <w:szCs w:val="28"/>
        </w:rPr>
        <w:t>снижение социальной напряженности и улучшение качества жизни отдельных категорий граждан;</w:t>
      </w:r>
    </w:p>
    <w:p>
      <w:pPr>
        <w:pStyle w:val="Normal"/>
        <w:tabs>
          <w:tab w:val="left" w:pos="252"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bCs/>
          <w:sz w:val="28"/>
          <w:szCs w:val="28"/>
        </w:rPr>
        <w:t>улучшение демографической ситуации;</w:t>
      </w:r>
    </w:p>
    <w:p>
      <w:pPr>
        <w:pStyle w:val="Normal"/>
        <w:tabs>
          <w:tab w:val="left" w:pos="252"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сдерживание уровня регистрируемой безработицы на уровне не более                0,3 %;</w:t>
      </w:r>
    </w:p>
    <w:p>
      <w:pPr>
        <w:pStyle w:val="Normal"/>
        <w:tabs>
          <w:tab w:val="left" w:pos="252" w:leader="none"/>
        </w:tabs>
        <w:spacing w:lineRule="auto" w:line="240" w:before="0" w:after="0"/>
        <w:ind w:firstLine="709"/>
        <w:jc w:val="both"/>
        <w:rPr>
          <w:rFonts w:ascii="Times New Roman" w:hAnsi="Times New Roman" w:cs="Times New Roman"/>
          <w:b/>
          <w:b/>
          <w:bCs/>
          <w:sz w:val="28"/>
          <w:szCs w:val="28"/>
        </w:rPr>
      </w:pPr>
      <w:r>
        <w:rPr>
          <w:rFonts w:cs="Times New Roman" w:ascii="Times New Roman" w:hAnsi="Times New Roman"/>
          <w:sz w:val="28"/>
          <w:szCs w:val="28"/>
        </w:rPr>
        <w:t>расширение количества услуг в сфере занятости, предоставляемых гражданам и работодателям в электронном виде, охват населения этими услугами.</w:t>
      </w:r>
    </w:p>
    <w:p>
      <w:pPr>
        <w:pStyle w:val="Normal"/>
        <w:tabs>
          <w:tab w:val="left" w:pos="252" w:leader="none"/>
        </w:tabs>
        <w:spacing w:lineRule="auto" w:line="240" w:before="0" w:after="0"/>
        <w:ind w:firstLine="709"/>
        <w:jc w:val="both"/>
        <w:rPr>
          <w:rFonts w:ascii="Times New Roman" w:hAnsi="Times New Roman" w:cs="Times New Roman"/>
          <w:b/>
          <w:b/>
          <w:bCs/>
          <w:sz w:val="28"/>
          <w:szCs w:val="28"/>
        </w:rPr>
      </w:pPr>
      <w:r>
        <w:rPr>
          <w:rFonts w:cs="Times New Roman" w:ascii="Times New Roman" w:hAnsi="Times New Roman"/>
          <w:b/>
          <w:bCs/>
          <w:sz w:val="28"/>
          <w:szCs w:val="28"/>
        </w:rPr>
        <w:t xml:space="preserve"> </w:t>
      </w:r>
    </w:p>
    <w:p>
      <w:pPr>
        <w:pStyle w:val="3"/>
        <w:rPr>
          <w:b w:val="false"/>
          <w:b w:val="false"/>
        </w:rPr>
      </w:pPr>
      <w:bookmarkStart w:id="20" w:name="_Toc11337753"/>
      <w:bookmarkEnd w:id="20"/>
      <w:r>
        <w:rPr>
          <w:b w:val="false"/>
        </w:rPr>
        <w:t>3.1.4. Создание благоприятных условий проживания жителей</w:t>
      </w:r>
    </w:p>
    <w:p>
      <w:pPr>
        <w:pStyle w:val="3"/>
        <w:rPr>
          <w:b w:val="false"/>
          <w:b w:val="false"/>
        </w:rPr>
      </w:pPr>
      <w:bookmarkStart w:id="21" w:name="_Toc11337754"/>
      <w:bookmarkEnd w:id="21"/>
      <w:r>
        <w:rPr>
          <w:b w:val="false"/>
        </w:rPr>
        <w:t>города-курорта Железноводска Ставропольского края</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Внедрение новых форм и методов управления в сфере культуры направлено на создание условий для максимального доступа населения к культурным благам и удовлетворения гражданами своих культурных и досуговых потребностей.</w:t>
      </w:r>
    </w:p>
    <w:p>
      <w:pPr>
        <w:pStyle w:val="Normal"/>
        <w:spacing w:lineRule="auto" w:line="240" w:before="0" w:after="0"/>
        <w:ind w:firstLine="709"/>
        <w:jc w:val="both"/>
        <w:rPr/>
      </w:pPr>
      <w:r>
        <w:rPr>
          <w:rFonts w:cs="Times New Roman" w:ascii="Times New Roman" w:hAnsi="Times New Roman"/>
          <w:color w:val="000000"/>
          <w:sz w:val="28"/>
          <w:szCs w:val="28"/>
        </w:rPr>
        <w:t xml:space="preserve">Приоритетными направлениями политики города-курорта Железноводска в сфере </w:t>
      </w:r>
      <w:r>
        <w:rPr>
          <w:rFonts w:cs="Times New Roman" w:ascii="Times New Roman" w:hAnsi="Times New Roman"/>
          <w:b/>
          <w:color w:val="000000"/>
          <w:sz w:val="28"/>
          <w:szCs w:val="28"/>
        </w:rPr>
        <w:t>культуры</w:t>
      </w:r>
      <w:r>
        <w:rPr>
          <w:rFonts w:cs="Times New Roman" w:ascii="Times New Roman" w:hAnsi="Times New Roman"/>
          <w:color w:val="000000"/>
          <w:sz w:val="28"/>
          <w:szCs w:val="28"/>
        </w:rPr>
        <w:t xml:space="preserve"> являются:</w:t>
      </w:r>
    </w:p>
    <w:p>
      <w:pPr>
        <w:pStyle w:val="Normal"/>
        <w:spacing w:lineRule="auto" w:line="240" w:before="0" w:after="0"/>
        <w:ind w:firstLine="709"/>
        <w:jc w:val="both"/>
        <w:rPr/>
      </w:pPr>
      <w:r>
        <w:rPr>
          <w:rFonts w:cs="Times New Roman" w:ascii="Times New Roman" w:hAnsi="Times New Roman"/>
          <w:color w:val="000000"/>
          <w:sz w:val="28"/>
          <w:szCs w:val="28"/>
        </w:rPr>
        <w:t>1. увеличение на 15% числа посещений организаций культуры, данное направление планируется реализовать путем решения следующих задач:</w:t>
      </w:r>
    </w:p>
    <w:p>
      <w:pPr>
        <w:pStyle w:val="Normal"/>
        <w:spacing w:lineRule="auto" w:line="240" w:before="0" w:after="0"/>
        <w:ind w:firstLine="709"/>
        <w:jc w:val="both"/>
        <w:rPr/>
      </w:pPr>
      <w:r>
        <w:rPr>
          <w:rFonts w:cs="Times New Roman" w:ascii="Times New Roman" w:hAnsi="Times New Roman"/>
          <w:color w:val="000000"/>
          <w:sz w:val="28"/>
          <w:szCs w:val="28"/>
        </w:rPr>
        <w:t>сохранения, реставрации и использовании объектов культурного наследия (исторических зданий, памятников, предметов музейного фонда, фондов библиотек и др.) для формирования привлекательного образа города для жителей и гостей и вовлечения его в туристско-рекреационную деятельность;</w:t>
      </w:r>
    </w:p>
    <w:p>
      <w:pPr>
        <w:pStyle w:val="Normal"/>
        <w:spacing w:lineRule="auto" w:line="240" w:before="0" w:after="0"/>
        <w:ind w:firstLine="709"/>
        <w:jc w:val="both"/>
        <w:rPr/>
      </w:pPr>
      <w:r>
        <w:rPr>
          <w:rFonts w:cs="Times New Roman" w:ascii="Times New Roman" w:hAnsi="Times New Roman"/>
          <w:color w:val="000000"/>
          <w:sz w:val="28"/>
          <w:szCs w:val="28"/>
        </w:rPr>
        <w:t xml:space="preserve">поддержки устойчивого развития организаций культуры и искусства, дополнительного образования детей эстетической направленности; </w:t>
      </w:r>
    </w:p>
    <w:p>
      <w:pPr>
        <w:pStyle w:val="Normal"/>
        <w:spacing w:lineRule="auto" w:line="240" w:before="0" w:after="0"/>
        <w:ind w:firstLine="709"/>
        <w:jc w:val="both"/>
        <w:rPr/>
      </w:pPr>
      <w:r>
        <w:rPr>
          <w:rFonts w:cs="Times New Roman" w:ascii="Times New Roman" w:hAnsi="Times New Roman"/>
          <w:color w:val="000000"/>
          <w:sz w:val="28"/>
          <w:szCs w:val="28"/>
        </w:rPr>
        <w:t>укрепления и модернизации материально-технической базы учреждений культуры, решение кадровых проблем в сфере культуры (повышение уровня доходов работников культуры, повышение уровня квалификации, создание условий для карьерного и профессионального роста);</w:t>
      </w:r>
    </w:p>
    <w:p>
      <w:pPr>
        <w:pStyle w:val="Normal"/>
        <w:spacing w:lineRule="auto" w:line="240" w:before="0" w:after="0"/>
        <w:ind w:firstLine="709"/>
        <w:jc w:val="both"/>
        <w:rPr/>
      </w:pPr>
      <w:r>
        <w:rPr>
          <w:rFonts w:cs="Times New Roman" w:ascii="Times New Roman" w:hAnsi="Times New Roman"/>
          <w:color w:val="000000"/>
          <w:sz w:val="28"/>
          <w:szCs w:val="28"/>
        </w:rPr>
        <w:t>проведения в городе выставок, фестивалей, конкурсов, смотров по различным направлениям творчества, культурно-массовых мероприятий;</w:t>
      </w:r>
    </w:p>
    <w:p>
      <w:pPr>
        <w:pStyle w:val="Normal"/>
        <w:spacing w:lineRule="auto" w:line="240" w:before="0" w:after="0"/>
        <w:ind w:firstLine="709"/>
        <w:jc w:val="both"/>
        <w:rPr/>
      </w:pPr>
      <w:r>
        <w:rPr>
          <w:rFonts w:cs="Times New Roman" w:ascii="Times New Roman" w:hAnsi="Times New Roman"/>
          <w:color w:val="000000"/>
          <w:sz w:val="28"/>
          <w:szCs w:val="28"/>
        </w:rPr>
        <w:t>создания условий для развития творческого потенциала жителей города.</w:t>
      </w:r>
    </w:p>
    <w:p>
      <w:pPr>
        <w:pStyle w:val="Normal"/>
        <w:spacing w:lineRule="auto" w:line="240" w:before="0" w:after="0"/>
        <w:ind w:firstLine="709"/>
        <w:jc w:val="both"/>
        <w:rPr/>
      </w:pPr>
      <w:r>
        <w:rPr>
          <w:rFonts w:cs="Times New Roman" w:ascii="Times New Roman" w:hAnsi="Times New Roman"/>
          <w:color w:val="000000"/>
          <w:sz w:val="28"/>
          <w:szCs w:val="28"/>
        </w:rPr>
        <w:t>Достижение вышеизложенных задач планируется путем реализации следующих мероприятий:</w:t>
      </w:r>
    </w:p>
    <w:p>
      <w:pPr>
        <w:pStyle w:val="Normal"/>
        <w:spacing w:lineRule="auto" w:line="240" w:before="0" w:after="0"/>
        <w:ind w:firstLine="709"/>
        <w:jc w:val="both"/>
        <w:rPr/>
      </w:pPr>
      <w:r>
        <w:rPr>
          <w:rFonts w:cs="Times New Roman" w:ascii="Times New Roman" w:hAnsi="Times New Roman"/>
          <w:color w:val="000000"/>
          <w:sz w:val="28"/>
          <w:szCs w:val="28"/>
        </w:rPr>
        <w:t>объединения трех памятников архитектуры: Аллея памяти, Братская могила воинов Советской Армии, павших в 1941-1945 гг. в боях с немецко-фашистскими захватчиками, Братская могила граждан г. Железноводска, расстрелянных в 1943 г. (Скорбящая мать) в один целостный комплекс с приданием ему более современного вида без потери исторической и культурной значимости вышеуказанных объектов;</w:t>
      </w:r>
    </w:p>
    <w:p>
      <w:pPr>
        <w:pStyle w:val="Normal"/>
        <w:spacing w:lineRule="auto" w:line="240" w:before="0" w:after="0"/>
        <w:ind w:firstLine="709"/>
        <w:jc w:val="both"/>
        <w:rPr/>
      </w:pPr>
      <w:r>
        <w:rPr>
          <w:rFonts w:cs="Times New Roman" w:ascii="Times New Roman" w:hAnsi="Times New Roman"/>
          <w:color w:val="000000"/>
          <w:sz w:val="28"/>
          <w:szCs w:val="28"/>
        </w:rPr>
        <w:t>проведения на территории города ежегодного международного кинофестиваля «Герой и время», привлечение зарубежных гостей по разным культурным направлениям;</w:t>
      </w:r>
    </w:p>
    <w:p>
      <w:pPr>
        <w:pStyle w:val="Normal"/>
        <w:spacing w:lineRule="auto" w:line="240" w:before="0" w:after="0"/>
        <w:ind w:firstLine="709"/>
        <w:jc w:val="both"/>
        <w:rPr/>
      </w:pPr>
      <w:r>
        <w:rPr>
          <w:rFonts w:cs="Times New Roman" w:ascii="Times New Roman" w:hAnsi="Times New Roman"/>
          <w:color w:val="000000"/>
          <w:sz w:val="28"/>
          <w:szCs w:val="28"/>
        </w:rPr>
        <w:t>инициирования проведения новых событийных мероприятий мирового значения на территории города;</w:t>
      </w:r>
    </w:p>
    <w:p>
      <w:pPr>
        <w:pStyle w:val="Normal"/>
        <w:spacing w:lineRule="auto" w:line="240" w:before="0" w:after="0"/>
        <w:ind w:firstLine="709"/>
        <w:jc w:val="both"/>
        <w:rPr/>
      </w:pPr>
      <w:r>
        <w:rPr>
          <w:rFonts w:cs="Times New Roman" w:ascii="Times New Roman" w:hAnsi="Times New Roman"/>
          <w:color w:val="000000"/>
          <w:sz w:val="28"/>
          <w:szCs w:val="28"/>
        </w:rPr>
        <w:t>поведения внутренних ремонтно-реставрационных работ МБУК «Пушкинская галерея», дооснащения его выставочных помещений и концертного зала, что позволит учреждению придать современный облик картинно-выставочному залу, в котором выставляют картины художники со всей России, а в будущем - всего мира;</w:t>
      </w:r>
    </w:p>
    <w:p>
      <w:pPr>
        <w:pStyle w:val="Normal"/>
        <w:spacing w:lineRule="auto" w:line="240" w:before="0" w:after="0"/>
        <w:ind w:firstLine="709"/>
        <w:jc w:val="both"/>
        <w:rPr/>
      </w:pPr>
      <w:r>
        <w:rPr>
          <w:rFonts w:cs="Times New Roman" w:ascii="Times New Roman" w:hAnsi="Times New Roman"/>
          <w:color w:val="000000"/>
          <w:sz w:val="28"/>
          <w:szCs w:val="28"/>
        </w:rPr>
        <w:t>реализации мероприятий по муниципальной программе «Доступная среда», в рамках которой реализуются мероприятия по организации зон отдыха, обеспечению общедоступности учреждений культуры для маломобильных групп населения;</w:t>
      </w:r>
    </w:p>
    <w:p>
      <w:pPr>
        <w:pStyle w:val="Normal"/>
        <w:spacing w:lineRule="auto" w:line="240" w:before="0" w:after="0"/>
        <w:ind w:firstLine="709"/>
        <w:jc w:val="both"/>
        <w:rPr/>
      </w:pPr>
      <w:r>
        <w:rPr>
          <w:rFonts w:cs="Times New Roman" w:ascii="Times New Roman" w:hAnsi="Times New Roman"/>
          <w:color w:val="000000"/>
          <w:sz w:val="28"/>
          <w:szCs w:val="28"/>
        </w:rPr>
        <w:t>интеграции в структуру основной школы классов дополнительного образования в сфере культуры.</w:t>
      </w:r>
    </w:p>
    <w:p>
      <w:pPr>
        <w:pStyle w:val="Normal"/>
        <w:spacing w:lineRule="auto" w:line="240" w:before="0" w:after="0"/>
        <w:ind w:firstLine="709"/>
        <w:jc w:val="both"/>
        <w:rPr/>
      </w:pPr>
      <w:r>
        <w:rPr>
          <w:rFonts w:cs="Times New Roman" w:ascii="Times New Roman" w:hAnsi="Times New Roman"/>
          <w:color w:val="000000"/>
          <w:sz w:val="28"/>
          <w:szCs w:val="28"/>
        </w:rPr>
        <w:t>2. Увеличение числа обращений к цифровым ресурсам в сфере культуры в 5 раз, данное направление планируется реализовать путем решения следующих задач:</w:t>
      </w:r>
    </w:p>
    <w:p>
      <w:pPr>
        <w:pStyle w:val="Normal"/>
        <w:spacing w:lineRule="auto" w:line="240" w:before="0" w:after="0"/>
        <w:ind w:firstLine="709"/>
        <w:jc w:val="both"/>
        <w:rPr/>
      </w:pPr>
      <w:r>
        <w:rPr>
          <w:rFonts w:cs="Times New Roman" w:ascii="Times New Roman" w:hAnsi="Times New Roman"/>
          <w:color w:val="000000"/>
          <w:sz w:val="28"/>
          <w:szCs w:val="28"/>
        </w:rPr>
        <w:t>использования инновационных форм и информационных технологий для обеспечения максимальной доступности, повышение качества и разнообразия услуг, предоставляемых в сфере культуры;</w:t>
      </w:r>
    </w:p>
    <w:p>
      <w:pPr>
        <w:pStyle w:val="Normal"/>
        <w:spacing w:lineRule="auto" w:line="240" w:before="0" w:after="0"/>
        <w:ind w:firstLine="709"/>
        <w:jc w:val="both"/>
        <w:rPr/>
      </w:pPr>
      <w:r>
        <w:rPr>
          <w:rFonts w:cs="Times New Roman" w:ascii="Times New Roman" w:hAnsi="Times New Roman"/>
          <w:color w:val="000000"/>
          <w:sz w:val="28"/>
          <w:szCs w:val="28"/>
        </w:rPr>
        <w:t>осуществления системной работы по модернизации и информатизации муниципальных библиотек, комплектование библиотечных фондов новой литературой, в том числе изданиями на электронных носителях;</w:t>
      </w:r>
    </w:p>
    <w:p>
      <w:pPr>
        <w:pStyle w:val="Normal"/>
        <w:spacing w:lineRule="auto" w:line="240" w:before="0" w:after="0"/>
        <w:ind w:firstLine="709"/>
        <w:jc w:val="both"/>
        <w:rPr/>
      </w:pPr>
      <w:r>
        <w:rPr>
          <w:rFonts w:cs="Times New Roman" w:ascii="Times New Roman" w:hAnsi="Times New Roman"/>
          <w:color w:val="000000"/>
          <w:sz w:val="28"/>
          <w:szCs w:val="28"/>
        </w:rPr>
        <w:t>Достижение вышеизложенных задач планируется путем реализации следующих мероприятий :</w:t>
      </w:r>
    </w:p>
    <w:p>
      <w:pPr>
        <w:pStyle w:val="Normal"/>
        <w:spacing w:lineRule="auto" w:line="240" w:before="0" w:after="0"/>
        <w:ind w:firstLine="709"/>
        <w:jc w:val="both"/>
        <w:rPr/>
      </w:pPr>
      <w:r>
        <w:rPr>
          <w:rFonts w:cs="Times New Roman" w:ascii="Times New Roman" w:hAnsi="Times New Roman"/>
          <w:color w:val="000000"/>
          <w:sz w:val="28"/>
          <w:szCs w:val="28"/>
        </w:rPr>
        <w:t>реализации программы «Модельная библиотека» на базе МБУК «ЖЦБС», что позволит придать библиотеке новый, современный вид, переоборудовать ее, создать здесь современные компьютеризированные места с высокоскоростным выходом в телекоммуникационную сеть «Интернет» для посетителей. Все эти мероприятия позволят привлечь в библиотечную систему дополнительные финансовые средства за счет развития платных услуг, а также обеспечат рост пользователей библиотечных ресурсов;</w:t>
      </w:r>
    </w:p>
    <w:p>
      <w:pPr>
        <w:pStyle w:val="Normal"/>
        <w:spacing w:lineRule="auto" w:line="240" w:before="0" w:after="0"/>
        <w:ind w:firstLine="709"/>
        <w:jc w:val="both"/>
        <w:rPr/>
      </w:pPr>
      <w:r>
        <w:rPr>
          <w:rFonts w:cs="Times New Roman" w:ascii="Times New Roman" w:hAnsi="Times New Roman"/>
          <w:color w:val="000000"/>
          <w:sz w:val="28"/>
          <w:szCs w:val="28"/>
        </w:rPr>
        <w:t>создания платформы, предназначенной для предоставления актуальной информации по месторасположению, график работы и контактах учреждений социально-культурной сферы города в рамках проекта «Умное Ставрополье (курортный Железноводск)».</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Жилищно-коммунальная инфраструктура не в полной мере удовлетворяет потребностям населения города-курорта Железноводска, необходимо сконцентрироваться на следующих направлениях развития </w:t>
      </w:r>
      <w:r>
        <w:rPr>
          <w:rFonts w:cs="Times New Roman" w:ascii="Times New Roman" w:hAnsi="Times New Roman"/>
          <w:b/>
          <w:bCs/>
          <w:color w:val="000000"/>
          <w:sz w:val="28"/>
          <w:szCs w:val="28"/>
        </w:rPr>
        <w:t>жилищной и коммунальной сферы</w:t>
      </w:r>
      <w:r>
        <w:rPr>
          <w:rFonts w:cs="Times New Roman" w:ascii="Times New Roman" w:hAnsi="Times New Roman"/>
          <w:color w:val="000000"/>
          <w:sz w:val="28"/>
          <w:szCs w:val="28"/>
        </w:rPr>
        <w:t>:</w:t>
      </w:r>
    </w:p>
    <w:p>
      <w:pPr>
        <w:pStyle w:val="Normal"/>
        <w:spacing w:lineRule="auto" w:line="24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b/>
        <w:t>обеспечение надлежащего состояния, сохранности и увеличение срока эксплуатации жилищного фонда, в том числе повышение эффективности и надежности функционирования внутренних инженерных систем;</w:t>
      </w:r>
    </w:p>
    <w:p>
      <w:pPr>
        <w:pStyle w:val="Normal"/>
        <w:spacing w:lineRule="auto" w:line="24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ab/>
        <w:t>увеличение степени благоустройства жилищного фонда;</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сокращение объема не снесённого ветхого и аварийного жилья;</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color w:val="000000"/>
          <w:sz w:val="28"/>
          <w:szCs w:val="28"/>
        </w:rPr>
        <w:t>обеспечение поддержки общественного самоуправления в жилищной сфере;</w:t>
      </w:r>
    </w:p>
    <w:p>
      <w:pPr>
        <w:pStyle w:val="Normal"/>
        <w:spacing w:lineRule="auto" w:line="240" w:before="0" w:after="0"/>
        <w:ind w:firstLine="709"/>
        <w:jc w:val="both"/>
        <w:rPr>
          <w:rStyle w:val="Strong"/>
          <w:rFonts w:ascii="Times New Roman" w:hAnsi="Times New Roman" w:cs="Times New Roman"/>
          <w:color w:val="000000"/>
          <w:sz w:val="28"/>
          <w:szCs w:val="28"/>
        </w:rPr>
      </w:pPr>
      <w:r>
        <w:rPr>
          <w:rFonts w:cs="Times New Roman" w:ascii="Times New Roman" w:hAnsi="Times New Roman"/>
          <w:sz w:val="28"/>
          <w:szCs w:val="28"/>
        </w:rPr>
        <w:t>развитие конкуренции в управлении жилищным фондом и его обслуживании, привлечение бизнеса к управлению и инвестированию в жилищно-коммунальную инфраструктуру, совершенствование тарифной политики и развитие механизмов муниципально-частного партнерства в сфере предоставления коммунальных услуг;</w:t>
      </w:r>
    </w:p>
    <w:p>
      <w:pPr>
        <w:pStyle w:val="Normal"/>
        <w:spacing w:lineRule="auto" w:line="240" w:before="0" w:after="0"/>
        <w:ind w:firstLine="709"/>
        <w:jc w:val="both"/>
        <w:rPr>
          <w:rFonts w:ascii="Times New Roman" w:hAnsi="Times New Roman" w:cs="Times New Roman"/>
          <w:b/>
          <w:b/>
          <w:color w:val="000000"/>
          <w:sz w:val="28"/>
          <w:szCs w:val="28"/>
        </w:rPr>
      </w:pPr>
      <w:r>
        <w:rPr>
          <w:rStyle w:val="Strong"/>
          <w:rFonts w:cs="Times New Roman" w:ascii="Times New Roman" w:hAnsi="Times New Roman"/>
          <w:b w:val="false"/>
          <w:color w:val="000000"/>
          <w:sz w:val="28"/>
          <w:szCs w:val="28"/>
        </w:rPr>
        <w:t>эффективное управление жилищным фондом путем   децентрализации и демонополизации системы управления, развитие конкуренции в сфере управления и обслуживания жилищного фонда, стимулирование повсеместного создания товариществ собственников жилья;</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стимулирование строительства жилья, в том числе с учетом комплексной застройки;</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улучшение жилищных условий малоимущих категорий граждан;</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внедрение механизмов по улучшению жилищных условий работников приоритетных бюджетных сфер (учителей и врачей).</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осуществление комплекса мер по обеспечению чистоты и порядка на территории города, в том числе внедрение современных и высокоэффективных технологий на предприятиях, осуществляющих содержание и благоустройство территории, и повышение экологического воспитания населения;</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внедрение энергосберегающих технологий на предприятиях и организациях жилищно-коммунального комплекса;</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создание платформы, предназначенной для предоставления актуальной информации по разделению территории города на участки, с указанием управляющих компаний, ответственных за выделенные на карте области, а также графической информации по ежедневному плану механизированной уборки улиц и дворов в рамках проекта «Умное Ставрополье (курортный Железноводск)».</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реализация инвестиционных программ, направленных на модернизацию существующих объектов водоснабжения и водоотведения города, и реконструкцию, и модернизацию объектов централизованного теплоснабжения.</w:t>
      </w:r>
    </w:p>
    <w:p>
      <w:pPr>
        <w:pStyle w:val="Normal"/>
        <w:suppressAutoHyphens w:val="true"/>
        <w:spacing w:lineRule="auto" w:line="240" w:before="0" w:after="0"/>
        <w:ind w:firstLine="708"/>
        <w:jc w:val="both"/>
        <w:rPr>
          <w:rFonts w:ascii="Times New Roman" w:hAnsi="Times New Roman" w:eastAsia="Times New Roman" w:cs="Times New Roman"/>
          <w:sz w:val="28"/>
          <w:szCs w:val="28"/>
          <w:lang w:eastAsia="zh-CN"/>
        </w:rPr>
      </w:pPr>
      <w:r>
        <w:rPr>
          <w:rFonts w:eastAsia="Times New Roman" w:cs="Times New Roman" w:ascii="Times New Roman" w:hAnsi="Times New Roman"/>
          <w:sz w:val="28"/>
          <w:szCs w:val="28"/>
          <w:lang w:eastAsia="zh-CN"/>
        </w:rPr>
        <w:t>В качестве противопаводковых и про</w:t>
        <w:softHyphen/>
        <w:t>тивооползневых мероприятий необходимо подготовить предложения о включении в Схему территориального планирования Ставропольского края единой сети ливневой и дренажной канализации, с учетом размещения очистных сооружений на территории Предгорного или Минераловодского районов.</w:t>
      </w:r>
    </w:p>
    <w:p>
      <w:pPr>
        <w:pStyle w:val="Normal"/>
        <w:suppressAutoHyphens w:val="true"/>
        <w:spacing w:lineRule="auto" w:line="240" w:before="0" w:after="0"/>
        <w:jc w:val="both"/>
        <w:rPr>
          <w:rFonts w:ascii="Times New Roman" w:hAnsi="Times New Roman" w:eastAsia="Times New Roman" w:cs="Times New Roman"/>
          <w:sz w:val="28"/>
          <w:szCs w:val="28"/>
          <w:lang w:eastAsia="zh-CN"/>
        </w:rPr>
      </w:pPr>
      <w:r>
        <w:rPr>
          <w:rFonts w:eastAsia="Times New Roman" w:cs="Times New Roman" w:ascii="Times New Roman" w:hAnsi="Times New Roman"/>
          <w:sz w:val="28"/>
          <w:szCs w:val="28"/>
          <w:lang w:eastAsia="zh-CN"/>
        </w:rPr>
        <w:tab/>
        <w:t>Необходимо также рассмотреть вопрос о реконструкции очистных сооружений, расположенных в Минеральных Водах, куда сбрасываются канализационные стоки в том числе г. Железноводска, которые в настоящее время работают с предельной нагрузкой.</w:t>
      </w:r>
    </w:p>
    <w:p>
      <w:pPr>
        <w:pStyle w:val="Normal"/>
        <w:suppressAutoHyphens w:val="true"/>
        <w:spacing w:lineRule="auto" w:line="240" w:before="0" w:after="0"/>
        <w:ind w:firstLine="708"/>
        <w:jc w:val="both"/>
        <w:rPr>
          <w:rFonts w:ascii="Times New Roman" w:hAnsi="Times New Roman" w:eastAsia="Times New Roman" w:cs="Times New Roman"/>
          <w:sz w:val="28"/>
          <w:szCs w:val="28"/>
          <w:lang w:eastAsia="zh-CN"/>
        </w:rPr>
      </w:pPr>
      <w:r>
        <w:rPr>
          <w:rFonts w:eastAsia="Times New Roman" w:cs="Times New Roman" w:ascii="Times New Roman" w:hAnsi="Times New Roman"/>
          <w:sz w:val="28"/>
          <w:szCs w:val="28"/>
          <w:lang w:eastAsia="zh-CN"/>
        </w:rPr>
        <w:t>Социально востребованным остается вопрос об организации новых кладбищ. Необходимо рассмотреть возможность определения новых территорий для погребений.</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Благоприятная </w:t>
      </w:r>
      <w:r>
        <w:rPr>
          <w:rFonts w:cs="Times New Roman" w:ascii="Times New Roman" w:hAnsi="Times New Roman"/>
          <w:b/>
          <w:color w:val="000000"/>
          <w:sz w:val="28"/>
          <w:szCs w:val="28"/>
        </w:rPr>
        <w:t>эколого-санитарная</w:t>
      </w:r>
      <w:r>
        <w:rPr>
          <w:rFonts w:cs="Times New Roman" w:ascii="Times New Roman" w:hAnsi="Times New Roman"/>
          <w:color w:val="000000"/>
          <w:sz w:val="28"/>
          <w:szCs w:val="28"/>
        </w:rPr>
        <w:t xml:space="preserve"> обстановка, создание комфортных условий проживания обеспечивает привлекательность городов-курортов и его способность выполнять функции по оздоровлению граждан.</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Основными направлениями в сфере обеспечения экологической безопасности в городе-курорте Железноводске являются:</w:t>
      </w:r>
    </w:p>
    <w:p>
      <w:pPr>
        <w:pStyle w:val="Normal"/>
        <w:spacing w:lineRule="auto" w:line="240" w:before="0" w:after="0"/>
        <w:ind w:firstLine="709"/>
        <w:jc w:val="both"/>
        <w:rPr>
          <w:rFonts w:ascii="Times New Roman" w:hAnsi="Times New Roman" w:cs="Times New Roman"/>
          <w:iCs/>
          <w:sz w:val="28"/>
          <w:szCs w:val="28"/>
        </w:rPr>
      </w:pPr>
      <w:r>
        <w:rPr>
          <w:rFonts w:cs="Times New Roman" w:ascii="Times New Roman" w:hAnsi="Times New Roman"/>
          <w:color w:val="000000"/>
          <w:sz w:val="28"/>
          <w:szCs w:val="28"/>
        </w:rPr>
        <w:t xml:space="preserve">сохранение и рациональное использование лечебных природных ресурсов, ограничение хозяйственной деятельности в </w:t>
      </w:r>
      <w:r>
        <w:rPr>
          <w:rFonts w:cs="Times New Roman" w:ascii="Times New Roman" w:hAnsi="Times New Roman"/>
          <w:sz w:val="28"/>
          <w:szCs w:val="28"/>
          <w:lang w:val="en-US"/>
        </w:rPr>
        <w:t>I</w:t>
      </w:r>
      <w:r>
        <w:rPr>
          <w:rFonts w:cs="Times New Roman" w:ascii="Times New Roman" w:hAnsi="Times New Roman"/>
          <w:sz w:val="28"/>
          <w:szCs w:val="28"/>
        </w:rPr>
        <w:t>, II и III</w:t>
      </w:r>
      <w:r>
        <w:rPr>
          <w:rFonts w:cs="Times New Roman" w:ascii="Times New Roman" w:hAnsi="Times New Roman"/>
          <w:iCs/>
          <w:sz w:val="28"/>
          <w:szCs w:val="28"/>
        </w:rPr>
        <w:t xml:space="preserve"> зонах округа горно-санитарной охраны;</w:t>
      </w:r>
    </w:p>
    <w:p>
      <w:pPr>
        <w:pStyle w:val="Normal"/>
        <w:widowControl w:val="false"/>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iCs/>
          <w:sz w:val="28"/>
          <w:szCs w:val="28"/>
        </w:rPr>
        <w:t>осуществление постоянного мониторинга за уровнем радиации в местах повышенной радиоактивности</w:t>
      </w:r>
      <w:r>
        <w:rPr>
          <w:rFonts w:cs="Times New Roman" w:ascii="Times New Roman" w:hAnsi="Times New Roman"/>
          <w:iCs/>
          <w:color w:val="000000"/>
          <w:sz w:val="28"/>
          <w:szCs w:val="28"/>
        </w:rPr>
        <w:t>;</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внедрение экологических инновационных технологий по охране окружающей среды;</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создание системы сортировки отходов и переработки вторичного сырья, рекультивация закрытой городской свалки;</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совершенствование контроля за соблюдением режима водоохранных зон рек и водоемов, строительство очистных сооружений и систематический мониторинг ливневых стоков с территории города;</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вовлечение общественности и бизнеса в природоохранные мероприятия, повышение экологической культуры;</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повышение уровня экологической безопасности.</w:t>
      </w:r>
    </w:p>
    <w:p>
      <w:pPr>
        <w:pStyle w:val="Normal"/>
        <w:spacing w:lineRule="auto" w:line="240" w:before="0" w:after="0"/>
        <w:ind w:firstLine="709"/>
        <w:jc w:val="both"/>
        <w:rPr/>
      </w:pPr>
      <w:r>
        <w:rPr>
          <w:rFonts w:cs="Times New Roman" w:ascii="Times New Roman" w:hAnsi="Times New Roman"/>
          <w:sz w:val="28"/>
          <w:szCs w:val="28"/>
        </w:rPr>
        <w:t xml:space="preserve">С принятием </w:t>
      </w:r>
      <w:hyperlink r:id="rId18">
        <w:r>
          <w:rPr>
            <w:webHidden/>
            <w:rStyle w:val="Style13"/>
            <w:rFonts w:ascii="Times New Roman" w:hAnsi="Times New Roman"/>
            <w:color w:val="000000"/>
            <w:sz w:val="28"/>
            <w:szCs w:val="28"/>
          </w:rPr>
          <w:t>Федерального закона</w:t>
        </w:r>
      </w:hyperlink>
      <w:r>
        <w:rPr>
          <w:rFonts w:cs="Times New Roman" w:ascii="Times New Roman" w:hAnsi="Times New Roman"/>
          <w:sz w:val="28"/>
          <w:szCs w:val="28"/>
        </w:rPr>
        <w:t xml:space="preserve"> от 27 июля 2010 г. № 210-ФЗ «Об организации предоставления государственных и муниципальных услуг» (далее – Федеральный закон) на федеральном уровне были закреплены инновационные принципы и механизмы взаимодействия органов исполнительной власти, органов местного самоуправления и общества при предоставлении государственных и муниципальных услуг.</w:t>
      </w:r>
    </w:p>
    <w:p>
      <w:pPr>
        <w:pStyle w:val="Normal"/>
        <w:spacing w:lineRule="auto" w:line="240" w:before="0" w:after="0"/>
        <w:ind w:firstLine="709"/>
        <w:jc w:val="both"/>
        <w:rPr/>
      </w:pPr>
      <w:r>
        <w:rPr>
          <w:rFonts w:cs="Times New Roman" w:ascii="Times New Roman" w:hAnsi="Times New Roman"/>
          <w:color w:val="000000"/>
          <w:sz w:val="28"/>
          <w:szCs w:val="28"/>
        </w:rPr>
        <w:t xml:space="preserve">В частности, </w:t>
      </w:r>
      <w:hyperlink r:id="rId19">
        <w:r>
          <w:rPr>
            <w:webHidden/>
            <w:rStyle w:val="Style13"/>
            <w:rFonts w:ascii="Times New Roman" w:hAnsi="Times New Roman"/>
            <w:color w:val="000000"/>
            <w:sz w:val="28"/>
            <w:szCs w:val="28"/>
          </w:rPr>
          <w:t>Федеральным законом</w:t>
        </w:r>
      </w:hyperlink>
      <w:r>
        <w:rPr>
          <w:rFonts w:cs="Times New Roman" w:ascii="Times New Roman" w:hAnsi="Times New Roman"/>
          <w:color w:val="000000"/>
          <w:sz w:val="28"/>
          <w:szCs w:val="28"/>
        </w:rPr>
        <w:t xml:space="preserve"> закреплены права граждан на по</w:t>
      </w:r>
      <w:r>
        <w:rPr>
          <w:rFonts w:cs="Times New Roman" w:ascii="Times New Roman" w:hAnsi="Times New Roman"/>
          <w:color w:val="000000"/>
          <w:spacing w:val="0"/>
          <w:sz w:val="28"/>
          <w:szCs w:val="28"/>
        </w:rPr>
        <w:t>лучение государственных и муниципальных услуг своевременно и в соответствии со стандартом, получение полной, актуальной и достоверной инфор</w:t>
      </w:r>
      <w:r>
        <w:rPr>
          <w:rFonts w:cs="Times New Roman" w:ascii="Times New Roman" w:hAnsi="Times New Roman"/>
          <w:color w:val="000000"/>
          <w:sz w:val="28"/>
          <w:szCs w:val="28"/>
        </w:rPr>
        <w:t>мации о порядке предоставления государственных и муниципальных услуг, получение государственных и муниципальных услуг в электронной форме, а также в иных формах по выбору заявителя, досудебное рассмотрение жалоб в процессе получения государственных и муниципальных услуг, получение государственных и муниципальных услуг в многофункциональных центрах.</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Целью предоставления государственных и муниципальных услуг в электронной форме является повышение качества взаимодействия государства и общества, оперативности предоставления государственных и муниципальных услуг, внедрение единых стандартов обслуживания населения, повышение эффективности межведомственного взаимодействия и государственного управления.</w:t>
      </w:r>
    </w:p>
    <w:p>
      <w:pPr>
        <w:pStyle w:val="Normal"/>
        <w:spacing w:lineRule="auto" w:line="240" w:before="0" w:after="0"/>
        <w:ind w:firstLine="709"/>
        <w:jc w:val="both"/>
        <w:rPr/>
      </w:pPr>
      <w:r>
        <w:rPr>
          <w:rFonts w:cs="Times New Roman" w:ascii="Times New Roman" w:hAnsi="Times New Roman"/>
          <w:color w:val="000000"/>
          <w:sz w:val="28"/>
          <w:szCs w:val="28"/>
        </w:rPr>
        <w:t xml:space="preserve">В городе-курорте Железноводске Ставропольского края сформированы перечни муниципальных услуг, предоставляемых органами местного самоуправления города-курорта Железноводска Ставропольского края в пределах их полномочий по решению вопросов местного значения, установленных </w:t>
      </w:r>
      <w:hyperlink r:id="rId20">
        <w:r>
          <w:rPr>
            <w:webHidden/>
            <w:rStyle w:val="Style13"/>
            <w:rFonts w:ascii="Times New Roman" w:hAnsi="Times New Roman"/>
            <w:color w:val="000000"/>
            <w:sz w:val="28"/>
            <w:szCs w:val="28"/>
          </w:rPr>
          <w:t>Федеральным законом</w:t>
        </w:r>
      </w:hyperlink>
      <w:r>
        <w:rPr>
          <w:rFonts w:cs="Times New Roman" w:ascii="Times New Roman" w:hAnsi="Times New Roman"/>
          <w:color w:val="000000"/>
          <w:sz w:val="28"/>
          <w:szCs w:val="28"/>
        </w:rPr>
        <w:t xml:space="preserve"> от 06 октября 2003 г. № 131-ФЗ «Об общих принципах организации местного самоуправления в Российской Федерации».</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Приоритетными направлениями политики города-курорта Железноводска в сфере предоставления доступа граждан к получению государственных и муниципальных услуг являются:</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развитие многофункционального центра предоставления государственных и муниципальных услуг в городе, приведение его деятельности в соответствие с установленными требованиями;</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проведение комплексной оптимизации государственных и муниципальных услуг в городе, а также практики административно-управленческой деятельности и существующего режима нормативного правового регулирования предоставления государственных и муниципальных услуг по наиболее значимым и востребованным сферам общественных отношений;</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повышение качества предоставления государственных и муниципальных услуг;</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совершенствование организации предоставления населению государственных и муниципальных услуг с использованием информационно-телекоммуникационной сети Интернет.</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В целях повышения эффективности и открытости муниципального управления предусматривается реализация следующих основных направлений:</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совершенствование механизмов противодействия коррупции в администрации города-курорта Железноводска, внедрение в практику деятельности администрации города-курорта Железноводска Ставропольского края, профилактических мер, направленных на недопущение создания условий, порождающих коррупцию.</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создание непрерывной системы профессионального развития и совершенствования механизмов организации финансирования дополнительного профессионального образования муниципальных служащих в городе-курорте Железноводске;</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повышение эффективности кадровой политики в системе муниципальной службы;</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создание единого информационно-коммуникационного пространства города;</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осуществление </w:t>
      </w:r>
      <w:r>
        <w:rPr>
          <w:rFonts w:cs="Times New Roman" w:ascii="Times New Roman" w:hAnsi="Times New Roman"/>
          <w:color w:val="000000"/>
          <w:sz w:val="28"/>
          <w:szCs w:val="28"/>
          <w:lang w:bidi="en-US"/>
        </w:rPr>
        <w:t>информирования населения города о деятельности органов местного самоуправления через</w:t>
      </w:r>
      <w:r>
        <w:rPr>
          <w:rFonts w:cs="Times New Roman" w:ascii="Times New Roman" w:hAnsi="Times New Roman"/>
          <w:color w:val="000000"/>
          <w:sz w:val="28"/>
          <w:szCs w:val="28"/>
        </w:rPr>
        <w:t xml:space="preserve"> официальный сайт в информационно-телекоммуникационной сети «Интернет»;</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создание платформы, предназначенной для предоставления актуальной информации по разделению территории на избирательные округа, с указанием депутатов ответственных за данные округа в рамках проекта «Умное Ставрополье (курортный Железноводск)». Это позволит оперативно и безошибочно определить зоны ответственности всех депутатов.</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Формирование условий </w:t>
      </w:r>
      <w:r>
        <w:rPr>
          <w:rFonts w:cs="Times New Roman" w:ascii="Times New Roman" w:hAnsi="Times New Roman"/>
          <w:b/>
          <w:color w:val="000000"/>
          <w:sz w:val="28"/>
          <w:szCs w:val="28"/>
        </w:rPr>
        <w:t>безопасной жизнедеятельности</w:t>
      </w:r>
      <w:r>
        <w:rPr>
          <w:rFonts w:cs="Times New Roman" w:ascii="Times New Roman" w:hAnsi="Times New Roman"/>
          <w:color w:val="000000"/>
          <w:sz w:val="28"/>
          <w:szCs w:val="28"/>
        </w:rPr>
        <w:t xml:space="preserve"> населения города является важнейшим фактором для сохранения экономического потенциала муниципального образования и повышения качества жизни населения. В сфере повышения общественной безопасности муниципальное управление должно быть направлено на:</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развитие системы социальной профилактики правонарушений, направленной на активизацию борьбы с преступностью, незаконной миграцией;</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совершенствование системы предупреждения и защиты населения от чрезвычайных ситуаций природного и техногенного характера, включая своевременное информирование населения об угрозе возникновения чрезвычайных ситуаций;</w:t>
      </w:r>
    </w:p>
    <w:p>
      <w:pPr>
        <w:pStyle w:val="Normal"/>
        <w:spacing w:lineRule="auto" w:line="240" w:before="0" w:after="0"/>
        <w:ind w:firstLine="709"/>
        <w:jc w:val="both"/>
        <w:rPr>
          <w:rFonts w:ascii="Times New Roman" w:hAnsi="Times New Roman" w:cs="Times New Roman"/>
          <w:bCs/>
          <w:color w:val="000000"/>
          <w:sz w:val="28"/>
          <w:szCs w:val="28"/>
        </w:rPr>
      </w:pPr>
      <w:r>
        <w:rPr>
          <w:rFonts w:cs="Times New Roman" w:ascii="Times New Roman" w:hAnsi="Times New Roman"/>
          <w:color w:val="000000"/>
          <w:sz w:val="28"/>
          <w:szCs w:val="28"/>
        </w:rPr>
        <w:t xml:space="preserve">внедрение широкого спектра современных технологий общественной безопасности на основе </w:t>
      </w:r>
      <w:r>
        <w:rPr>
          <w:rFonts w:cs="Times New Roman" w:ascii="Times New Roman" w:hAnsi="Times New Roman"/>
          <w:bCs/>
          <w:color w:val="000000"/>
          <w:sz w:val="28"/>
          <w:szCs w:val="28"/>
        </w:rPr>
        <w:t xml:space="preserve">построения и развития аппаратно-программного комплекса «Безопасный город»; </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создание платформы, предназначенной для предоставления актуальной информации по месторасположению точек оповещения о чрезвычайных ситуациях и зоне охвата этих точек, а также видеонаблюдения, распознавания лиц и архива видеозаписей в рамках проекта «Умное Ставрополье (курортный Железноводск)».</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совершенствование работы на территории города единой дежурно-диспетчерской службы с функцией мониторинга территории города-курорта Железноводска;</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повышение безопасности дорожного движения;</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организация целенаправленной, системной профилактической работы </w:t>
        <w:br/>
        <w:t>с подростками, молодежью и их родителями по проблеме злоупотребления наркотическими и другими психоактивными веществами;</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привлечение граждан к соблюдению и охране общественного порядка;</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240" w:before="0" w:after="0"/>
        <w:ind w:firstLine="709"/>
        <w:jc w:val="both"/>
        <w:rPr>
          <w:rFonts w:ascii="Times New Roman" w:hAnsi="Times New Roman" w:cs="Times New Roman"/>
          <w:b/>
          <w:b/>
          <w:color w:val="000000"/>
          <w:sz w:val="28"/>
          <w:szCs w:val="28"/>
        </w:rPr>
      </w:pPr>
      <w:r>
        <w:rPr>
          <w:rFonts w:cs="Times New Roman" w:ascii="Times New Roman" w:hAnsi="Times New Roman"/>
          <w:b/>
          <w:color w:val="000000"/>
          <w:sz w:val="28"/>
          <w:szCs w:val="28"/>
        </w:rPr>
        <w:t>Ожидаемые результаты:</w:t>
      </w:r>
    </w:p>
    <w:p>
      <w:pPr>
        <w:pStyle w:val="NormalWeb"/>
        <w:spacing w:before="0" w:after="0"/>
        <w:ind w:firstLine="709"/>
        <w:jc w:val="both"/>
        <w:rPr>
          <w:color w:val="000000"/>
          <w:sz w:val="28"/>
          <w:szCs w:val="28"/>
        </w:rPr>
      </w:pPr>
      <w:r>
        <w:rPr>
          <w:color w:val="000000"/>
          <w:sz w:val="28"/>
          <w:szCs w:val="28"/>
        </w:rPr>
        <w:t>повышение уровня фактической обеспеченности населения учреждениями культуры;</w:t>
      </w:r>
    </w:p>
    <w:p>
      <w:pPr>
        <w:pStyle w:val="NormalWeb"/>
        <w:spacing w:before="0" w:after="0"/>
        <w:ind w:firstLine="709"/>
        <w:jc w:val="both"/>
        <w:rPr>
          <w:color w:val="000000"/>
          <w:sz w:val="28"/>
          <w:szCs w:val="28"/>
        </w:rPr>
      </w:pPr>
      <w:r>
        <w:rPr>
          <w:color w:val="000000"/>
          <w:sz w:val="28"/>
          <w:szCs w:val="28"/>
        </w:rPr>
        <w:t xml:space="preserve">рост удельного веса населения, участвующего в культурно – досуговых мероприятиях, </w:t>
      </w:r>
    </w:p>
    <w:p>
      <w:pPr>
        <w:pStyle w:val="NormalWeb"/>
        <w:spacing w:before="0" w:after="0"/>
        <w:ind w:firstLine="709"/>
        <w:jc w:val="both"/>
        <w:rPr>
          <w:color w:val="000000"/>
          <w:sz w:val="28"/>
          <w:szCs w:val="28"/>
        </w:rPr>
      </w:pPr>
      <w:r>
        <w:rPr>
          <w:color w:val="000000"/>
          <w:sz w:val="28"/>
          <w:szCs w:val="28"/>
        </w:rPr>
        <w:t>увеличение доли объектов культурного наследия города, находящихся в удовлетворительном состоянии;</w:t>
      </w:r>
    </w:p>
    <w:p>
      <w:pPr>
        <w:pStyle w:val="NormalWeb"/>
        <w:spacing w:before="0" w:after="0"/>
        <w:ind w:firstLine="709"/>
        <w:jc w:val="both"/>
        <w:rPr>
          <w:color w:val="000000"/>
          <w:sz w:val="28"/>
          <w:szCs w:val="28"/>
        </w:rPr>
      </w:pPr>
      <w:r>
        <w:rPr>
          <w:color w:val="000000"/>
          <w:sz w:val="28"/>
          <w:szCs w:val="28"/>
        </w:rPr>
        <w:t>удовлетворение спроса населения на услуги по дополнительному образованию в сфере культуры, обеспечение развития творческого потенциала детей</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увеличение объема ввода жилья;</w:t>
      </w:r>
    </w:p>
    <w:p>
      <w:pPr>
        <w:pStyle w:val="Normal"/>
        <w:spacing w:lineRule="auto" w:line="240" w:before="0" w:after="0"/>
        <w:ind w:firstLine="709"/>
        <w:jc w:val="both"/>
        <w:rPr>
          <w:rFonts w:ascii="Times New Roman" w:hAnsi="Times New Roman" w:eastAsia="Calibri" w:cs="Times New Roman"/>
          <w:sz w:val="28"/>
          <w:szCs w:val="28"/>
        </w:rPr>
      </w:pPr>
      <w:r>
        <w:rPr>
          <w:rFonts w:cs="Times New Roman" w:ascii="Times New Roman" w:hAnsi="Times New Roman"/>
          <w:color w:val="000000"/>
          <w:sz w:val="28"/>
          <w:szCs w:val="28"/>
        </w:rPr>
        <w:t>увеличение доли населения, получившего жилые помещения и улучшившего жилищные условия в отчетном году, в общей численности населения, состоявшего на учете в качестве нуждающегося в жилых помещениях;</w:t>
      </w:r>
    </w:p>
    <w:p>
      <w:pPr>
        <w:pStyle w:val="Normal"/>
        <w:spacing w:lineRule="auto" w:line="240" w:before="0" w:after="0"/>
        <w:ind w:firstLine="709"/>
        <w:jc w:val="both"/>
        <w:rPr>
          <w:rFonts w:ascii="Times New Roman" w:hAnsi="Times New Roman" w:eastAsia="Calibri" w:cs="Times New Roman"/>
          <w:color w:val="000000"/>
          <w:sz w:val="28"/>
          <w:szCs w:val="28"/>
        </w:rPr>
      </w:pPr>
      <w:r>
        <w:rPr>
          <w:rFonts w:eastAsia="Calibri" w:cs="Times New Roman" w:ascii="Times New Roman" w:hAnsi="Times New Roman"/>
          <w:sz w:val="28"/>
          <w:szCs w:val="28"/>
        </w:rPr>
        <w:t>приведение технического состояния жилищного фонда города в соответствие с нормативными требованиями;</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снижение уровня износа коммунальной инфраструктуры до 60 процентов;</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снижение объема загрязненных сточных вод в поверхностные водные объекты;</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снижение объема выбросов загрязняющих веществ в атмосферный воздух, отходящих от стационарных источников;</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повышение качества предоставления государственных и муниципальных услуг в городе;</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увеличение доли заявителей, удовлетворенных качеством и доступностью государственных и муниципальных услуг, предоставляемых в городе-курорте Железноводске, в том числе в многофункциональном центре;</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увеличение доли населения, использующих механизм получения государственных и муниципальных услуг в электронном виде;</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обеспечение общественной безопасности на территории города-курорта Железноводска;</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повышение уровня антитеррористической защищенности объектов социально-культурной сферы и санаторно-курортного и туристского комплекса, мест массового пребывания граждан;</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обеспечение граждан доступным и комфортным жильём;</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увеличение количества молодых семей, улучшивших жилищные условия, в том числе с помощью ипотечных жилищных кредитов (займов);</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вовлечение в оборот земельных участков для жилищного строительства, в т.ч. для индивидуального жилищного строительства;</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ускорение завершения строительства объектов различного назначения в целях их налогообложения и увеличения доходов местного бюджета;</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повышение уровня обеспеченности объектами коммунальной, транспортной, социальной инфраструктуры и, соответственно, качества жизни населения.</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3"/>
        <w:rPr>
          <w:b w:val="false"/>
          <w:b w:val="false"/>
        </w:rPr>
      </w:pPr>
      <w:r>
        <w:rPr>
          <w:b w:val="false"/>
        </w:rPr>
        <w:t>3.1.5. Основные направления реализации государственной национальной политики в городе-курорте Железноводске</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Основными направлениями политики города-курорта Железноводска в сфере межнациональных и этноконфессиональных отношений являются:</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упрочение и популяризация позитивного имиджа города-курорта Железноводска как города с уникальным полиэтничным и поликультурным портретом населения, выраженными общероссийскими патриотическими традициями;</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создание организационных условий для увеличения числа социально-ответственных общественных организаций, оказывающих социально значимые услуги в сфере межнациональных и этноконфессиональных отношений, а также для расширения сегмента благотворительности, меценатства, добровольчества в данной сфере;</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разработка, внедрение и реализация органами местного самоуправления во взаимодействии с институтами гражданского общества и работодателями программ адаптации иностранных граждан в городе и их интеграции в российское общество;</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реализация комплекса профилактических мер по предупреждению возникновения причин и условий экстремизма в сфере межнациональных </w:t>
        <w:br/>
        <w:t>и межконфессиональных отношений;</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выработка согласованного подхода в решении вопросов реализации экономического, политического и культурного потенциала всех этнических групп в городе-курорте Железноводске;</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недопущение социальной и территориальной изоляции иностранных граждан на территории города, устранение способствующих этому условий;</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разработка мер содействия деятельности казачьего общества, в том числе в организации и проведении казачьих культурно-массовых, военно-спортивных, научно-образовательных и других мероприятий;</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усиление роли казачества в решении муниципальных задач посредством формирования эффективных механизмов общественно-государственного партнерства.</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240" w:before="0" w:after="0"/>
        <w:ind w:firstLine="709"/>
        <w:jc w:val="both"/>
        <w:rPr>
          <w:rFonts w:ascii="Times New Roman" w:hAnsi="Times New Roman" w:cs="Times New Roman"/>
          <w:b/>
          <w:b/>
          <w:color w:val="000000"/>
          <w:sz w:val="28"/>
          <w:szCs w:val="28"/>
        </w:rPr>
      </w:pPr>
      <w:r>
        <w:rPr>
          <w:rFonts w:cs="Times New Roman" w:ascii="Times New Roman" w:hAnsi="Times New Roman"/>
          <w:b/>
          <w:color w:val="000000"/>
          <w:sz w:val="28"/>
          <w:szCs w:val="28"/>
        </w:rPr>
        <w:t>Ожидаемые результаты:</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укрепление гражданского единства населения города на базе общероссийских социокультурных ценностей;</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сохранение на уровне преобладающего большинства доли граждан, положительно оценивающих состояние межнациональных и этноконфессиональных отношений;</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отсутствие дискриминации по признаку национальной, языковой или религиозной принадлежности;</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увеличение доли граждан, не испытывающих негативного отношения к иностранным гражданам;</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снижение этноконфликтогенного потенциала, имеющегося в городе;</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минимизация экстремистских и националистических проявлений;</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отсутствие на территории города межнациональных и межрелигиозных конфликтов;</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обеспечение устойчивого равновесия этносоциальных и этнокультурных интересов граждан и этнических групп.</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предотвращение и мирное разрешение конфликтных ситуаций в сфере межнациональных и этноконфессиональных отношений;</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обеспечение условий для сохранения, изучения и развития языков народов Российской Федерации, проживающих на территории города;</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создание условий для социальной и культурной адаптации иностранных граждан в городе Железноводске и их интеграции в российское общество;</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снижение уровня преступлений и правонарушений.</w:t>
      </w:r>
    </w:p>
    <w:p>
      <w:pPr>
        <w:pStyle w:val="Normal"/>
        <w:spacing w:lineRule="auto" w:line="240" w:before="0" w:after="0"/>
        <w:ind w:firstLine="709"/>
        <w:jc w:val="both"/>
        <w:rPr>
          <w:color w:val="000000"/>
          <w:sz w:val="28"/>
          <w:szCs w:val="28"/>
        </w:rPr>
      </w:pPr>
      <w:r>
        <w:rPr>
          <w:rFonts w:cs="Times New Roman" w:ascii="Times New Roman" w:hAnsi="Times New Roman"/>
          <w:color w:val="000000"/>
          <w:sz w:val="28"/>
          <w:szCs w:val="28"/>
        </w:rPr>
        <w:t xml:space="preserve"> </w:t>
      </w:r>
    </w:p>
    <w:p>
      <w:pPr>
        <w:pStyle w:val="Normal"/>
        <w:spacing w:lineRule="auto" w:line="240" w:before="0" w:after="0"/>
        <w:ind w:firstLine="709"/>
        <w:jc w:val="center"/>
        <w:rPr>
          <w:rFonts w:ascii="Times New Roman" w:hAnsi="Times New Roman" w:cs="Times New Roman"/>
          <w:color w:val="000000"/>
          <w:sz w:val="28"/>
          <w:szCs w:val="28"/>
        </w:rPr>
      </w:pPr>
      <w:bookmarkStart w:id="22" w:name="_Toc11337755"/>
      <w:r>
        <w:rPr>
          <w:shd w:fill="auto" w:val="clear"/>
        </w:rPr>
        <w:t xml:space="preserve"> </w:t>
      </w:r>
      <w:r>
        <w:rPr>
          <w:rFonts w:cs="Times New Roman" w:ascii="Times New Roman" w:hAnsi="Times New Roman"/>
          <w:b/>
          <w:bCs/>
          <w:color w:val="000000"/>
          <w:sz w:val="28"/>
          <w:szCs w:val="28"/>
          <w:shd w:fill="auto" w:val="clear"/>
        </w:rPr>
        <w:t>3.2. Развитие архитектуры и градостроительств</w:t>
      </w:r>
      <w:r>
        <w:rPr>
          <w:rFonts w:cs="Times New Roman" w:ascii="Times New Roman" w:hAnsi="Times New Roman"/>
          <w:color w:val="000000"/>
          <w:sz w:val="28"/>
          <w:szCs w:val="28"/>
          <w:shd w:fill="auto" w:val="clear"/>
        </w:rPr>
        <w:t>а</w:t>
      </w:r>
    </w:p>
    <w:p>
      <w:pPr>
        <w:pStyle w:val="Normal"/>
        <w:spacing w:lineRule="auto" w:line="240" w:before="0" w:after="0"/>
        <w:ind w:firstLine="709"/>
        <w:jc w:val="center"/>
        <w:rPr>
          <w:rFonts w:ascii="Times New Roman" w:hAnsi="Times New Roman" w:cs="Times New Roman"/>
          <w:color w:val="000000"/>
          <w:sz w:val="28"/>
          <w:szCs w:val="28"/>
          <w:shd w:fill="auto" w:val="clear"/>
        </w:rPr>
      </w:pPr>
      <w:r>
        <w:rPr>
          <w:rFonts w:cs="Times New Roman" w:ascii="Times New Roman" w:hAnsi="Times New Roman"/>
          <w:color w:val="000000"/>
          <w:sz w:val="28"/>
          <w:szCs w:val="28"/>
          <w:shd w:fill="auto" w:val="clear"/>
        </w:rPr>
      </w:r>
    </w:p>
    <w:p>
      <w:pPr>
        <w:pStyle w:val="S1"/>
        <w:shd w:val="clear" w:color="auto" w:fill="FFFFFF"/>
        <w:spacing w:beforeAutospacing="0" w:before="0" w:afterAutospacing="0" w:after="0"/>
        <w:ind w:firstLine="708"/>
        <w:jc w:val="both"/>
        <w:rPr>
          <w:rFonts w:eastAsia="Calibri" w:eastAsiaTheme="minorHAnsi"/>
          <w:color w:val="000000"/>
          <w:sz w:val="28"/>
          <w:szCs w:val="28"/>
          <w:shd w:fill="FFFF00" w:val="clear"/>
          <w:lang w:eastAsia="en-US"/>
        </w:rPr>
      </w:pPr>
      <w:r>
        <w:rPr>
          <w:rFonts w:eastAsia="Calibri" w:eastAsiaTheme="minorHAnsi"/>
          <w:color w:val="000000"/>
          <w:sz w:val="28"/>
          <w:szCs w:val="28"/>
          <w:shd w:fill="auto" w:val="clear"/>
          <w:lang w:eastAsia="en-US"/>
        </w:rPr>
        <w:t>К приоритетам деятельности администрации в сфере градостроительства, строительства и архитектуры относятся:</w:t>
      </w:r>
    </w:p>
    <w:p>
      <w:pPr>
        <w:pStyle w:val="S1"/>
        <w:shd w:val="clear" w:color="auto" w:fill="FFFFFF"/>
        <w:spacing w:beforeAutospacing="0" w:before="0" w:afterAutospacing="0" w:after="0"/>
        <w:ind w:firstLine="708"/>
        <w:jc w:val="both"/>
        <w:rPr>
          <w:rFonts w:eastAsia="Calibri" w:eastAsiaTheme="minorHAnsi"/>
          <w:color w:val="000000"/>
          <w:sz w:val="28"/>
          <w:szCs w:val="28"/>
          <w:shd w:fill="FFFF00" w:val="clear"/>
          <w:lang w:eastAsia="en-US"/>
        </w:rPr>
      </w:pPr>
      <w:r>
        <w:rPr>
          <w:rFonts w:eastAsia="Calibri" w:eastAsiaTheme="minorHAnsi"/>
          <w:color w:val="000000"/>
          <w:sz w:val="28"/>
          <w:szCs w:val="28"/>
          <w:shd w:fill="auto" w:val="clear"/>
          <w:lang w:eastAsia="en-US"/>
        </w:rPr>
        <w:t>повышение качества жизни населения города, территориальное развитие и развитие архитектуры и градостроительства посредством совершенствования системы застройки, благоустройства территорий;</w:t>
      </w:r>
    </w:p>
    <w:p>
      <w:pPr>
        <w:pStyle w:val="S1"/>
        <w:shd w:val="clear" w:color="auto" w:fill="FFFFFF"/>
        <w:spacing w:beforeAutospacing="0" w:before="0" w:afterAutospacing="0" w:after="0"/>
        <w:ind w:firstLine="708"/>
        <w:jc w:val="both"/>
        <w:rPr>
          <w:rFonts w:eastAsia="Calibri" w:eastAsiaTheme="minorHAnsi"/>
          <w:color w:val="000000"/>
          <w:sz w:val="28"/>
          <w:szCs w:val="28"/>
          <w:shd w:fill="FFFF00" w:val="clear"/>
          <w:lang w:eastAsia="en-US"/>
        </w:rPr>
      </w:pPr>
      <w:r>
        <w:rPr>
          <w:rFonts w:eastAsia="Calibri" w:eastAsiaTheme="minorHAnsi"/>
          <w:color w:val="000000"/>
          <w:sz w:val="28"/>
          <w:szCs w:val="28"/>
          <w:shd w:fill="auto" w:val="clear"/>
          <w:lang w:eastAsia="en-US"/>
        </w:rPr>
        <w:t>обеспечение населения доступным и качественным жильем путем реализации механизмов поддержки и развития жилищного строительства и стимулирования спроса на рынке жилья с помощью формирования земельных участков для жилищного строительства через механизмы развития территорий на основании документов территориального планирования;</w:t>
      </w:r>
    </w:p>
    <w:p>
      <w:pPr>
        <w:pStyle w:val="Normal"/>
        <w:spacing w:lineRule="auto" w:line="240" w:before="0" w:after="0"/>
        <w:ind w:firstLine="709"/>
        <w:jc w:val="both"/>
        <w:rPr>
          <w:rFonts w:ascii="Times New Roman" w:hAnsi="Times New Roman"/>
          <w:spacing w:val="0"/>
          <w:sz w:val="28"/>
          <w:szCs w:val="28"/>
        </w:rPr>
      </w:pPr>
      <w:r>
        <w:rPr>
          <w:rFonts w:cs="Times New Roman" w:ascii="Times New Roman" w:hAnsi="Times New Roman"/>
          <w:sz w:val="28"/>
          <w:szCs w:val="28"/>
        </w:rPr>
        <w:t>первоочередная корректировка генерального плана города Железноводска, необходимого для</w:t>
      </w:r>
      <w:r>
        <w:rPr>
          <w:rFonts w:ascii="Times New Roman" w:hAnsi="Times New Roman"/>
          <w:spacing w:val="0"/>
          <w:sz w:val="28"/>
          <w:szCs w:val="28"/>
        </w:rPr>
        <w:t xml:space="preserve"> оперативного управления процессом градостроительства, с учетом интересов жителей города и предпринимателей;</w:t>
      </w:r>
    </w:p>
    <w:p>
      <w:pPr>
        <w:pStyle w:val="Normal"/>
        <w:suppressAutoHyphens w:val="true"/>
        <w:spacing w:lineRule="auto" w:line="240" w:before="0" w:after="0"/>
        <w:ind w:firstLine="708"/>
        <w:jc w:val="both"/>
        <w:rPr>
          <w:rFonts w:ascii="Times New Roman" w:hAnsi="Times New Roman" w:eastAsia="Times New Roman" w:cs="Times New Roman"/>
          <w:sz w:val="28"/>
          <w:szCs w:val="28"/>
          <w:lang w:eastAsia="zh-CN"/>
        </w:rPr>
      </w:pPr>
      <w:r>
        <w:rPr>
          <w:rFonts w:eastAsia="Times New Roman" w:cs="Times New Roman" w:ascii="Times New Roman" w:hAnsi="Times New Roman"/>
          <w:sz w:val="28"/>
          <w:szCs w:val="28"/>
          <w:lang w:eastAsia="zh-CN"/>
        </w:rPr>
        <w:t>подготовка следующих предложений по дополнению Схемы территориального планирова</w:t>
        <w:softHyphen/>
        <w:t>ния Ставропольского края:</w:t>
      </w:r>
    </w:p>
    <w:p>
      <w:pPr>
        <w:pStyle w:val="Normal"/>
        <w:suppressAutoHyphens w:val="true"/>
        <w:spacing w:lineRule="auto" w:line="240" w:before="0" w:after="0"/>
        <w:ind w:firstLine="708"/>
        <w:jc w:val="both"/>
        <w:rPr>
          <w:rFonts w:ascii="Times New Roman" w:hAnsi="Times New Roman" w:eastAsia="Times New Roman" w:cs="Times New Roman"/>
          <w:sz w:val="28"/>
          <w:szCs w:val="28"/>
          <w:lang w:eastAsia="zh-CN"/>
        </w:rPr>
      </w:pPr>
      <w:r>
        <w:rPr>
          <w:rFonts w:eastAsia="Times New Roman" w:cs="Times New Roman" w:ascii="Times New Roman" w:hAnsi="Times New Roman"/>
          <w:sz w:val="28"/>
          <w:szCs w:val="28"/>
          <w:lang w:eastAsia="zh-CN"/>
        </w:rPr>
        <w:t>1) в целях развития внутренней сети автомо</w:t>
        <w:softHyphen/>
        <w:t>бильных дорог Кав</w:t>
        <w:softHyphen/>
        <w:t xml:space="preserve">минводской агломерации: </w:t>
      </w:r>
    </w:p>
    <w:p>
      <w:pPr>
        <w:pStyle w:val="Normal"/>
        <w:suppressAutoHyphens w:val="true"/>
        <w:spacing w:lineRule="auto" w:line="240" w:before="0" w:after="0"/>
        <w:jc w:val="both"/>
        <w:rPr>
          <w:rFonts w:ascii="Times New Roman" w:hAnsi="Times New Roman" w:eastAsia="Times New Roman" w:cs="Times New Roman"/>
          <w:sz w:val="28"/>
          <w:szCs w:val="28"/>
          <w:lang w:eastAsia="zh-CN"/>
        </w:rPr>
      </w:pPr>
      <w:r>
        <w:rPr>
          <w:rFonts w:eastAsia="Times New Roman" w:cs="Times New Roman" w:ascii="Times New Roman" w:hAnsi="Times New Roman"/>
          <w:sz w:val="28"/>
          <w:szCs w:val="28"/>
          <w:lang w:eastAsia="zh-CN"/>
        </w:rPr>
        <w:tab/>
        <w:t>автомобильной дорогой от г. Железноводска к г. Лермонтову (воз</w:t>
        <w:softHyphen/>
        <w:t>можно, предусмотрев восстановление прежней дороги);</w:t>
      </w:r>
    </w:p>
    <w:p>
      <w:pPr>
        <w:pStyle w:val="Normal"/>
        <w:suppressAutoHyphens w:val="true"/>
        <w:spacing w:lineRule="auto" w:line="240" w:before="0" w:after="0"/>
        <w:jc w:val="both"/>
        <w:rPr>
          <w:rFonts w:ascii="Times New Roman" w:hAnsi="Times New Roman" w:eastAsia="Times New Roman" w:cs="Times New Roman"/>
          <w:sz w:val="28"/>
          <w:szCs w:val="28"/>
          <w:lang w:eastAsia="zh-CN"/>
        </w:rPr>
      </w:pPr>
      <w:r>
        <w:rPr>
          <w:rFonts w:eastAsia="Times New Roman" w:cs="Times New Roman" w:ascii="Times New Roman" w:hAnsi="Times New Roman"/>
          <w:sz w:val="28"/>
          <w:szCs w:val="28"/>
          <w:lang w:eastAsia="zh-CN"/>
        </w:rPr>
        <w:tab/>
        <w:t>автомобильной дорогой - продолжением автомобильной трассы, со</w:t>
        <w:softHyphen/>
        <w:t>единяющей федеральную автомагистраль Ми</w:t>
        <w:softHyphen/>
        <w:t xml:space="preserve">неральные Воды - Кисловодск и хутор Привольный Минераловодского городского округа, до </w:t>
      </w:r>
      <w:r>
        <w:rPr>
          <w:rFonts w:eastAsia="Times New Roman" w:cs="Times New Roman" w:ascii="Times New Roman" w:hAnsi="Times New Roman"/>
          <w:color w:val="000000"/>
          <w:sz w:val="28"/>
          <w:szCs w:val="28"/>
          <w:lang w:eastAsia="zh-CN"/>
        </w:rPr>
        <w:t>земельного участка с кадастровым номером 26:31:000000:17, площадью 133,8 га, распо</w:t>
        <w:softHyphen/>
        <w:t>ложенным в северо-западной части г. Железно</w:t>
        <w:softHyphen/>
        <w:t>водска, в отношении которого п</w:t>
      </w:r>
      <w:r>
        <w:rPr>
          <w:rFonts w:eastAsia="Times New Roman" w:cs="Times New Roman" w:ascii="Times New Roman" w:hAnsi="Times New Roman"/>
          <w:sz w:val="28"/>
          <w:szCs w:val="28"/>
          <w:lang w:eastAsia="zh-CN"/>
        </w:rPr>
        <w:t>равительством Ставропольского края приня</w:t>
        <w:softHyphen/>
        <w:t>то распоряжение от 27 августа 2010 г. № 345-рп «О создании регионального туристско-рекреационного пар</w:t>
        <w:softHyphen/>
        <w:t>ка на территории города-курор</w:t>
        <w:softHyphen/>
        <w:t>та Железно</w:t>
        <w:softHyphen/>
        <w:t>водска Ставропольского края». В настоящее время подъезд к участку осуществляется через город Железно</w:t>
        <w:softHyphen/>
        <w:t>водск. Строительство ука</w:t>
        <w:softHyphen/>
        <w:t>занной автомо</w:t>
        <w:softHyphen/>
        <w:t>бильной дороги, помимо повышения инвестиционной привлекательности данной территории, позволит организо</w:t>
        <w:softHyphen/>
        <w:t>вать удобное транспортное сообщение с хутор Привольным Минераловодского городского округа и хутор Вороново Пред</w:t>
        <w:softHyphen/>
        <w:t>горного района;</w:t>
      </w:r>
    </w:p>
    <w:p>
      <w:pPr>
        <w:pStyle w:val="Normal"/>
        <w:suppressAutoHyphens w:val="true"/>
        <w:spacing w:lineRule="auto" w:line="240" w:before="0" w:after="0"/>
        <w:jc w:val="both"/>
        <w:rPr>
          <w:rFonts w:ascii="Times New Roman" w:hAnsi="Times New Roman" w:eastAsia="Times New Roman" w:cs="Times New Roman"/>
          <w:sz w:val="28"/>
          <w:szCs w:val="28"/>
          <w:lang w:eastAsia="zh-CN"/>
        </w:rPr>
      </w:pPr>
      <w:r>
        <w:rPr>
          <w:rFonts w:eastAsia="Times New Roman" w:cs="Times New Roman" w:ascii="Times New Roman" w:hAnsi="Times New Roman"/>
          <w:sz w:val="28"/>
          <w:szCs w:val="28"/>
          <w:lang w:eastAsia="zh-CN"/>
        </w:rPr>
        <w:tab/>
        <w:t>автомобильной дорогой, включающей жилой район Розы Люксембург в единую транспортную сеть города, с дальнейшим выходом к г. Лермонтову;</w:t>
      </w:r>
    </w:p>
    <w:p>
      <w:pPr>
        <w:pStyle w:val="Normal"/>
        <w:suppressAutoHyphens w:val="true"/>
        <w:spacing w:lineRule="auto" w:line="240" w:before="0" w:after="0"/>
        <w:jc w:val="both"/>
        <w:rPr>
          <w:rFonts w:ascii="Times New Roman" w:hAnsi="Times New Roman" w:eastAsia="Times New Roman" w:cs="Times New Roman"/>
          <w:sz w:val="28"/>
          <w:szCs w:val="28"/>
          <w:lang w:eastAsia="zh-CN"/>
        </w:rPr>
      </w:pPr>
      <w:r>
        <w:rPr>
          <w:rFonts w:eastAsia="Times New Roman" w:cs="Times New Roman" w:ascii="Times New Roman" w:hAnsi="Times New Roman"/>
          <w:sz w:val="28"/>
          <w:szCs w:val="28"/>
          <w:lang w:eastAsia="zh-CN"/>
        </w:rPr>
        <w:tab/>
        <w:t xml:space="preserve">в целях улучшения условий дорожного движения, уменьшения аварийности включение в схему территориального планирования автомобильной развязки по ул. Гагарина в южной части пос. Иноземцево. </w:t>
      </w:r>
    </w:p>
    <w:p>
      <w:pPr>
        <w:pStyle w:val="Normal"/>
        <w:suppressAutoHyphens w:val="true"/>
        <w:spacing w:lineRule="auto" w:line="240" w:before="0" w:after="0"/>
        <w:jc w:val="both"/>
        <w:rPr>
          <w:rFonts w:ascii="Times New Roman" w:hAnsi="Times New Roman" w:eastAsia="Times New Roman" w:cs="Times New Roman"/>
          <w:sz w:val="28"/>
          <w:szCs w:val="28"/>
          <w:lang w:eastAsia="zh-CN"/>
        </w:rPr>
      </w:pPr>
      <w:r>
        <w:rPr>
          <w:rFonts w:eastAsia="Times New Roman" w:cs="Times New Roman" w:ascii="Times New Roman" w:hAnsi="Times New Roman"/>
          <w:sz w:val="28"/>
          <w:szCs w:val="28"/>
          <w:lang w:eastAsia="zh-CN"/>
        </w:rPr>
        <w:tab/>
        <w:t>2) изменение административно</w:t>
        <w:softHyphen/>
        <w:t>го подчинения пос. Железноводского Предгорного района (включение в гра</w:t>
        <w:softHyphen/>
        <w:t>ницы города-курорта Железноводска). Такое изменение границ послужит ин</w:t>
        <w:softHyphen/>
        <w:t>тересам жителей, испытывающих в настоящее время трудности, вызванные территориальной отдаленностью от ст. Ессентукской, а также позволит улуч</w:t>
        <w:softHyphen/>
        <w:t>шить управление градостроительной ситуацией в данном населенном пункте и выполнить мероприятия по созданию достойного въезда в Железноводск - город-курорт федерального значения.</w:t>
      </w:r>
    </w:p>
    <w:p>
      <w:pPr>
        <w:pStyle w:val="Normal"/>
        <w:suppressAutoHyphens w:val="true"/>
        <w:spacing w:lineRule="auto" w:line="240" w:before="0" w:after="0"/>
        <w:jc w:val="both"/>
        <w:rPr>
          <w:rFonts w:ascii="Times New Roman" w:hAnsi="Times New Roman" w:cs="Times New Roman"/>
          <w:color w:val="000000"/>
          <w:sz w:val="28"/>
          <w:szCs w:val="28"/>
        </w:rPr>
      </w:pPr>
      <w:r>
        <w:rPr>
          <w:rFonts w:eastAsia="Times New Roman" w:cs="Times New Roman" w:ascii="Times New Roman" w:hAnsi="Times New Roman"/>
          <w:sz w:val="28"/>
          <w:szCs w:val="28"/>
          <w:lang w:eastAsia="zh-CN"/>
        </w:rPr>
        <w:tab/>
      </w:r>
      <w:r>
        <w:rPr>
          <w:rFonts w:cs="Times New Roman" w:ascii="Times New Roman" w:hAnsi="Times New Roman"/>
          <w:color w:val="000000"/>
          <w:sz w:val="28"/>
          <w:szCs w:val="28"/>
        </w:rPr>
        <w:t>формирование земельных участков для жилищного строительства через механизмы развития территорий на основании документов территориального планирования;</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использование при проведении открытых аукционов земельных участков под комплексную застройку в качестве критерия определения победителя минимальную стоимость квадратного метра жилья при выполнении всех других требований по качеству строительства;</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обеспечение устойчивого развития территории города-курорта Железноводска;</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совершенствование организационных и нормативно-правовых механизмов в сфере градостроительства;</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создание долгосрочной и гарантированной системы поддержки молодых семей в решении жилищной проблемы с целью улучшения демографической ситуации в городе-курорте Железноводске Ставропольского края; </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обеспечение запланированных объемов строительства жилья; </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обеспечение населения необходимыми объектами социальной инфраструктуры (детскими садами, поликлиниками, школами);</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продолжение работы по устранению административных барьеров в сфере строительства путем организации электронного взаимодействия с государственными органами, а также иными учреждениями и организациями, участвующими в предоставлении государственных и муниципальных услуг.</w:t>
      </w:r>
    </w:p>
    <w:p>
      <w:pPr>
        <w:pStyle w:val="Normal"/>
        <w:spacing w:lineRule="auto" w:line="240" w:before="0" w:after="0"/>
        <w:ind w:firstLine="708"/>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разработка документов для внесения в Единый государственный реестр недвижимости сведений о границах муниципального образования и границах территориальных зон; </w:t>
      </w:r>
    </w:p>
    <w:p>
      <w:pPr>
        <w:pStyle w:val="Normal"/>
        <w:spacing w:lineRule="auto" w:line="240" w:before="0" w:after="0"/>
        <w:ind w:firstLine="708"/>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проведение кадастровых, топографических, геодезических работ с целью обеспечения наличия достоверных сведений, необходимых для осуществления градостроительной, инвестиционной и иной хозяйственной деятельности. </w:t>
      </w:r>
    </w:p>
    <w:p>
      <w:pPr>
        <w:pStyle w:val="S1"/>
        <w:shd w:val="clear" w:color="auto" w:fill="FFFFFF"/>
        <w:spacing w:beforeAutospacing="0" w:before="0" w:afterAutospacing="0" w:after="0"/>
        <w:ind w:firstLine="708"/>
        <w:jc w:val="both"/>
        <w:rPr>
          <w:rFonts w:eastAsia="Calibri" w:eastAsiaTheme="minorHAnsi"/>
          <w:color w:val="000000"/>
          <w:sz w:val="28"/>
          <w:szCs w:val="28"/>
          <w:lang w:eastAsia="en-US"/>
        </w:rPr>
      </w:pPr>
      <w:r>
        <w:rPr>
          <w:rFonts w:eastAsia="Calibri" w:eastAsiaTheme="minorHAnsi"/>
          <w:color w:val="000000"/>
          <w:sz w:val="28"/>
          <w:szCs w:val="28"/>
          <w:lang w:eastAsia="en-US"/>
        </w:rPr>
      </w:r>
    </w:p>
    <w:p>
      <w:pPr>
        <w:pStyle w:val="S1"/>
        <w:shd w:val="clear" w:color="auto" w:fill="FFFFFF"/>
        <w:spacing w:beforeAutospacing="0" w:before="0" w:afterAutospacing="0" w:after="0"/>
        <w:ind w:firstLine="708"/>
        <w:jc w:val="both"/>
        <w:rPr>
          <w:rFonts w:eastAsia="Calibri" w:eastAsiaTheme="minorHAnsi"/>
          <w:b/>
          <w:b/>
          <w:color w:val="000000"/>
          <w:sz w:val="28"/>
          <w:szCs w:val="28"/>
          <w:lang w:eastAsia="en-US"/>
        </w:rPr>
      </w:pPr>
      <w:r>
        <w:rPr>
          <w:rFonts w:eastAsia="Calibri" w:eastAsiaTheme="minorHAnsi"/>
          <w:b/>
          <w:color w:val="000000"/>
          <w:sz w:val="28"/>
          <w:szCs w:val="28"/>
          <w:lang w:eastAsia="en-US"/>
        </w:rPr>
        <w:t>Ожидаемыми результатами являются:</w:t>
      </w:r>
    </w:p>
    <w:p>
      <w:pPr>
        <w:pStyle w:val="S1"/>
        <w:shd w:val="clear" w:color="auto" w:fill="FFFFFF"/>
        <w:spacing w:beforeAutospacing="0" w:before="0" w:afterAutospacing="0" w:after="0"/>
        <w:ind w:firstLine="708"/>
        <w:jc w:val="both"/>
        <w:rPr>
          <w:rFonts w:eastAsia="Calibri" w:eastAsiaTheme="minorHAnsi"/>
          <w:color w:val="000000"/>
          <w:sz w:val="28"/>
          <w:szCs w:val="28"/>
          <w:lang w:eastAsia="en-US"/>
        </w:rPr>
      </w:pPr>
      <w:r>
        <w:rPr>
          <w:rFonts w:eastAsia="Calibri" w:eastAsiaTheme="minorHAnsi"/>
          <w:color w:val="000000"/>
          <w:sz w:val="28"/>
          <w:szCs w:val="28"/>
          <w:lang w:eastAsia="en-US"/>
        </w:rPr>
        <w:t>обеспечение устойчивого развития территории города путем совершенствования системы градостроительной деятельности;</w:t>
      </w:r>
    </w:p>
    <w:p>
      <w:pPr>
        <w:pStyle w:val="S1"/>
        <w:shd w:val="clear" w:color="auto" w:fill="FFFFFF"/>
        <w:spacing w:beforeAutospacing="0" w:before="0" w:afterAutospacing="0" w:after="0"/>
        <w:ind w:firstLine="708"/>
        <w:jc w:val="both"/>
        <w:rPr>
          <w:rFonts w:eastAsia="Calibri" w:eastAsiaTheme="minorHAnsi"/>
          <w:color w:val="000000"/>
          <w:sz w:val="28"/>
          <w:szCs w:val="28"/>
          <w:lang w:eastAsia="en-US"/>
        </w:rPr>
      </w:pPr>
      <w:r>
        <w:rPr>
          <w:rFonts w:eastAsia="Calibri" w:eastAsiaTheme="minorHAnsi"/>
          <w:color w:val="000000"/>
          <w:sz w:val="28"/>
          <w:szCs w:val="28"/>
          <w:lang w:eastAsia="en-US"/>
        </w:rPr>
        <w:t>формирование рынка доступного жилья.</w:t>
      </w:r>
    </w:p>
    <w:p>
      <w:pPr>
        <w:pStyle w:val="Style22"/>
        <w:tabs>
          <w:tab w:val="left" w:pos="0" w:leader="none"/>
        </w:tabs>
        <w:rPr>
          <w:rFonts w:eastAsia="Calibri" w:eastAsiaTheme="minorHAnsi"/>
          <w:color w:val="000000"/>
          <w:sz w:val="28"/>
          <w:szCs w:val="28"/>
          <w:lang w:eastAsia="en-US"/>
        </w:rPr>
      </w:pPr>
      <w:r>
        <w:rPr>
          <w:rFonts w:eastAsia="Calibri" w:eastAsiaTheme="minorHAnsi"/>
          <w:sz w:val="28"/>
          <w:szCs w:val="28"/>
          <w:lang w:eastAsia="en-US"/>
        </w:rPr>
        <w:tab/>
        <w:t xml:space="preserve">Действующим генеральным планом определено направление на максимально-возможную организацию сложившейся городской инфраструктуры с сохранением естественного ландшафта, лесов и лесопарка. </w:t>
      </w:r>
    </w:p>
    <w:p>
      <w:pPr>
        <w:pStyle w:val="Normal"/>
        <w:spacing w:lineRule="auto" w:line="240" w:before="0" w:after="0"/>
        <w:ind w:firstLine="708"/>
        <w:jc w:val="both"/>
        <w:rPr>
          <w:rFonts w:ascii="Times New Roman" w:hAnsi="Times New Roman" w:cs="Times New Roman"/>
          <w:color w:val="000000"/>
          <w:sz w:val="28"/>
          <w:szCs w:val="28"/>
        </w:rPr>
      </w:pPr>
      <w:r>
        <w:rPr>
          <w:rFonts w:cs="Times New Roman" w:ascii="Times New Roman" w:hAnsi="Times New Roman"/>
          <w:color w:val="000000"/>
          <w:sz w:val="28"/>
          <w:szCs w:val="28"/>
        </w:rPr>
        <w:t>В процессе комплексного анализа территории выявлены территориальные ресурсы для градостроительного развития.</w:t>
      </w:r>
    </w:p>
    <w:p>
      <w:pPr>
        <w:pStyle w:val="Normal"/>
        <w:tabs>
          <w:tab w:val="left" w:pos="360" w:leader="none"/>
        </w:tabs>
        <w:spacing w:lineRule="auto" w:line="240" w:before="0" w:after="0"/>
        <w:ind w:right="0" w:hanging="0"/>
        <w:jc w:val="both"/>
        <w:rPr>
          <w:rFonts w:ascii="Times New Roman" w:hAnsi="Times New Roman" w:cs="Times New Roman"/>
          <w:color w:val="000000"/>
          <w:sz w:val="28"/>
          <w:szCs w:val="28"/>
        </w:rPr>
      </w:pPr>
      <w:r>
        <w:rPr>
          <w:rFonts w:cs="Times New Roman" w:ascii="Times New Roman" w:hAnsi="Times New Roman"/>
          <w:color w:val="000000"/>
          <w:sz w:val="28"/>
          <w:szCs w:val="28"/>
        </w:rPr>
        <w:tab/>
        <w:tab/>
        <w:t xml:space="preserve">В качестве потенциальных для жилищного строительства площадок рассматриваются территории, благополучные в экологическом отношении и свободные в настоящее время от застройки (пустыри, неиспользуемые земли), расположенные вблизи жилых зон. Такие территории расположены в поселке Иноземцево, в жилых районах Капельница, Розы Люксембург. </w:t>
      </w:r>
    </w:p>
    <w:p>
      <w:pPr>
        <w:pStyle w:val="Normal"/>
        <w:tabs>
          <w:tab w:val="left" w:pos="360" w:leader="none"/>
        </w:tabs>
        <w:spacing w:lineRule="auto" w:line="240" w:before="0" w:after="0"/>
        <w:ind w:right="0" w:hanging="0"/>
        <w:jc w:val="both"/>
        <w:rPr>
          <w:rFonts w:ascii="Times New Roman" w:hAnsi="Times New Roman" w:cs="Times New Roman"/>
          <w:color w:val="000000"/>
          <w:sz w:val="28"/>
          <w:szCs w:val="28"/>
        </w:rPr>
      </w:pPr>
      <w:r>
        <w:rPr>
          <w:rFonts w:cs="Times New Roman" w:ascii="Times New Roman" w:hAnsi="Times New Roman"/>
          <w:color w:val="000000"/>
          <w:sz w:val="28"/>
          <w:szCs w:val="28"/>
        </w:rPr>
        <w:tab/>
        <w:tab/>
        <w:t xml:space="preserve">Следующую группу потенциальных ресурсов для жилищного строительства и объектов социальной инфраструктуры составляют существующие жилые районы, требующие завершения градостроительного формирования и имеющие возможности для выборочного нового строительства. </w:t>
      </w:r>
    </w:p>
    <w:p>
      <w:pPr>
        <w:pStyle w:val="Normal"/>
        <w:tabs>
          <w:tab w:val="left" w:pos="360" w:leader="none"/>
        </w:tabs>
        <w:spacing w:lineRule="auto" w:line="240" w:before="0" w:after="0"/>
        <w:ind w:right="0" w:hanging="0"/>
        <w:jc w:val="both"/>
        <w:rPr>
          <w:rFonts w:ascii="Times New Roman" w:hAnsi="Times New Roman" w:cs="Times New Roman"/>
          <w:color w:val="000000"/>
          <w:sz w:val="28"/>
          <w:szCs w:val="28"/>
        </w:rPr>
      </w:pPr>
      <w:r>
        <w:rPr>
          <w:rFonts w:cs="Times New Roman" w:ascii="Times New Roman" w:hAnsi="Times New Roman"/>
          <w:color w:val="000000"/>
          <w:sz w:val="28"/>
          <w:szCs w:val="28"/>
        </w:rPr>
        <w:tab/>
        <w:tab/>
        <w:t>Данные площадки расположены в основном в г. Железноводске.</w:t>
      </w:r>
    </w:p>
    <w:p>
      <w:pPr>
        <w:pStyle w:val="Normal"/>
        <w:tabs>
          <w:tab w:val="left" w:pos="360" w:leader="none"/>
          <w:tab w:val="left" w:pos="1080" w:leader="none"/>
        </w:tabs>
        <w:spacing w:lineRule="auto" w:line="240" w:before="0" w:after="0"/>
        <w:ind w:right="0"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Значительный ресурс составляют городские районы, имеющие большие по площади территории, занятые сравнительно ветхим и неблагоустроенным фондом, но расположенные в выгодных с градостроительной точки зрения районах города – в северной части г. Железноводска.</w:t>
      </w:r>
    </w:p>
    <w:p>
      <w:pPr>
        <w:pStyle w:val="Normal"/>
        <w:spacing w:lineRule="auto" w:line="240" w:before="0" w:after="0"/>
        <w:ind w:firstLine="708"/>
        <w:jc w:val="both"/>
        <w:rPr>
          <w:rFonts w:ascii="Times New Roman" w:hAnsi="Times New Roman" w:cs="Times New Roman"/>
          <w:color w:val="000000"/>
          <w:sz w:val="28"/>
          <w:szCs w:val="28"/>
        </w:rPr>
      </w:pPr>
      <w:r>
        <w:rPr>
          <w:rFonts w:cs="Times New Roman" w:ascii="Times New Roman" w:hAnsi="Times New Roman"/>
          <w:color w:val="000000"/>
          <w:sz w:val="28"/>
          <w:szCs w:val="28"/>
        </w:rPr>
        <w:t>В целях достижения показателя «Увеличение объема жилищного строительства не менее чем до 120 млн.кв.м в год», предусмотренного Указом Президента Российской Федерации от 07 мая 2018 г. № 204 «О национальных целях и стратегических задачах развития Российской Федерации на период до 2024 г.», запланировано достижение показателя ввода жилья к 2024 г. до</w:t>
        <w:br/>
        <w:t>53 тыс.кв.м в год (застройщики: ООО «Неруд-Зольское», ООО «Поэма-сити», ООО «ДомСтрой», ООО «Строитель-7» и т.д.).</w:t>
      </w:r>
    </w:p>
    <w:p>
      <w:pPr>
        <w:pStyle w:val="Normal"/>
        <w:tabs>
          <w:tab w:val="left" w:pos="360" w:leader="none"/>
          <w:tab w:val="left" w:pos="1080" w:leader="none"/>
        </w:tabs>
        <w:spacing w:lineRule="auto" w:line="240" w:before="0" w:after="0"/>
        <w:ind w:right="0"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В районе исторического центра г. Железноводска – вдоль ул. Ленина планируются реконструктивные мероприятия и выборочное новое строительство с сохранением масштаба и типа исторической застройки. </w:t>
      </w:r>
    </w:p>
    <w:p>
      <w:pPr>
        <w:pStyle w:val="Normal"/>
        <w:tabs>
          <w:tab w:val="left" w:pos="360" w:leader="none"/>
          <w:tab w:val="left" w:pos="1080" w:leader="none"/>
        </w:tabs>
        <w:spacing w:lineRule="auto" w:line="240" w:before="0" w:after="0"/>
        <w:ind w:right="0"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В рекреационной зоне города возможно выборочное строительство новых санаториев. При этом требуется сохранение всех элементов культурного наследия города и следование градостроительным регламентам исторических зон Железноводска.</w:t>
      </w:r>
    </w:p>
    <w:p>
      <w:pPr>
        <w:pStyle w:val="Normal"/>
        <w:spacing w:lineRule="auto" w:line="240" w:before="0" w:after="0"/>
        <w:ind w:firstLine="708"/>
        <w:jc w:val="both"/>
        <w:rPr>
          <w:rFonts w:ascii="Times New Roman" w:hAnsi="Times New Roman" w:cs="Times New Roman"/>
          <w:color w:val="000000"/>
          <w:sz w:val="28"/>
          <w:szCs w:val="28"/>
        </w:rPr>
      </w:pPr>
      <w:r>
        <w:rPr>
          <w:rFonts w:cs="Times New Roman" w:ascii="Times New Roman" w:hAnsi="Times New Roman"/>
          <w:color w:val="000000"/>
          <w:sz w:val="28"/>
          <w:szCs w:val="28"/>
        </w:rPr>
        <w:t>В целом по городу, при условии осуществления перечисленных выше видов нового жилищного строительства и реконструкции существующих объектов, территориальные ресурсы города Железноводска достаточны для удовлетворения потребностей в жилищном строительстве и объектах социальной сферы на период до 2035 г.</w:t>
      </w:r>
    </w:p>
    <w:p>
      <w:pPr>
        <w:pStyle w:val="Normal"/>
        <w:spacing w:lineRule="auto" w:line="240" w:before="0" w:after="0"/>
        <w:ind w:firstLine="708"/>
        <w:jc w:val="both"/>
        <w:rPr>
          <w:rFonts w:ascii="Times New Roman" w:hAnsi="Times New Roman" w:cs="Times New Roman"/>
          <w:color w:val="000000"/>
          <w:sz w:val="28"/>
          <w:szCs w:val="28"/>
        </w:rPr>
      </w:pPr>
      <w:r>
        <w:rPr>
          <w:rFonts w:cs="Times New Roman" w:ascii="Times New Roman" w:hAnsi="Times New Roman"/>
          <w:color w:val="000000"/>
          <w:sz w:val="28"/>
          <w:szCs w:val="28"/>
        </w:rPr>
        <w:t>Основные направления развития территории города:</w:t>
      </w:r>
    </w:p>
    <w:p>
      <w:pPr>
        <w:pStyle w:val="Normal"/>
        <w:spacing w:lineRule="auto" w:line="240" w:before="0" w:after="0"/>
        <w:ind w:firstLine="708"/>
        <w:jc w:val="both"/>
        <w:rPr>
          <w:rFonts w:ascii="Times New Roman" w:hAnsi="Times New Roman" w:cs="Times New Roman"/>
          <w:color w:val="000000"/>
          <w:sz w:val="28"/>
          <w:szCs w:val="28"/>
        </w:rPr>
      </w:pPr>
      <w:r>
        <w:rPr>
          <w:rFonts w:cs="Times New Roman" w:ascii="Times New Roman" w:hAnsi="Times New Roman"/>
          <w:color w:val="000000"/>
          <w:sz w:val="28"/>
          <w:szCs w:val="28"/>
        </w:rPr>
        <w:t>градостроительное развитие г. Железноводска и пос. Иноземцево во взаимосвязи с прилегающими районами, включая охраняемые природные и историко-культурные объекты, рекреационные зоны, транспортные и инженерные коммуникации и объекты;</w:t>
      </w:r>
    </w:p>
    <w:p>
      <w:pPr>
        <w:pStyle w:val="Normal"/>
        <w:spacing w:lineRule="auto" w:line="240" w:before="0" w:after="0"/>
        <w:ind w:firstLine="708"/>
        <w:jc w:val="both"/>
        <w:rPr>
          <w:rFonts w:ascii="Times New Roman" w:hAnsi="Times New Roman" w:cs="Times New Roman"/>
          <w:color w:val="000000"/>
          <w:sz w:val="28"/>
          <w:szCs w:val="28"/>
        </w:rPr>
      </w:pPr>
      <w:r>
        <w:rPr>
          <w:rFonts w:cs="Times New Roman" w:ascii="Times New Roman" w:hAnsi="Times New Roman"/>
          <w:color w:val="000000"/>
          <w:sz w:val="28"/>
          <w:szCs w:val="28"/>
        </w:rPr>
        <w:t>охрана культурного наследия, активное включение исторических объектов в современную социально-культурную среду. Сохранение и максимальное усиление индивидуального образа города на основе сохранения исторических особенностей, использования региональных архитектурно-строительных приемов и материалов;</w:t>
      </w:r>
    </w:p>
    <w:p>
      <w:pPr>
        <w:pStyle w:val="Normal"/>
        <w:spacing w:lineRule="auto" w:line="240" w:before="0" w:after="0"/>
        <w:ind w:firstLine="708"/>
        <w:jc w:val="both"/>
        <w:rPr>
          <w:rFonts w:ascii="Times New Roman" w:hAnsi="Times New Roman" w:cs="Times New Roman"/>
          <w:color w:val="000000"/>
          <w:sz w:val="28"/>
          <w:szCs w:val="28"/>
        </w:rPr>
      </w:pPr>
      <w:r>
        <w:rPr>
          <w:rFonts w:cs="Times New Roman" w:ascii="Times New Roman" w:hAnsi="Times New Roman"/>
          <w:color w:val="000000"/>
          <w:sz w:val="28"/>
          <w:szCs w:val="28"/>
        </w:rPr>
        <w:t>качественное преобразование городской среды, включающее реконструкцию и благоустройство городской территории;</w:t>
      </w:r>
    </w:p>
    <w:p>
      <w:pPr>
        <w:pStyle w:val="Normal"/>
        <w:spacing w:lineRule="auto" w:line="240" w:before="0" w:after="0"/>
        <w:ind w:firstLine="708"/>
        <w:jc w:val="both"/>
        <w:rPr>
          <w:rFonts w:ascii="Times New Roman" w:hAnsi="Times New Roman" w:cs="Times New Roman"/>
          <w:color w:val="000000"/>
          <w:sz w:val="28"/>
          <w:szCs w:val="28"/>
        </w:rPr>
      </w:pPr>
      <w:r>
        <w:rPr>
          <w:rFonts w:cs="Times New Roman" w:ascii="Times New Roman" w:hAnsi="Times New Roman"/>
          <w:color w:val="000000"/>
          <w:sz w:val="28"/>
          <w:szCs w:val="28"/>
        </w:rPr>
        <w:t>реконструкция и модернизация существующего жилищного фонда, комплексное благоустройство и озеленение жилых зон;</w:t>
      </w:r>
    </w:p>
    <w:p>
      <w:pPr>
        <w:pStyle w:val="Normal"/>
        <w:spacing w:lineRule="auto" w:line="240" w:before="0" w:after="0"/>
        <w:ind w:firstLine="708"/>
        <w:jc w:val="both"/>
        <w:rPr>
          <w:rFonts w:ascii="Times New Roman" w:hAnsi="Times New Roman" w:cs="Times New Roman"/>
          <w:color w:val="000000"/>
          <w:sz w:val="28"/>
          <w:szCs w:val="28"/>
        </w:rPr>
      </w:pPr>
      <w:r>
        <w:rPr>
          <w:rFonts w:cs="Times New Roman" w:ascii="Times New Roman" w:hAnsi="Times New Roman"/>
          <w:color w:val="000000"/>
          <w:sz w:val="28"/>
          <w:szCs w:val="28"/>
        </w:rPr>
        <w:t>мониторинг производственных территорий с целью снижения негативного экологического воздействия на жилые районы и более эффективного использования существующих территорий и фондов;</w:t>
      </w:r>
    </w:p>
    <w:p>
      <w:pPr>
        <w:pStyle w:val="Normal"/>
        <w:spacing w:lineRule="auto" w:line="240" w:before="0" w:after="0"/>
        <w:ind w:firstLine="708"/>
        <w:jc w:val="both"/>
        <w:rPr>
          <w:rFonts w:ascii="Times New Roman" w:hAnsi="Times New Roman" w:cs="Times New Roman"/>
          <w:color w:val="000000"/>
          <w:sz w:val="28"/>
          <w:szCs w:val="28"/>
        </w:rPr>
      </w:pPr>
      <w:r>
        <w:rPr>
          <w:rFonts w:cs="Times New Roman" w:ascii="Times New Roman" w:hAnsi="Times New Roman"/>
          <w:color w:val="000000"/>
          <w:sz w:val="28"/>
          <w:szCs w:val="28"/>
        </w:rPr>
        <w:t>сохранение и развитие системы особо охраняемых территорий (в т.ч. особо охраняемых природных территорий краевого значения - Бештаугорского и Баталинского заказников, городских лесов, парковых и зеленых зон, а также зон отдыха (в том числе, реабилитация и благоустройство гидрологических объектов);</w:t>
      </w:r>
    </w:p>
    <w:p>
      <w:pPr>
        <w:pStyle w:val="Normal"/>
        <w:spacing w:lineRule="auto" w:line="240" w:before="0" w:after="0"/>
        <w:ind w:firstLine="708"/>
        <w:jc w:val="both"/>
        <w:rPr>
          <w:rFonts w:ascii="Times New Roman" w:hAnsi="Times New Roman" w:cs="Times New Roman"/>
          <w:color w:val="000000"/>
          <w:sz w:val="28"/>
          <w:szCs w:val="28"/>
        </w:rPr>
      </w:pPr>
      <w:r>
        <w:rPr>
          <w:rFonts w:cs="Times New Roman" w:ascii="Times New Roman" w:hAnsi="Times New Roman"/>
          <w:color w:val="000000"/>
          <w:sz w:val="28"/>
          <w:szCs w:val="28"/>
        </w:rPr>
        <w:t>реконструкция и развитие современной транспортной и инженерной инфраструктуры.</w:t>
      </w:r>
    </w:p>
    <w:p>
      <w:pPr>
        <w:pStyle w:val="S1"/>
        <w:shd w:val="clear" w:color="auto" w:fill="FFFFFF"/>
        <w:spacing w:beforeAutospacing="0" w:before="0" w:afterAutospacing="0" w:after="0"/>
        <w:ind w:firstLine="708"/>
        <w:jc w:val="both"/>
        <w:rPr/>
      </w:pPr>
      <w:r>
        <w:rPr>
          <w:rFonts w:eastAsia="Calibri" w:eastAsiaTheme="minorHAnsi"/>
          <w:color w:val="000000"/>
          <w:sz w:val="28"/>
          <w:szCs w:val="28"/>
          <w:lang w:eastAsia="en-US"/>
        </w:rPr>
        <w:t>Реализация намеченных направлений градостроительной деятельности осуществляется в соответствии с генеральным планом и правилами землепользования и застройки города-курорта Железноводска, с помощью утвержденной документации по планировке территории, разработанной в целях обеспечения </w:t>
      </w:r>
      <w:r>
        <w:fldChar w:fldCharType="begin"/>
      </w:r>
      <w:r>
        <w:instrText> HYPERLINK "http://internet.garant.ru/" \l "/document/12138258/entry/103"</w:instrText>
      </w:r>
      <w:r>
        <w:fldChar w:fldCharType="separate"/>
      </w:r>
      <w:r>
        <w:rPr>
          <w:rStyle w:val="Style16"/>
          <w:rFonts w:eastAsia="Calibri" w:eastAsiaTheme="minorHAnsi"/>
          <w:color w:val="000000"/>
          <w:sz w:val="28"/>
          <w:szCs w:val="28"/>
          <w:lang w:eastAsia="en-US"/>
        </w:rPr>
        <w:t>устойчивого развития территорий</w:t>
      </w:r>
      <w:r>
        <w:fldChar w:fldCharType="end"/>
      </w:r>
      <w:r>
        <w:rPr>
          <w:rFonts w:eastAsia="Calibri" w:eastAsiaTheme="minorHAnsi"/>
          <w:color w:val="000000"/>
          <w:sz w:val="28"/>
          <w:szCs w:val="28"/>
          <w:lang w:eastAsia="en-US"/>
        </w:rPr>
        <w:t>,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pPr>
        <w:pStyle w:val="S1"/>
        <w:shd w:val="clear" w:color="auto" w:fill="FFFFFF"/>
        <w:spacing w:beforeAutospacing="0" w:before="0" w:afterAutospacing="0" w:after="0"/>
        <w:ind w:firstLine="708"/>
        <w:jc w:val="both"/>
        <w:rPr>
          <w:rFonts w:eastAsia="Calibri" w:eastAsiaTheme="minorHAnsi"/>
          <w:color w:val="000000"/>
          <w:sz w:val="28"/>
          <w:szCs w:val="28"/>
          <w:lang w:eastAsia="en-US"/>
        </w:rPr>
      </w:pPr>
      <w:r>
        <w:rPr>
          <w:rFonts w:eastAsia="Calibri" w:eastAsiaTheme="minorHAnsi"/>
          <w:color w:val="000000"/>
          <w:sz w:val="28"/>
          <w:szCs w:val="28"/>
          <w:lang w:eastAsia="en-US"/>
        </w:rPr>
        <w:t xml:space="preserve"> </w:t>
      </w:r>
      <w:r>
        <w:rPr>
          <w:rFonts w:eastAsia="Calibri" w:eastAsiaTheme="minorHAnsi"/>
          <w:color w:val="000000"/>
          <w:sz w:val="28"/>
          <w:szCs w:val="28"/>
          <w:lang w:eastAsia="en-US"/>
        </w:rPr>
        <w:t xml:space="preserve">В том числе имеется ряд вопросов, связанных с наличием на территории города зон с риском возникновения чрезвычайных ситуаций природного и техногенного характера. </w:t>
      </w:r>
    </w:p>
    <w:p>
      <w:pPr>
        <w:pStyle w:val="Normal"/>
        <w:suppressAutoHyphens w:val="true"/>
        <w:spacing w:lineRule="auto" w:line="240" w:before="0" w:after="0"/>
        <w:ind w:firstLine="708"/>
        <w:jc w:val="both"/>
        <w:rPr>
          <w:rFonts w:ascii="Times New Roman" w:hAnsi="Times New Roman" w:eastAsia="Times New Roman" w:cs="Times New Roman"/>
          <w:sz w:val="28"/>
          <w:szCs w:val="28"/>
          <w:lang w:eastAsia="zh-CN"/>
        </w:rPr>
      </w:pPr>
      <w:r>
        <w:rPr>
          <w:rFonts w:eastAsia="Times New Roman" w:cs="Times New Roman" w:ascii="Times New Roman" w:hAnsi="Times New Roman"/>
          <w:sz w:val="28"/>
          <w:szCs w:val="28"/>
          <w:lang w:eastAsia="zh-CN"/>
        </w:rPr>
        <w:t>В качестве противопаводковых и про</w:t>
        <w:softHyphen/>
        <w:t>тивооползневых мероприятий необходимо подготовить предложения о включении в Схему территориального планирования Ставропольского края единой сети ливневой и дренажной канализации, с учетом размещения очистных сооружений на территории Предгорного или Минераловодского районов.</w:t>
      </w:r>
    </w:p>
    <w:p>
      <w:pPr>
        <w:pStyle w:val="Normal"/>
        <w:suppressAutoHyphens w:val="true"/>
        <w:spacing w:lineRule="auto" w:line="240" w:before="0" w:after="0"/>
        <w:jc w:val="both"/>
        <w:rPr>
          <w:rFonts w:ascii="Times New Roman" w:hAnsi="Times New Roman" w:eastAsia="Times New Roman" w:cs="Times New Roman"/>
          <w:sz w:val="28"/>
          <w:szCs w:val="28"/>
          <w:lang w:eastAsia="zh-CN"/>
        </w:rPr>
      </w:pPr>
      <w:r>
        <w:rPr>
          <w:rFonts w:eastAsia="Times New Roman" w:cs="Times New Roman" w:ascii="Times New Roman" w:hAnsi="Times New Roman"/>
          <w:sz w:val="28"/>
          <w:szCs w:val="28"/>
          <w:lang w:eastAsia="zh-CN"/>
        </w:rPr>
        <w:tab/>
        <w:t>Необходимо также рассмотреть вопрос о реконструкции очистных сооружений, расположенных в Минеральных Водах, куда сбрасываются канализационные стоки в том числе г. Железноводска, которые в настоящее время работают с предельной нагрузкой.</w:t>
      </w:r>
    </w:p>
    <w:p>
      <w:pPr>
        <w:pStyle w:val="Normal"/>
        <w:suppressAutoHyphens w:val="true"/>
        <w:spacing w:lineRule="auto" w:line="240" w:before="0" w:after="0"/>
        <w:ind w:firstLine="708"/>
        <w:jc w:val="both"/>
        <w:rPr>
          <w:rFonts w:ascii="Times New Roman" w:hAnsi="Times New Roman" w:eastAsia="Times New Roman" w:cs="Times New Roman"/>
          <w:sz w:val="28"/>
          <w:szCs w:val="28"/>
          <w:lang w:eastAsia="zh-CN"/>
        </w:rPr>
      </w:pPr>
      <w:r>
        <w:rPr>
          <w:rFonts w:eastAsia="Times New Roman" w:cs="Times New Roman" w:ascii="Times New Roman" w:hAnsi="Times New Roman"/>
          <w:sz w:val="28"/>
          <w:szCs w:val="28"/>
          <w:lang w:eastAsia="zh-CN"/>
        </w:rPr>
        <w:t>Социально востребованным остается вопрос об организации новых кладбищ. Необходимо рассмотреть возможность определения новых территорий для погребений.</w:t>
      </w:r>
    </w:p>
    <w:p>
      <w:pPr>
        <w:pStyle w:val="3"/>
        <w:rPr/>
      </w:pPr>
      <w:r>
        <w:rPr/>
      </w:r>
    </w:p>
    <w:p>
      <w:pPr>
        <w:pStyle w:val="3"/>
        <w:rPr/>
      </w:pPr>
      <w:bookmarkStart w:id="23" w:name="_Toc11337755"/>
      <w:r>
        <w:rPr/>
        <w:t>3.3. Создание и развитие кластера туристско-рекреационного типа</w:t>
      </w:r>
      <w:bookmarkEnd w:id="23"/>
      <w:r>
        <w:rPr/>
        <w:t xml:space="preserve"> </w:t>
      </w:r>
    </w:p>
    <w:p>
      <w:pPr>
        <w:pStyle w:val="Normal"/>
        <w:spacing w:before="0" w:after="0"/>
        <w:jc w:val="center"/>
        <w:rPr>
          <w:sz w:val="28"/>
          <w:szCs w:val="28"/>
        </w:rPr>
      </w:pPr>
      <w:r>
        <w:rPr>
          <w:sz w:val="28"/>
          <w:szCs w:val="28"/>
        </w:rPr>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В последние годы росту привлекательности курорта Железноводска способствуют качественное улучшение мест размещения отдыхающих, улучшение и модернизация лечебно-диагностической базы курорта, разработка новых лечебных методик специалистами здравниц, повышение уровня благоустройства как санаторно-курортных учреждений, так и города Железноводска в целом. </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sz w:val="28"/>
          <w:szCs w:val="28"/>
        </w:rPr>
        <w:t>Лечебно-диагностическая база здравниц Железноводска соответствует самым высоким требованиям и представлена клиническими, биохимическими и бактериологическими лабораториями, ванными отделениями, кабинетами гинекологических орошений минеральной водой, урологических процедур, кишечных процедур, мануальной терапии, стоматологии и др.</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color w:val="000000"/>
          <w:sz w:val="28"/>
          <w:szCs w:val="28"/>
        </w:rPr>
        <w:t>Основной медицинский профиль курорта: урологические заболевания, болезни мочеполовой сферы, желудочно-кишечного тракта, печени, желчевыводящих путей, поджелудочной железы, нарушения обмена веществ. Сопутствующие: ЛОР-заболевания, опорно-двигательного аппарата.</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Здравницы принимают на отдых и лечение взрослых и детей с четырехлетнего возраста на любое количество дней и по любой лечебно-оздоровительной программе.</w:t>
      </w:r>
    </w:p>
    <w:p>
      <w:pPr>
        <w:pStyle w:val="ConsPlusNormal"/>
        <w:ind w:firstLine="709"/>
        <w:jc w:val="both"/>
        <w:rPr>
          <w:rFonts w:ascii="Times New Roman" w:hAnsi="Times New Roman" w:cs="Times New Roman"/>
          <w:sz w:val="28"/>
          <w:szCs w:val="28"/>
        </w:rPr>
      </w:pPr>
      <w:r>
        <w:rPr>
          <w:rFonts w:cs="Times New Roman" w:ascii="Times New Roman" w:hAnsi="Times New Roman"/>
          <w:sz w:val="28"/>
          <w:szCs w:val="28"/>
        </w:rPr>
        <w:t>Дополнительно отдыхающим предоставляются возможности организации досуга посредством посещения парков культуры и отдыха, парков аттракционов, аквапарков, боулинга и бильярдных клубов, термальных комплексов.</w:t>
      </w:r>
    </w:p>
    <w:p>
      <w:pPr>
        <w:pStyle w:val="ConsPlusNormal"/>
        <w:ind w:firstLine="709"/>
        <w:jc w:val="both"/>
        <w:rPr>
          <w:rFonts w:ascii="Times New Roman" w:hAnsi="Times New Roman" w:cs="Times New Roman"/>
          <w:sz w:val="28"/>
          <w:szCs w:val="28"/>
        </w:rPr>
      </w:pPr>
      <w:r>
        <w:rPr>
          <w:rFonts w:cs="Times New Roman" w:ascii="Times New Roman" w:hAnsi="Times New Roman"/>
          <w:sz w:val="28"/>
          <w:szCs w:val="28"/>
        </w:rPr>
        <w:t>В настоящее время многие учреждения санаторно-курортного и туристского комплексов обладают качественной инфраструктурой для развития данного направления (конференц-залы, средства мультимедиа, звуковое оборудование и т.д.).</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В целях осуществления культурно-познавательного туризма в городе-курорте Железноводске  туристические компании реализовывали стратегию продвижения и популяризации туристического бренда города-курорта Железноводска по его туристическим маршрутам (</w:t>
      </w:r>
      <w:r>
        <w:rPr>
          <w:rFonts w:cs="Times New Roman" w:ascii="Times New Roman" w:hAnsi="Times New Roman"/>
          <w:bCs/>
          <w:sz w:val="28"/>
          <w:szCs w:val="28"/>
        </w:rPr>
        <w:t xml:space="preserve">вокруг горы Железная, на вершину горы Железная, на вершину горы Тупая, на вершину горы Бештау, вокруг горы Развалка, к гроту «Вечной  мерзлоты», </w:t>
      </w:r>
      <w:r>
        <w:rPr>
          <w:rFonts w:cs="Times New Roman" w:ascii="Times New Roman" w:hAnsi="Times New Roman"/>
          <w:sz w:val="28"/>
          <w:szCs w:val="28"/>
        </w:rPr>
        <w:t>Привокзальная площадь, гора Железная, Ванны Островского, Подворье Карповых, Лермонтовский сквер, Площадка у Лермонтовского источника, Старая площадка Железноводской группы, Осколок горы Железной, Верхняя площадка Каскадной лестницы, дегустация вин Кавказа (Клуб «Шато» в районе озера Капка). Все экскурсионные маршруты апробированы и имеют организационные и методические указания.</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Туристическими компаниями совместно с индивидуальными предпринимателями организованы автотуры по окрестностям и достопримечательностям города (Джипинг).</w:t>
      </w:r>
    </w:p>
    <w:p>
      <w:pPr>
        <w:pStyle w:val="Normal"/>
        <w:spacing w:lineRule="auto" w:line="240" w:before="0" w:after="0"/>
        <w:ind w:firstLine="709"/>
        <w:contextualSpacing/>
        <w:jc w:val="both"/>
        <w:rPr>
          <w:rFonts w:ascii="Times New Roman" w:hAnsi="Times New Roman" w:cs="Times New Roman"/>
          <w:bCs/>
          <w:sz w:val="28"/>
          <w:szCs w:val="28"/>
        </w:rPr>
      </w:pPr>
      <w:r>
        <w:rPr>
          <w:rFonts w:cs="Times New Roman" w:ascii="Times New Roman" w:hAnsi="Times New Roman"/>
          <w:sz w:val="28"/>
          <w:szCs w:val="28"/>
        </w:rPr>
        <w:t>По данным маркетологов, повышенный спрос наблюдался на санаторно-курортные и туристско-рекреационные услуги краткосрочного пребывания, туры выходного дня.</w:t>
      </w:r>
    </w:p>
    <w:p>
      <w:pPr>
        <w:pStyle w:val="Style210"/>
        <w:widowControl/>
        <w:spacing w:lineRule="auto" w:line="240"/>
        <w:ind w:firstLine="709"/>
        <w:rPr>
          <w:bCs/>
          <w:sz w:val="28"/>
          <w:szCs w:val="28"/>
        </w:rPr>
      </w:pPr>
      <w:r>
        <w:rPr>
          <w:bCs/>
          <w:sz w:val="28"/>
          <w:szCs w:val="28"/>
        </w:rPr>
        <w:t>С целью повышения информированности туристов и отдыхающих о потенциале санаторно-курортного и туристско-рекреационного комплекса города-курорта Железноводска Ставропольского края на официальном сайте Думы города-курорта Железноводска Ставропольского края и администрации города-курорта Железноводска Ставропольского края имеется раздел «Въездной туризм»,  где размещается информация об основных пешеходных маршрутах города-курорта Железноводска, краткая информация с адресом и контактными телефонами ГУК «Железноводский краеведческий музей», информация о гостиничном комплексе, о санаториях, кафе и ресторанах города-курорта Железноводска и ссылка, по которой можно пройти на  информационный сайт «Туристический информационный центр города-курорта Железноводска».</w:t>
      </w:r>
    </w:p>
    <w:p>
      <w:pPr>
        <w:pStyle w:val="Style210"/>
        <w:widowControl/>
        <w:spacing w:lineRule="auto" w:line="240"/>
        <w:ind w:firstLine="709"/>
        <w:rPr>
          <w:bCs/>
          <w:sz w:val="28"/>
          <w:szCs w:val="28"/>
        </w:rPr>
      </w:pPr>
      <w:r>
        <w:rPr>
          <w:bCs/>
          <w:sz w:val="28"/>
          <w:szCs w:val="28"/>
        </w:rPr>
        <w:t>В 2015 году начата работа по созданию</w:t>
      </w:r>
      <w:r>
        <w:rPr>
          <w:bCs/>
          <w:color w:val="000000"/>
          <w:sz w:val="28"/>
          <w:szCs w:val="28"/>
        </w:rPr>
        <w:t xml:space="preserve"> системы туристической навигации и установке информационных указателей (в едином российском и международном стиле) к туристским объектам и иным достопримечательностям на территории города-курорта. </w:t>
      </w:r>
      <w:r>
        <w:rPr>
          <w:bCs/>
          <w:sz w:val="28"/>
          <w:szCs w:val="28"/>
        </w:rPr>
        <w:t>Всего предусматривается установка свыше 100 указателей туристической навигации на территории Железноводска.</w:t>
      </w:r>
    </w:p>
    <w:p>
      <w:pPr>
        <w:pStyle w:val="ConsPlusTitle"/>
        <w:widowControl/>
        <w:ind w:firstLine="709"/>
        <w:jc w:val="both"/>
        <w:rPr>
          <w:b w:val="false"/>
          <w:b w:val="false"/>
          <w:sz w:val="28"/>
          <w:szCs w:val="28"/>
        </w:rPr>
      </w:pPr>
      <w:r>
        <w:rPr>
          <w:b w:val="false"/>
          <w:sz w:val="28"/>
          <w:szCs w:val="28"/>
        </w:rPr>
        <w:t xml:space="preserve">Позиционированию города-курорта Железноводска Ставропольского края, как территории благоприятной для туризма, и повышению его привлекательности способствуют и событийные мероприятия, организуемые на территории края и за его пределами. </w:t>
      </w:r>
    </w:p>
    <w:p>
      <w:pPr>
        <w:pStyle w:val="ConsPlusTitle"/>
        <w:widowControl/>
        <w:ind w:firstLine="709"/>
        <w:jc w:val="both"/>
        <w:rPr>
          <w:b w:val="false"/>
          <w:b w:val="false"/>
          <w:sz w:val="28"/>
          <w:szCs w:val="28"/>
        </w:rPr>
      </w:pPr>
      <w:r>
        <w:rPr>
          <w:b w:val="false"/>
          <w:sz w:val="28"/>
          <w:szCs w:val="28"/>
        </w:rPr>
        <w:t xml:space="preserve">Ежегодно   санаторно-курортные учреждения города принимают участие в международных выставках, таких как: международная туристическая выставка «Интурмаркет» (г. Москва), Азербайджанская Международная Выставка «Туризм и Путешествие» </w:t>
      </w:r>
      <w:r>
        <w:rPr>
          <w:b w:val="false"/>
          <w:sz w:val="28"/>
          <w:szCs w:val="28"/>
          <w:lang w:val="en-US"/>
        </w:rPr>
        <w:t>AITF</w:t>
      </w:r>
      <w:r>
        <w:rPr>
          <w:b w:val="false"/>
          <w:sz w:val="28"/>
          <w:szCs w:val="28"/>
        </w:rPr>
        <w:t xml:space="preserve"> (г. Баку, Азербайджанская Республика), Московская международная выставка </w:t>
      </w:r>
      <w:r>
        <w:rPr>
          <w:b w:val="false"/>
          <w:sz w:val="28"/>
          <w:szCs w:val="28"/>
          <w:lang w:val="en-US"/>
        </w:rPr>
        <w:t>MITT</w:t>
      </w:r>
      <w:r>
        <w:rPr>
          <w:b w:val="false"/>
          <w:sz w:val="28"/>
          <w:szCs w:val="28"/>
        </w:rPr>
        <w:t xml:space="preserve"> «Путешествия и туризм», (г. Москва), </w:t>
      </w:r>
      <w:r>
        <w:rPr>
          <w:b w:val="false"/>
          <w:spacing w:val="0"/>
          <w:sz w:val="28"/>
          <w:szCs w:val="28"/>
        </w:rPr>
        <w:t xml:space="preserve">Международная туристская выставка «Отдых / Leisure» (г. Москва), </w:t>
      </w:r>
      <w:r>
        <w:rPr>
          <w:b w:val="false"/>
          <w:sz w:val="28"/>
          <w:szCs w:val="28"/>
        </w:rPr>
        <w:t>Международная туристическая выставка «EXPOTRAVEL» (г. Екатеринбург).</w:t>
      </w:r>
    </w:p>
    <w:p>
      <w:pPr>
        <w:pStyle w:val="ConsPlusTitle"/>
        <w:widowControl/>
        <w:ind w:firstLine="709"/>
        <w:jc w:val="both"/>
        <w:rPr>
          <w:b w:val="false"/>
          <w:b w:val="false"/>
          <w:bCs w:val="false"/>
          <w:sz w:val="28"/>
          <w:szCs w:val="28"/>
        </w:rPr>
      </w:pPr>
      <w:r>
        <w:rPr>
          <w:b w:val="false"/>
          <w:bCs w:val="false"/>
          <w:sz w:val="28"/>
          <w:szCs w:val="28"/>
        </w:rPr>
      </w:r>
    </w:p>
    <w:p>
      <w:pPr>
        <w:pStyle w:val="ConsPlusTitle"/>
        <w:widowControl/>
        <w:ind w:firstLine="709"/>
        <w:jc w:val="both"/>
        <w:rPr>
          <w:b w:val="false"/>
          <w:b w:val="false"/>
          <w:bCs w:val="false"/>
          <w:sz w:val="28"/>
          <w:szCs w:val="28"/>
        </w:rPr>
      </w:pPr>
      <w:r>
        <w:rPr>
          <w:b w:val="false"/>
          <w:bCs w:val="false"/>
          <w:sz w:val="28"/>
          <w:szCs w:val="28"/>
        </w:rPr>
      </w:r>
    </w:p>
    <w:p>
      <w:pPr>
        <w:pStyle w:val="3"/>
        <w:rPr>
          <w:b w:val="false"/>
          <w:b w:val="false"/>
        </w:rPr>
      </w:pPr>
      <w:bookmarkStart w:id="24" w:name="_Toc11337756"/>
      <w:bookmarkEnd w:id="24"/>
      <w:r>
        <w:rPr>
          <w:b w:val="false"/>
        </w:rPr>
        <w:t>3.3.1 Повышение качества и конкурентоспособности туристского продукта</w:t>
      </w:r>
    </w:p>
    <w:p>
      <w:pPr>
        <w:pStyle w:val="14"/>
        <w:spacing w:before="0" w:after="0"/>
        <w:rPr>
          <w:sz w:val="28"/>
          <w:szCs w:val="28"/>
        </w:rPr>
      </w:pPr>
      <w:r>
        <w:rPr>
          <w:sz w:val="28"/>
          <w:szCs w:val="28"/>
        </w:rPr>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Город-курорт Железноводск имеет значительный потенциал для роста внутреннего и въездного туризма.  Для развития туризма в городе Железноводске имеются природные рекреационные, исторические, культурные, паломнические туристические объекты.  </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Однако, туристский продукт испытывает сильнейшую конкуренцию со стороны предложений других городов – курортов российского и международного рынка. </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Приоритетные направления по повышению качества и конкурентоспособности туристского продукта, включают:</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применение современных маркетинговых инструментов для формирования предложения туристских услуг в соответствии с потребностями реальной и целевой аудитории покупателей</w:t>
      </w:r>
    </w:p>
    <w:p>
      <w:pPr>
        <w:pStyle w:val="Default"/>
        <w:ind w:firstLine="709"/>
        <w:jc w:val="both"/>
        <w:rPr>
          <w:rFonts w:ascii="Times New Roman" w:hAnsi="Times New Roman" w:cs="Times New Roman"/>
          <w:sz w:val="28"/>
          <w:szCs w:val="28"/>
        </w:rPr>
      </w:pPr>
      <w:r>
        <w:rPr>
          <w:rFonts w:cs="Times New Roman" w:ascii="Times New Roman" w:hAnsi="Times New Roman"/>
          <w:sz w:val="28"/>
          <w:szCs w:val="28"/>
        </w:rPr>
        <w:t>внедрение новых лечебно-оздоровительных технологий на основе применения бальнеологических факторов;</w:t>
      </w:r>
    </w:p>
    <w:p>
      <w:pPr>
        <w:pStyle w:val="Default"/>
        <w:ind w:firstLine="709"/>
        <w:jc w:val="both"/>
        <w:rPr>
          <w:rFonts w:ascii="Times New Roman" w:hAnsi="Times New Roman" w:cs="Times New Roman"/>
          <w:sz w:val="28"/>
          <w:szCs w:val="28"/>
        </w:rPr>
      </w:pPr>
      <w:r>
        <w:rPr>
          <w:rFonts w:cs="Times New Roman" w:ascii="Times New Roman" w:hAnsi="Times New Roman"/>
          <w:sz w:val="28"/>
          <w:szCs w:val="28"/>
        </w:rPr>
        <w:t>реконструкция и модернизация объектов санаторно-курортного и гостиничного комплекса всех форм собственности, обеспечивающих повышение качества услуг по профилактике, оздоровлению, лечению и отдыху;</w:t>
      </w:r>
    </w:p>
    <w:p>
      <w:pPr>
        <w:pStyle w:val="Default"/>
        <w:ind w:firstLine="709"/>
        <w:jc w:val="both"/>
        <w:rPr>
          <w:rFonts w:ascii="Times New Roman" w:hAnsi="Times New Roman" w:cs="Times New Roman"/>
          <w:sz w:val="28"/>
          <w:szCs w:val="28"/>
        </w:rPr>
      </w:pPr>
      <w:r>
        <w:rPr>
          <w:rFonts w:cs="Times New Roman" w:ascii="Times New Roman" w:hAnsi="Times New Roman"/>
          <w:sz w:val="28"/>
          <w:szCs w:val="28"/>
        </w:rPr>
        <w:t>внедрение классификации объектов туристской индустрии, включающих санаторно-курортные учреждения, гостиницы и иные средства размещения и сертификации услуг;</w:t>
      </w:r>
    </w:p>
    <w:p>
      <w:pPr>
        <w:pStyle w:val="Default"/>
        <w:ind w:firstLine="709"/>
        <w:jc w:val="both"/>
        <w:rPr>
          <w:rFonts w:ascii="Times New Roman" w:hAnsi="Times New Roman" w:cs="Times New Roman"/>
          <w:sz w:val="28"/>
          <w:szCs w:val="28"/>
        </w:rPr>
      </w:pPr>
      <w:r>
        <w:rPr>
          <w:rFonts w:cs="Times New Roman" w:ascii="Times New Roman" w:hAnsi="Times New Roman"/>
          <w:sz w:val="28"/>
          <w:szCs w:val="28"/>
        </w:rPr>
        <w:t>развитие культурно-досуговой сферы, объектов туристической инфраструктуры, расширение сети туристических маршрутов;</w:t>
      </w:r>
    </w:p>
    <w:p>
      <w:pPr>
        <w:pStyle w:val="Default"/>
        <w:ind w:firstLine="709"/>
        <w:jc w:val="both"/>
        <w:rPr>
          <w:rFonts w:ascii="Times New Roman" w:hAnsi="Times New Roman" w:cs="Times New Roman"/>
          <w:sz w:val="28"/>
          <w:szCs w:val="28"/>
        </w:rPr>
      </w:pPr>
      <w:r>
        <w:rPr>
          <w:rFonts w:cs="Times New Roman" w:ascii="Times New Roman" w:hAnsi="Times New Roman"/>
          <w:sz w:val="28"/>
          <w:szCs w:val="28"/>
        </w:rPr>
        <w:t>создание комфортной туристской среды, в том числе путем внедрения системы туристской навигации, установки информационных указателей, карт местности, открытия информационного центра;</w:t>
      </w:r>
    </w:p>
    <w:p>
      <w:pPr>
        <w:pStyle w:val="Default"/>
        <w:ind w:firstLine="709"/>
        <w:jc w:val="both"/>
        <w:rPr>
          <w:rFonts w:ascii="Times New Roman" w:hAnsi="Times New Roman" w:cs="Times New Roman"/>
          <w:sz w:val="28"/>
          <w:szCs w:val="28"/>
        </w:rPr>
      </w:pPr>
      <w:r>
        <w:rPr>
          <w:rFonts w:cs="Times New Roman" w:ascii="Times New Roman" w:hAnsi="Times New Roman"/>
          <w:sz w:val="28"/>
          <w:szCs w:val="28"/>
        </w:rPr>
        <w:t>развитие кадрового потенциала туристско-рекреационного комплекса города.</w:t>
      </w:r>
    </w:p>
    <w:p>
      <w:pPr>
        <w:pStyle w:val="Default"/>
        <w:ind w:firstLine="709"/>
        <w:jc w:val="both"/>
        <w:rPr>
          <w:rFonts w:ascii="Times New Roman" w:hAnsi="Times New Roman" w:cs="Times New Roman"/>
          <w:sz w:val="28"/>
          <w:szCs w:val="28"/>
        </w:rPr>
      </w:pPr>
      <w:r>
        <w:rPr>
          <w:rFonts w:cs="Times New Roman" w:ascii="Times New Roman" w:hAnsi="Times New Roman"/>
          <w:sz w:val="28"/>
          <w:szCs w:val="28"/>
        </w:rPr>
      </w:r>
    </w:p>
    <w:p>
      <w:pPr>
        <w:pStyle w:val="Default"/>
        <w:ind w:firstLine="709"/>
        <w:jc w:val="both"/>
        <w:rPr>
          <w:rFonts w:ascii="Times New Roman" w:hAnsi="Times New Roman" w:cs="Times New Roman"/>
          <w:b/>
          <w:b/>
          <w:sz w:val="28"/>
          <w:szCs w:val="28"/>
        </w:rPr>
      </w:pPr>
      <w:r>
        <w:rPr>
          <w:rFonts w:cs="Times New Roman" w:ascii="Times New Roman" w:hAnsi="Times New Roman"/>
          <w:b/>
          <w:sz w:val="28"/>
          <w:szCs w:val="28"/>
        </w:rPr>
        <w:t>Ожидаемые результаты:</w:t>
      </w:r>
    </w:p>
    <w:p>
      <w:pPr>
        <w:pStyle w:val="Default"/>
        <w:ind w:firstLine="709"/>
        <w:jc w:val="both"/>
        <w:rPr>
          <w:rFonts w:ascii="Times New Roman" w:hAnsi="Times New Roman" w:cs="Times New Roman"/>
          <w:sz w:val="28"/>
          <w:szCs w:val="28"/>
        </w:rPr>
      </w:pPr>
      <w:r>
        <w:rPr>
          <w:rFonts w:cs="Times New Roman" w:ascii="Times New Roman" w:hAnsi="Times New Roman"/>
          <w:sz w:val="28"/>
          <w:szCs w:val="28"/>
        </w:rPr>
        <w:t>рост туристского потока в город, в том числе иностранных туристов, увеличение доходов туристско-рекреационного комплекса;</w:t>
      </w:r>
    </w:p>
    <w:p>
      <w:pPr>
        <w:pStyle w:val="Default"/>
        <w:ind w:firstLine="709"/>
        <w:jc w:val="both"/>
        <w:rPr>
          <w:rFonts w:ascii="Times New Roman" w:hAnsi="Times New Roman" w:cs="Times New Roman"/>
          <w:sz w:val="28"/>
          <w:szCs w:val="28"/>
        </w:rPr>
      </w:pPr>
      <w:r>
        <w:rPr>
          <w:rFonts w:cs="Times New Roman" w:ascii="Times New Roman" w:hAnsi="Times New Roman"/>
          <w:sz w:val="28"/>
          <w:szCs w:val="28"/>
        </w:rPr>
        <w:t>создание новых рабочих мест;</w:t>
      </w:r>
    </w:p>
    <w:p>
      <w:pPr>
        <w:pStyle w:val="Default"/>
        <w:ind w:firstLine="709"/>
        <w:jc w:val="both"/>
        <w:rPr>
          <w:rFonts w:ascii="Times New Roman" w:hAnsi="Times New Roman" w:cs="Times New Roman"/>
          <w:sz w:val="28"/>
          <w:szCs w:val="28"/>
        </w:rPr>
      </w:pPr>
      <w:r>
        <w:rPr>
          <w:rFonts w:cs="Times New Roman" w:ascii="Times New Roman" w:hAnsi="Times New Roman"/>
          <w:sz w:val="28"/>
          <w:szCs w:val="28"/>
        </w:rPr>
        <w:t>увеличение объема платных услуг.</w:t>
      </w:r>
    </w:p>
    <w:p>
      <w:pPr>
        <w:pStyle w:val="Default"/>
        <w:ind w:firstLine="709"/>
        <w:jc w:val="both"/>
        <w:rPr>
          <w:rFonts w:ascii="Times New Roman" w:hAnsi="Times New Roman" w:cs="Times New Roman"/>
          <w:sz w:val="28"/>
          <w:szCs w:val="28"/>
        </w:rPr>
      </w:pPr>
      <w:r>
        <w:rPr>
          <w:rFonts w:cs="Times New Roman" w:ascii="Times New Roman" w:hAnsi="Times New Roman"/>
          <w:sz w:val="28"/>
          <w:szCs w:val="28"/>
        </w:rPr>
      </w:r>
    </w:p>
    <w:p>
      <w:pPr>
        <w:pStyle w:val="Default"/>
        <w:ind w:firstLine="709"/>
        <w:jc w:val="both"/>
        <w:rPr>
          <w:rFonts w:ascii="Times New Roman" w:hAnsi="Times New Roman" w:cs="Times New Roman"/>
          <w:sz w:val="28"/>
          <w:szCs w:val="28"/>
        </w:rPr>
      </w:pPr>
      <w:r>
        <w:rPr>
          <w:rFonts w:cs="Times New Roman" w:ascii="Times New Roman" w:hAnsi="Times New Roman"/>
          <w:sz w:val="28"/>
          <w:szCs w:val="28"/>
        </w:rPr>
      </w:r>
    </w:p>
    <w:p>
      <w:pPr>
        <w:pStyle w:val="3"/>
        <w:rPr>
          <w:b w:val="false"/>
          <w:b w:val="false"/>
        </w:rPr>
      </w:pPr>
      <w:bookmarkStart w:id="25" w:name="_Toc11337757"/>
      <w:bookmarkEnd w:id="25"/>
      <w:r>
        <w:rPr>
          <w:b w:val="false"/>
        </w:rPr>
        <w:t>3.3.2. Продвижение бренда города-курорта Железноводска</w:t>
      </w:r>
    </w:p>
    <w:p>
      <w:pPr>
        <w:pStyle w:val="3"/>
        <w:rPr>
          <w:b w:val="false"/>
          <w:b w:val="false"/>
        </w:rPr>
      </w:pPr>
      <w:bookmarkStart w:id="26" w:name="_Toc11337758"/>
      <w:r>
        <w:rPr>
          <w:b w:val="false"/>
        </w:rPr>
        <w:t>в сфере курорта и туризма</w:t>
      </w:r>
      <w:bookmarkEnd w:id="26"/>
      <w:r>
        <w:rPr>
          <w:b w:val="false"/>
        </w:rPr>
        <w:t xml:space="preserve"> </w:t>
      </w:r>
    </w:p>
    <w:p>
      <w:pPr>
        <w:pStyle w:val="Default"/>
        <w:ind w:firstLine="709"/>
        <w:jc w:val="center"/>
        <w:rPr>
          <w:rFonts w:ascii="Times New Roman" w:hAnsi="Times New Roman" w:cs="Times New Roman"/>
          <w:b/>
          <w:b/>
        </w:rPr>
      </w:pPr>
      <w:r>
        <w:rPr>
          <w:rFonts w:cs="Times New Roman" w:ascii="Times New Roman" w:hAnsi="Times New Roman"/>
          <w:b/>
        </w:rPr>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В современных российских условиях важную роль начинают играть соревнующиеся между собой города. Одним из ключевых факторов успеха в этом противостоянии является наличие сильного бренда и имиджа, поскольку от них напрямую зависит инвестиционная привлекательность города, его конкурентоспособность среди других подобных городов.</w:t>
      </w:r>
    </w:p>
    <w:p>
      <w:pPr>
        <w:pStyle w:val="NormalWeb"/>
        <w:widowControl w:val="false"/>
        <w:spacing w:before="0" w:after="0"/>
        <w:ind w:firstLine="709"/>
        <w:jc w:val="both"/>
        <w:rPr>
          <w:sz w:val="28"/>
          <w:szCs w:val="28"/>
        </w:rPr>
      </w:pPr>
      <w:r>
        <w:rPr>
          <w:sz w:val="28"/>
          <w:szCs w:val="28"/>
        </w:rPr>
        <w:t>Как известно, имидж – это образ, целенаправленно создаваемый для того, чтобы произвести наиболее благоприятное впечатление в той или иной сфере, при тех или иных обстоятельствах. Следовательно, имидж города – это мнение, представление о нем потребителей, впечатление, которое он производит. Тогда в свою очередь, зная то, какое существует в общественном мнении суждение о городе-курорте, можно предпринимать шаги по изменению его имиджа.</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Туристский бренд относится к числу важнейших инструментов создания осознаваемых потребителями различий между предлагаемыми туристскими услугами. Бренд территории, предлагающей уникальные турпродукты, опирающиеся на природно-рекреационные, геополитические ресурсы, кадровый потенциал, культурные традиции – это репутация, набор ожиданий и ассоциаций, связываемых потребителями с торговой маркой данной территории. </w:t>
      </w:r>
    </w:p>
    <w:p>
      <w:pPr>
        <w:pStyle w:val="Style22"/>
        <w:ind w:firstLine="709"/>
        <w:rPr>
          <w:sz w:val="28"/>
          <w:szCs w:val="28"/>
        </w:rPr>
      </w:pPr>
      <w:r>
        <w:rPr>
          <w:sz w:val="28"/>
          <w:szCs w:val="28"/>
        </w:rPr>
        <w:t>Продвижение бренда города-курорта Железноводска в сфере курорта и туризма нацелено на увеличение привлекательности Железноводска, как комфортного и безопасного курорта для российских и иностранных туристов.</w:t>
      </w:r>
    </w:p>
    <w:p>
      <w:pPr>
        <w:pStyle w:val="Style22"/>
        <w:ind w:firstLine="709"/>
        <w:rPr>
          <w:sz w:val="28"/>
          <w:szCs w:val="28"/>
        </w:rPr>
      </w:pPr>
      <w:r>
        <w:rPr>
          <w:sz w:val="28"/>
          <w:szCs w:val="28"/>
        </w:rPr>
        <w:t>Основными задачами бренда города-курорта Железноводска   являются: обеспечение узнаваемости города, идентификация уникальности туристских продуктов курорта, имеющегося природно-рекреационного и исторического потенциала, содействие формированию позитивного имиджа города в регионе, внутри страны и за рубежом.</w:t>
      </w:r>
    </w:p>
    <w:p>
      <w:pPr>
        <w:pStyle w:val="ConsPlusTitle"/>
        <w:widowControl/>
        <w:ind w:firstLine="709"/>
        <w:jc w:val="both"/>
        <w:rPr>
          <w:b w:val="false"/>
          <w:b w:val="false"/>
          <w:sz w:val="28"/>
          <w:szCs w:val="28"/>
        </w:rPr>
      </w:pPr>
      <w:r>
        <w:rPr>
          <w:b w:val="false"/>
          <w:sz w:val="28"/>
          <w:szCs w:val="28"/>
        </w:rPr>
        <w:t xml:space="preserve">В целях создания единого образа и отражения характерных особенностей города-курорта Железноводска Ставропольского края - природных, исторических, социально-культурных, а также национальных традиций, событий, создающих положительное восприятие о городе-курорте Железноводске не только со стороны жителей города-курорта Железноводска, но и потенциальных посетителей, туристов и инвесторов,  разработано и утверждено постановлением администрации города-курорта Железноводска Ставропольского края от 22 декабря 2015 г. № 1063 графическое изображение бренда города-курорта Железноводска Ставропольского края, также в Федеральной службе по интеллектуальной собственности 18 сентября 2017 г. зарегистрирован товарный знак «Курортная кружка» (Бюветница) (рис. 17). </w:t>
      </w:r>
    </w:p>
    <w:p>
      <w:pPr>
        <w:pStyle w:val="ConsPlusTitle"/>
        <w:widowControl/>
        <w:ind w:firstLine="709"/>
        <w:jc w:val="center"/>
        <w:rPr>
          <w:b w:val="false"/>
          <w:b w:val="false"/>
          <w:sz w:val="28"/>
          <w:szCs w:val="28"/>
        </w:rPr>
      </w:pPr>
      <w:r>
        <w:rPr/>
        <w:drawing>
          <wp:inline distT="0" distB="0" distL="0" distR="0">
            <wp:extent cx="5715000" cy="3800475"/>
            <wp:effectExtent l="0" t="0" r="0" b="0"/>
            <wp:docPr id="17" name="Рисунок 1" descr="Logo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 descr="Logo - копия"/>
                    <pic:cNvPicPr>
                      <a:picLocks noChangeAspect="1" noChangeArrowheads="1"/>
                    </pic:cNvPicPr>
                  </pic:nvPicPr>
                  <pic:blipFill>
                    <a:blip r:embed="rId21"/>
                    <a:stretch>
                      <a:fillRect/>
                    </a:stretch>
                  </pic:blipFill>
                  <pic:spPr bwMode="auto">
                    <a:xfrm>
                      <a:off x="0" y="0"/>
                      <a:ext cx="5715000" cy="3800475"/>
                    </a:xfrm>
                    <a:prstGeom prst="rect">
                      <a:avLst/>
                    </a:prstGeom>
                    <a:noFill/>
                    <a:ln w="9525">
                      <a:noFill/>
                      <a:miter lim="800000"/>
                      <a:headEnd/>
                      <a:tailEnd/>
                    </a:ln>
                  </pic:spPr>
                </pic:pic>
              </a:graphicData>
            </a:graphic>
          </wp:inline>
        </w:drawing>
      </w:r>
    </w:p>
    <w:p>
      <w:pPr>
        <w:pStyle w:val="ConsPlusTitle"/>
        <w:widowControl/>
        <w:ind w:firstLine="709"/>
        <w:jc w:val="center"/>
        <w:rPr>
          <w:szCs w:val="28"/>
        </w:rPr>
      </w:pPr>
      <w:r>
        <w:rPr>
          <w:szCs w:val="28"/>
        </w:rPr>
        <w:t>Рис. 17 – Логотип города-курорта Железноводска «Курортная кружка» (Бюветница)</w:t>
      </w:r>
    </w:p>
    <w:p>
      <w:pPr>
        <w:pStyle w:val="ConsPlusTitle"/>
        <w:widowControl/>
        <w:ind w:firstLine="709"/>
        <w:jc w:val="center"/>
        <w:rPr>
          <w:szCs w:val="28"/>
        </w:rPr>
      </w:pPr>
      <w:r>
        <w:rPr>
          <w:szCs w:val="28"/>
        </w:rPr>
      </w:r>
    </w:p>
    <w:p>
      <w:pPr>
        <w:pStyle w:val="ConsPlusTitle"/>
        <w:widowControl/>
        <w:ind w:firstLine="709"/>
        <w:jc w:val="both"/>
        <w:rPr>
          <w:b w:val="false"/>
          <w:b w:val="false"/>
          <w:sz w:val="28"/>
          <w:szCs w:val="28"/>
        </w:rPr>
      </w:pPr>
      <w:r>
        <w:rPr>
          <w:b w:val="false"/>
          <w:sz w:val="28"/>
          <w:szCs w:val="28"/>
        </w:rPr>
        <w:t>Основными стратегическими направлениями по продвижению бренда города-курорта Железноводска в сфере курорта и туризма должны стать:</w:t>
      </w:r>
    </w:p>
    <w:p>
      <w:pPr>
        <w:pStyle w:val="ConsPlusTitle"/>
        <w:widowControl/>
        <w:numPr>
          <w:ilvl w:val="0"/>
          <w:numId w:val="8"/>
        </w:numPr>
        <w:ind w:left="720" w:hanging="436"/>
        <w:jc w:val="both"/>
        <w:rPr>
          <w:b w:val="false"/>
          <w:b w:val="false"/>
          <w:sz w:val="28"/>
          <w:szCs w:val="28"/>
        </w:rPr>
      </w:pPr>
      <w:r>
        <w:rPr>
          <w:b w:val="false"/>
          <w:sz w:val="28"/>
          <w:szCs w:val="28"/>
        </w:rPr>
        <w:t>совершенствование туристского продукта, способствующего узнаваемости города-курорта Железноводска, отражающего его неповторимость и преимущества;</w:t>
      </w:r>
    </w:p>
    <w:p>
      <w:pPr>
        <w:pStyle w:val="ConsPlusTitle"/>
        <w:widowControl/>
        <w:numPr>
          <w:ilvl w:val="0"/>
          <w:numId w:val="8"/>
        </w:numPr>
        <w:ind w:left="720" w:hanging="436"/>
        <w:jc w:val="both"/>
        <w:rPr>
          <w:b w:val="false"/>
          <w:b w:val="false"/>
          <w:sz w:val="28"/>
          <w:szCs w:val="28"/>
        </w:rPr>
      </w:pPr>
      <w:r>
        <w:rPr>
          <w:b w:val="false"/>
          <w:sz w:val="28"/>
          <w:szCs w:val="28"/>
        </w:rPr>
        <w:t>развитие производства товаров для туристов, народных художественных промыслов, народных фольклорных коллективов;</w:t>
      </w:r>
    </w:p>
    <w:p>
      <w:pPr>
        <w:pStyle w:val="ConsPlusTitle"/>
        <w:widowControl/>
        <w:numPr>
          <w:ilvl w:val="0"/>
          <w:numId w:val="8"/>
        </w:numPr>
        <w:ind w:left="720" w:hanging="436"/>
        <w:jc w:val="both"/>
        <w:rPr>
          <w:b w:val="false"/>
          <w:b w:val="false"/>
          <w:sz w:val="28"/>
          <w:szCs w:val="28"/>
        </w:rPr>
      </w:pPr>
      <w:r>
        <w:rPr>
          <w:b w:val="false"/>
          <w:sz w:val="28"/>
          <w:szCs w:val="28"/>
        </w:rPr>
        <w:t>проведение издательско-информационной, рекламной деятельности, направленной на формирование имиджа города-курорта;</w:t>
      </w:r>
    </w:p>
    <w:p>
      <w:pPr>
        <w:pStyle w:val="ConsPlusTitle"/>
        <w:widowControl/>
        <w:numPr>
          <w:ilvl w:val="0"/>
          <w:numId w:val="8"/>
        </w:numPr>
        <w:ind w:left="720" w:hanging="436"/>
        <w:jc w:val="both"/>
        <w:rPr>
          <w:b w:val="false"/>
          <w:b w:val="false"/>
          <w:bCs w:val="false"/>
          <w:sz w:val="28"/>
          <w:szCs w:val="28"/>
        </w:rPr>
      </w:pPr>
      <w:r>
        <w:rPr>
          <w:b w:val="false"/>
          <w:sz w:val="28"/>
          <w:szCs w:val="28"/>
        </w:rPr>
        <w:t>участие в выставочно-ярмарочных мероприятиях различного уровня с целью пропаганды туристского потенциала города.</w:t>
      </w:r>
    </w:p>
    <w:p>
      <w:pPr>
        <w:pStyle w:val="ConsPlusTitle"/>
        <w:widowControl/>
        <w:ind w:left="284" w:hanging="0"/>
        <w:jc w:val="both"/>
        <w:rPr>
          <w:b w:val="false"/>
          <w:b w:val="false"/>
          <w:bCs w:val="false"/>
          <w:sz w:val="28"/>
          <w:szCs w:val="28"/>
        </w:rPr>
      </w:pPr>
      <w:r>
        <w:rPr>
          <w:b w:val="false"/>
          <w:bCs w:val="false"/>
          <w:sz w:val="28"/>
          <w:szCs w:val="28"/>
        </w:rPr>
      </w:r>
    </w:p>
    <w:p>
      <w:pPr>
        <w:pStyle w:val="ConsPlusTitle"/>
        <w:widowControl/>
        <w:ind w:left="284" w:hanging="0"/>
        <w:jc w:val="both"/>
        <w:rPr>
          <w:sz w:val="28"/>
          <w:szCs w:val="28"/>
        </w:rPr>
      </w:pPr>
      <w:r>
        <w:rPr>
          <w:bCs w:val="false"/>
          <w:sz w:val="28"/>
          <w:szCs w:val="28"/>
        </w:rPr>
        <w:t>Ожидаемые результаты:</w:t>
      </w:r>
    </w:p>
    <w:p>
      <w:pPr>
        <w:pStyle w:val="Style22"/>
        <w:ind w:firstLine="709"/>
        <w:rPr>
          <w:sz w:val="28"/>
          <w:szCs w:val="28"/>
        </w:rPr>
      </w:pPr>
      <w:r>
        <w:rPr>
          <w:sz w:val="28"/>
          <w:szCs w:val="28"/>
        </w:rPr>
        <w:t>формирование позитивного имиджа города-курорта Железноводска в Ставропольском крае, внутри страны и за рубежом как территории благоприятной для туризма;</w:t>
      </w:r>
    </w:p>
    <w:p>
      <w:pPr>
        <w:pStyle w:val="Style22"/>
        <w:ind w:left="720" w:hanging="0"/>
        <w:rPr>
          <w:sz w:val="28"/>
          <w:szCs w:val="28"/>
        </w:rPr>
      </w:pPr>
      <w:r>
        <w:rPr>
          <w:sz w:val="28"/>
          <w:szCs w:val="28"/>
        </w:rPr>
        <w:t>рост инвестиций в туристско-рекреационную сферу города;</w:t>
      </w:r>
    </w:p>
    <w:p>
      <w:pPr>
        <w:pStyle w:val="Style22"/>
        <w:ind w:left="720" w:hanging="0"/>
        <w:rPr>
          <w:sz w:val="28"/>
          <w:szCs w:val="28"/>
        </w:rPr>
      </w:pPr>
      <w:r>
        <w:rPr>
          <w:sz w:val="28"/>
          <w:szCs w:val="28"/>
        </w:rPr>
        <w:t>рост числа отдыхающих и туристов на курорте.</w:t>
      </w:r>
    </w:p>
    <w:p>
      <w:pPr>
        <w:pStyle w:val="Style22"/>
        <w:ind w:firstLine="720"/>
        <w:rPr>
          <w:sz w:val="28"/>
          <w:szCs w:val="28"/>
        </w:rPr>
      </w:pPr>
      <w:r>
        <w:rPr>
          <w:sz w:val="28"/>
          <w:szCs w:val="28"/>
        </w:rPr>
      </w:r>
    </w:p>
    <w:p>
      <w:pPr>
        <w:pStyle w:val="Style22"/>
        <w:ind w:firstLine="720"/>
        <w:rPr>
          <w:sz w:val="28"/>
          <w:szCs w:val="28"/>
        </w:rPr>
      </w:pPr>
      <w:r>
        <w:rPr>
          <w:sz w:val="28"/>
          <w:szCs w:val="28"/>
        </w:rPr>
      </w:r>
    </w:p>
    <w:p>
      <w:pPr>
        <w:pStyle w:val="Style22"/>
        <w:ind w:firstLine="720"/>
        <w:rPr>
          <w:sz w:val="28"/>
          <w:szCs w:val="28"/>
        </w:rPr>
      </w:pPr>
      <w:r>
        <w:rPr>
          <w:sz w:val="28"/>
          <w:szCs w:val="28"/>
        </w:rPr>
      </w:r>
    </w:p>
    <w:p>
      <w:pPr>
        <w:pStyle w:val="3"/>
        <w:rPr>
          <w:b w:val="false"/>
          <w:b w:val="false"/>
        </w:rPr>
      </w:pPr>
      <w:bookmarkStart w:id="27" w:name="_Toc11337759"/>
      <w:r>
        <w:rPr>
          <w:b w:val="false"/>
        </w:rPr>
        <w:t>3.3.3. Развитие санаторно-курортного комплекса в рамках осуществления масштабных инфраструктурных проектов</w:t>
      </w:r>
      <w:bookmarkEnd w:id="27"/>
      <w:r>
        <w:rPr>
          <w:b w:val="false"/>
        </w:rPr>
        <w:t xml:space="preserve"> </w:t>
      </w:r>
    </w:p>
    <w:p>
      <w:pPr>
        <w:pStyle w:val="32"/>
        <w:spacing w:before="0" w:after="0"/>
        <w:rPr>
          <w:lang w:eastAsia="zh-CN"/>
        </w:rPr>
      </w:pPr>
      <w:r>
        <w:rPr>
          <w:lang w:eastAsia="zh-CN"/>
        </w:rPr>
      </w:r>
    </w:p>
    <w:p>
      <w:pPr>
        <w:pStyle w:val="Style22"/>
        <w:ind w:firstLine="720"/>
        <w:jc w:val="center"/>
        <w:rPr>
          <w:b/>
          <w:b/>
          <w:i/>
          <w:i/>
          <w:sz w:val="28"/>
          <w:szCs w:val="28"/>
        </w:rPr>
      </w:pPr>
      <w:r>
        <w:rPr>
          <w:b/>
          <w:i/>
          <w:sz w:val="28"/>
          <w:szCs w:val="28"/>
        </w:rPr>
        <w:t>Комплексное благоустройство общественной территории «Нижняя каскадная лестница» (Восточный склон горы Железной)</w:t>
      </w:r>
    </w:p>
    <w:p>
      <w:pPr>
        <w:pStyle w:val="Style22"/>
        <w:ind w:firstLine="720"/>
        <w:jc w:val="center"/>
        <w:rPr>
          <w:b/>
          <w:b/>
          <w:i/>
          <w:i/>
          <w:sz w:val="28"/>
          <w:szCs w:val="28"/>
        </w:rPr>
      </w:pPr>
      <w:r>
        <w:rPr>
          <w:b/>
          <w:i/>
          <w:sz w:val="28"/>
          <w:szCs w:val="28"/>
        </w:rPr>
      </w:r>
    </w:p>
    <w:p>
      <w:pPr>
        <w:pStyle w:val="Style22"/>
        <w:ind w:firstLine="720"/>
        <w:rPr>
          <w:sz w:val="28"/>
          <w:szCs w:val="28"/>
        </w:rPr>
      </w:pPr>
      <w:r>
        <w:rPr>
          <w:sz w:val="28"/>
          <w:szCs w:val="28"/>
        </w:rPr>
        <w:t>Основная идея проекта – воплощение главной идеи генерального плана 1960-х годов по созданию самого крупного курортно- туристического парка Северного Кавказа. Объединённый ландшафтный эко-парк, полный культурно-значимых объектов и достопримечательных мест, включит в себя нынешний Курортный парк, зону отдыха, расположенную в районе декоративного курортного озера в районе санатория «30 лет Победы», зону отдыха, расположенную у озера в районе санатория «Минеральные Воды» и Терского конного завода, планируемый Велнесс-парк и территорию туристско-рекреационного парка. Все эти зоны объединит восстановленный терренкур.</w:t>
      </w:r>
    </w:p>
    <w:p>
      <w:pPr>
        <w:pStyle w:val="Style22"/>
        <w:ind w:firstLine="720"/>
        <w:rPr>
          <w:sz w:val="28"/>
          <w:szCs w:val="28"/>
        </w:rPr>
      </w:pPr>
      <w:r>
        <w:rPr>
          <w:sz w:val="28"/>
          <w:szCs w:val="28"/>
        </w:rPr>
        <w:t>Проектные решения разработаны с соблюдением требований и ограничений режимов содержания I и II зон санитарной (горно - санитарной) охраны Железноводского месторождения минеральных вод, установленных Постановлением Правительства РФ от 7 декабря 1996 г. № 1425 «Об утверждении Положения об округах санитарной и горно-санитарной охраны лечебно-оздоровительных местностей и курортов федерального значения».</w:t>
      </w:r>
    </w:p>
    <w:p>
      <w:pPr>
        <w:pStyle w:val="Style22"/>
        <w:ind w:firstLine="720"/>
        <w:rPr>
          <w:sz w:val="28"/>
          <w:szCs w:val="28"/>
        </w:rPr>
      </w:pPr>
      <w:r>
        <w:rPr>
          <w:sz w:val="28"/>
          <w:szCs w:val="28"/>
        </w:rPr>
        <w:t>Стержнем проекта, его отправной точкой является строительство нижней части Каскадной лестницы, расположенной в Курортном парке города-курорта Железноводска. Реализация концепции объединит также две удалённые друг от друга общественные территории: Курортный парк и зону отдыха, расположенную у декоративного курортного озера в районе санатория «30 лет Победы». Кроме того, будут созданы условия для объединения действующей санаторной зоны, расположенной у восточного въезда в город, где сосредоточено 30 % общего числа отдыхающих, с Курортным парком. В результате отдыхающие получат возможность из своего санатория сразу пройти в парк, а не по улице вдоль дороги, как в настоящее время.</w:t>
      </w:r>
    </w:p>
    <w:p>
      <w:pPr>
        <w:pStyle w:val="Style22"/>
        <w:ind w:firstLine="720"/>
        <w:rPr>
          <w:sz w:val="28"/>
          <w:szCs w:val="28"/>
        </w:rPr>
      </w:pPr>
      <w:r>
        <w:rPr>
          <w:sz w:val="28"/>
          <w:szCs w:val="28"/>
        </w:rPr>
        <w:t>Действующие терренкуры будут объединены с проектируемыми дополнительными прогулочными терренкурами и велосипедными дорожками, а также дорожками для скандинавской ходьбы и экологическими тропами. В результате выполнения работ действующий маршрут будет продлён до декоративного курортного озера в районе санатория «30 лет Победы». Осуществление строительства объекта создаст новый туристический маршрут и дополнительный прогулочный терренкур протяжённостью примерно 7000 м, позволит повысить уровень комфорта для посетителей парка и отдыхающих. Будут созданы новые пешеходные связи, объединяющие достопримечательности города.</w:t>
      </w:r>
    </w:p>
    <w:p>
      <w:pPr>
        <w:pStyle w:val="Style22"/>
        <w:ind w:firstLine="720"/>
        <w:rPr>
          <w:sz w:val="28"/>
          <w:szCs w:val="28"/>
        </w:rPr>
      </w:pPr>
      <w:r>
        <w:rPr>
          <w:sz w:val="28"/>
          <w:szCs w:val="28"/>
        </w:rPr>
      </w:r>
    </w:p>
    <w:p>
      <w:pPr>
        <w:pStyle w:val="Style22"/>
        <w:ind w:firstLine="720"/>
        <w:rPr>
          <w:b/>
          <w:b/>
          <w:sz w:val="28"/>
          <w:szCs w:val="28"/>
        </w:rPr>
      </w:pPr>
      <w:r>
        <w:rPr>
          <w:b/>
          <w:bCs/>
          <w:sz w:val="28"/>
          <w:szCs w:val="28"/>
        </w:rPr>
        <w:t>Ожидаемые результаты:</w:t>
      </w:r>
    </w:p>
    <w:p>
      <w:pPr>
        <w:pStyle w:val="Style22"/>
        <w:ind w:firstLine="720"/>
        <w:rPr>
          <w:b/>
          <w:b/>
          <w:sz w:val="28"/>
          <w:szCs w:val="28"/>
        </w:rPr>
      </w:pPr>
      <w:r>
        <w:rPr>
          <w:sz w:val="28"/>
          <w:szCs w:val="28"/>
        </w:rPr>
        <w:t>предоставление доступа в лечебно-курортный парк отдыхающим в санаториях, располагающихся в нижней части города (до 20% от всех отдыхающих города);</w:t>
      </w:r>
    </w:p>
    <w:p>
      <w:pPr>
        <w:pStyle w:val="Style22"/>
        <w:ind w:firstLine="720"/>
        <w:rPr>
          <w:b/>
          <w:b/>
          <w:sz w:val="28"/>
          <w:szCs w:val="28"/>
        </w:rPr>
      </w:pPr>
      <w:r>
        <w:rPr>
          <w:sz w:val="28"/>
          <w:szCs w:val="28"/>
        </w:rPr>
        <w:t>вовлечение в курортную инфраструктуру декоративного курортного озера, единственного места пляжного отдыха на территории парка.</w:t>
      </w:r>
    </w:p>
    <w:p>
      <w:pPr>
        <w:pStyle w:val="Style22"/>
        <w:ind w:firstLine="720"/>
        <w:rPr>
          <w:b/>
          <w:b/>
          <w:sz w:val="28"/>
          <w:szCs w:val="28"/>
        </w:rPr>
      </w:pPr>
      <w:r>
        <w:rPr>
          <w:sz w:val="28"/>
          <w:szCs w:val="28"/>
        </w:rPr>
        <w:t>благоустройство озера;</w:t>
      </w:r>
    </w:p>
    <w:p>
      <w:pPr>
        <w:pStyle w:val="Style22"/>
        <w:ind w:firstLine="720"/>
        <w:rPr>
          <w:b/>
          <w:b/>
          <w:sz w:val="28"/>
          <w:szCs w:val="28"/>
        </w:rPr>
      </w:pPr>
      <w:r>
        <w:rPr>
          <w:sz w:val="28"/>
          <w:szCs w:val="28"/>
        </w:rPr>
        <w:t>восстановление и создание терренкуров для любителей активного отдыха от курортной площади до горы Развалки в северной части лечебно-курортного парка;</w:t>
      </w:r>
    </w:p>
    <w:p>
      <w:pPr>
        <w:pStyle w:val="Style22"/>
        <w:ind w:firstLine="720"/>
        <w:rPr>
          <w:b/>
          <w:b/>
          <w:sz w:val="28"/>
          <w:szCs w:val="28"/>
        </w:rPr>
      </w:pPr>
      <w:r>
        <w:rPr>
          <w:sz w:val="28"/>
          <w:szCs w:val="28"/>
        </w:rPr>
        <w:t>формирование пяти инвестиционных площадок, предназначенных для размещения объектов санаторно-курортной и туристско-рекреационной направленности (рис. 18).</w:t>
      </w:r>
    </w:p>
    <w:p>
      <w:pPr>
        <w:pStyle w:val="Style22"/>
        <w:rPr>
          <w:sz w:val="28"/>
          <w:szCs w:val="28"/>
        </w:rPr>
      </w:pPr>
      <w:r>
        <w:rPr>
          <w:sz w:val="28"/>
          <w:szCs w:val="28"/>
        </w:rPr>
      </w:r>
    </w:p>
    <w:p>
      <w:pPr>
        <w:pStyle w:val="Style22"/>
        <w:rPr>
          <w:sz w:val="28"/>
          <w:szCs w:val="28"/>
        </w:rPr>
      </w:pPr>
      <w:r>
        <w:rPr/>
        <w:drawing>
          <wp:inline distT="0" distB="0" distL="0" distR="0">
            <wp:extent cx="6120765" cy="4000500"/>
            <wp:effectExtent l="0" t="0" r="0" b="0"/>
            <wp:docPr id="18"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7" descr=""/>
                    <pic:cNvPicPr>
                      <a:picLocks noChangeAspect="1" noChangeArrowheads="1"/>
                    </pic:cNvPicPr>
                  </pic:nvPicPr>
                  <pic:blipFill>
                    <a:blip r:embed="rId22"/>
                    <a:stretch>
                      <a:fillRect/>
                    </a:stretch>
                  </pic:blipFill>
                  <pic:spPr bwMode="auto">
                    <a:xfrm>
                      <a:off x="0" y="0"/>
                      <a:ext cx="6120765" cy="4000500"/>
                    </a:xfrm>
                    <a:prstGeom prst="rect">
                      <a:avLst/>
                    </a:prstGeom>
                    <a:noFill/>
                    <a:ln w="9525">
                      <a:noFill/>
                      <a:miter lim="800000"/>
                      <a:headEnd/>
                      <a:tailEnd/>
                    </a:ln>
                  </pic:spPr>
                </pic:pic>
              </a:graphicData>
            </a:graphic>
          </wp:inline>
        </w:drawing>
      </w:r>
    </w:p>
    <w:p>
      <w:pPr>
        <w:pStyle w:val="Style22"/>
        <w:ind w:firstLine="720"/>
        <w:jc w:val="center"/>
        <w:rPr>
          <w:b/>
          <w:b/>
          <w:sz w:val="24"/>
        </w:rPr>
      </w:pPr>
      <w:r>
        <w:rPr>
          <w:b/>
          <w:sz w:val="24"/>
          <w:szCs w:val="28"/>
        </w:rPr>
        <w:t>Рис. 18 – Схема размещения инвестиционных площадок, сформированных в рамках</w:t>
      </w:r>
      <w:r>
        <w:rPr>
          <w:b/>
          <w:sz w:val="24"/>
        </w:rPr>
        <w:t xml:space="preserve"> проекта «Нижняя каскадная лестница»</w:t>
      </w:r>
    </w:p>
    <w:p>
      <w:pPr>
        <w:pStyle w:val="Style22"/>
        <w:ind w:firstLine="720"/>
        <w:jc w:val="center"/>
        <w:rPr>
          <w:b/>
          <w:b/>
          <w:sz w:val="24"/>
        </w:rPr>
      </w:pPr>
      <w:r>
        <w:rPr>
          <w:b/>
          <w:sz w:val="24"/>
        </w:rPr>
      </w:r>
    </w:p>
    <w:p>
      <w:pPr>
        <w:pStyle w:val="Style22"/>
        <w:ind w:firstLine="720"/>
        <w:jc w:val="center"/>
        <w:rPr>
          <w:b/>
          <w:b/>
          <w:i/>
          <w:i/>
          <w:sz w:val="28"/>
          <w:szCs w:val="28"/>
        </w:rPr>
      </w:pPr>
      <w:r>
        <w:rPr>
          <w:b/>
          <w:i/>
          <w:sz w:val="28"/>
          <w:szCs w:val="28"/>
        </w:rPr>
      </w:r>
    </w:p>
    <w:p>
      <w:pPr>
        <w:pStyle w:val="Style22"/>
        <w:ind w:firstLine="720"/>
        <w:jc w:val="center"/>
        <w:rPr>
          <w:b/>
          <w:b/>
          <w:i/>
          <w:i/>
          <w:sz w:val="28"/>
          <w:szCs w:val="28"/>
        </w:rPr>
      </w:pPr>
      <w:r>
        <w:rPr>
          <w:b/>
          <w:i/>
          <w:sz w:val="28"/>
          <w:szCs w:val="28"/>
        </w:rPr>
        <w:t>Концепция проекта «Кавминводский велотерренкур»</w:t>
      </w:r>
    </w:p>
    <w:p>
      <w:pPr>
        <w:pStyle w:val="Style22"/>
        <w:ind w:firstLine="720"/>
        <w:jc w:val="center"/>
        <w:rPr>
          <w:sz w:val="28"/>
          <w:szCs w:val="28"/>
        </w:rPr>
      </w:pPr>
      <w:r>
        <w:rPr>
          <w:sz w:val="28"/>
          <w:szCs w:val="28"/>
        </w:rPr>
      </w:r>
    </w:p>
    <w:p>
      <w:pPr>
        <w:pStyle w:val="Style22"/>
        <w:ind w:firstLine="720"/>
        <w:rPr>
          <w:sz w:val="28"/>
          <w:szCs w:val="28"/>
        </w:rPr>
      </w:pPr>
      <w:r>
        <w:rPr>
          <w:sz w:val="28"/>
          <w:szCs w:val="28"/>
        </w:rPr>
        <w:t>Основная идея проекта – создание велосипедной трассы, проходящей по зеленому массиву и объединяющей города-курорты особого эколого-курортного региона Кавказских Минеральных Вод. На Кавминводах возникнет всесезонная столица велосипедного движения, центр притяжения спортсменов, туристов и любителей активного отдыха и здорового образа жизни. Маршрут даст возможность любоваться красивейшими панорамными видами на Большой Кавказский хребет, горы Машук, Железную, Развалку, Бештау и др.</w:t>
      </w:r>
    </w:p>
    <w:p>
      <w:pPr>
        <w:pStyle w:val="Style22"/>
        <w:ind w:firstLine="720"/>
        <w:rPr>
          <w:sz w:val="28"/>
          <w:szCs w:val="28"/>
        </w:rPr>
      </w:pPr>
      <w:r>
        <w:rPr>
          <w:sz w:val="28"/>
          <w:szCs w:val="28"/>
        </w:rPr>
        <w:t>Протяженность «Кавминводского велотерренкура» составит 85 км.</w:t>
      </w:r>
    </w:p>
    <w:p>
      <w:pPr>
        <w:pStyle w:val="Style22"/>
        <w:ind w:firstLine="720"/>
        <w:rPr>
          <w:sz w:val="28"/>
          <w:szCs w:val="28"/>
        </w:rPr>
      </w:pPr>
      <w:r>
        <w:rPr>
          <w:sz w:val="28"/>
          <w:szCs w:val="28"/>
        </w:rPr>
        <w:t>Велотропа свяжет общественные территории Минеральных Вод, Железноводска и Лермонтова и будет проходить по красивейшим местам курортного региона, объединив 5 гор – Бештау, Железную, Развалку, Змейку и Машук. Уже определены все видовые точки, памятники истории и культуры, достопримечательности, мимо которых будет пролегать маршрут и которые смогут посетить жители и гости Ставрополья.</w:t>
      </w:r>
    </w:p>
    <w:p>
      <w:pPr>
        <w:pStyle w:val="Style22"/>
        <w:rPr>
          <w:sz w:val="28"/>
          <w:szCs w:val="28"/>
        </w:rPr>
      </w:pPr>
      <w:r>
        <w:rPr/>
        <w:drawing>
          <wp:inline distT="0" distB="0" distL="0" distR="0">
            <wp:extent cx="6286500" cy="4076700"/>
            <wp:effectExtent l="0" t="0" r="0" b="0"/>
            <wp:docPr id="19"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8" descr=""/>
                    <pic:cNvPicPr>
                      <a:picLocks noChangeAspect="1" noChangeArrowheads="1"/>
                    </pic:cNvPicPr>
                  </pic:nvPicPr>
                  <pic:blipFill>
                    <a:blip r:embed="rId23"/>
                    <a:stretch>
                      <a:fillRect/>
                    </a:stretch>
                  </pic:blipFill>
                  <pic:spPr bwMode="auto">
                    <a:xfrm>
                      <a:off x="0" y="0"/>
                      <a:ext cx="6286500" cy="4076700"/>
                    </a:xfrm>
                    <a:prstGeom prst="rect">
                      <a:avLst/>
                    </a:prstGeom>
                    <a:noFill/>
                    <a:ln w="9525">
                      <a:noFill/>
                      <a:miter lim="800000"/>
                      <a:headEnd/>
                      <a:tailEnd/>
                    </a:ln>
                  </pic:spPr>
                </pic:pic>
              </a:graphicData>
            </a:graphic>
          </wp:inline>
        </w:drawing>
      </w:r>
    </w:p>
    <w:p>
      <w:pPr>
        <w:pStyle w:val="Style22"/>
        <w:ind w:firstLine="720"/>
        <w:jc w:val="center"/>
        <w:rPr>
          <w:b/>
          <w:b/>
          <w:sz w:val="24"/>
          <w:szCs w:val="28"/>
        </w:rPr>
      </w:pPr>
      <w:r>
        <w:rPr>
          <w:b/>
          <w:sz w:val="24"/>
          <w:szCs w:val="28"/>
        </w:rPr>
        <w:t>Рис. 19 – Схема Кавминводского велотерренкура</w:t>
      </w:r>
    </w:p>
    <w:p>
      <w:pPr>
        <w:pStyle w:val="Style22"/>
        <w:rPr>
          <w:sz w:val="28"/>
          <w:szCs w:val="28"/>
        </w:rPr>
      </w:pPr>
      <w:r>
        <w:rPr>
          <w:sz w:val="28"/>
          <w:szCs w:val="28"/>
        </w:rPr>
      </w:r>
    </w:p>
    <w:p>
      <w:pPr>
        <w:pStyle w:val="Style22"/>
        <w:rPr>
          <w:sz w:val="28"/>
          <w:szCs w:val="28"/>
        </w:rPr>
      </w:pPr>
      <w:r>
        <w:rPr>
          <w:sz w:val="28"/>
          <w:szCs w:val="28"/>
        </w:rPr>
      </w:r>
    </w:p>
    <w:p>
      <w:pPr>
        <w:pStyle w:val="Style22"/>
        <w:ind w:firstLine="709"/>
        <w:rPr>
          <w:b/>
          <w:b/>
          <w:sz w:val="28"/>
          <w:szCs w:val="28"/>
        </w:rPr>
      </w:pPr>
      <w:r>
        <w:rPr>
          <w:b/>
          <w:bCs/>
          <w:sz w:val="28"/>
          <w:szCs w:val="28"/>
        </w:rPr>
        <w:t>Ожидаемые результаты:</w:t>
      </w:r>
    </w:p>
    <w:p>
      <w:pPr>
        <w:pStyle w:val="Style22"/>
        <w:ind w:firstLine="709"/>
        <w:rPr>
          <w:sz w:val="28"/>
          <w:szCs w:val="28"/>
        </w:rPr>
      </w:pPr>
      <w:r>
        <w:rPr>
          <w:sz w:val="28"/>
          <w:szCs w:val="28"/>
        </w:rPr>
        <w:t>проект позволит создать на территории Кавминвод уникальную, единую сеть велосипедных дорожек.</w:t>
      </w:r>
    </w:p>
    <w:p>
      <w:pPr>
        <w:pStyle w:val="Style22"/>
        <w:ind w:firstLine="709"/>
        <w:rPr>
          <w:sz w:val="28"/>
          <w:szCs w:val="28"/>
        </w:rPr>
      </w:pPr>
      <w:r>
        <w:rPr>
          <w:sz w:val="28"/>
          <w:szCs w:val="28"/>
        </w:rPr>
        <w:t>улучшение туристической и навигационной логистики между городами-курортами Кавказских Минеральных Вод.</w:t>
      </w:r>
    </w:p>
    <w:p>
      <w:pPr>
        <w:pStyle w:val="Style22"/>
        <w:ind w:firstLine="709"/>
        <w:rPr>
          <w:sz w:val="28"/>
          <w:szCs w:val="28"/>
        </w:rPr>
      </w:pPr>
      <w:r>
        <w:rPr>
          <w:sz w:val="28"/>
          <w:szCs w:val="28"/>
        </w:rPr>
        <w:t>увеличение количества спортивных мероприятий, связанных с велоспортом, спортивном бегом в гору и спортивным ориентированием;</w:t>
      </w:r>
    </w:p>
    <w:p>
      <w:pPr>
        <w:pStyle w:val="Style22"/>
        <w:ind w:firstLine="709"/>
        <w:rPr>
          <w:sz w:val="28"/>
          <w:szCs w:val="28"/>
        </w:rPr>
      </w:pPr>
      <w:r>
        <w:rPr>
          <w:sz w:val="28"/>
          <w:szCs w:val="28"/>
        </w:rPr>
        <w:t>рост числа туристов, приезжающих с целью занятиям спортом и активным туризмом, до 40 %.</w:t>
      </w:r>
    </w:p>
    <w:p>
      <w:pPr>
        <w:pStyle w:val="Style22"/>
        <w:ind w:firstLine="720"/>
        <w:rPr>
          <w:sz w:val="28"/>
          <w:szCs w:val="28"/>
        </w:rPr>
      </w:pPr>
      <w:r>
        <w:rPr>
          <w:sz w:val="28"/>
          <w:szCs w:val="28"/>
        </w:rPr>
      </w:r>
    </w:p>
    <w:p>
      <w:pPr>
        <w:pStyle w:val="Style22"/>
        <w:ind w:firstLine="720"/>
        <w:rPr>
          <w:sz w:val="28"/>
          <w:szCs w:val="28"/>
        </w:rPr>
      </w:pPr>
      <w:r>
        <w:rPr>
          <w:sz w:val="28"/>
          <w:szCs w:val="28"/>
        </w:rPr>
      </w:r>
    </w:p>
    <w:p>
      <w:pPr>
        <w:pStyle w:val="3"/>
        <w:rPr/>
      </w:pPr>
      <w:bookmarkStart w:id="28" w:name="_Toc11337760"/>
      <w:bookmarkEnd w:id="28"/>
      <w:r>
        <w:rPr/>
        <w:t>3.4. Создание благоприятных высококонкурентных условий для осуществления и стимулирования предпринимательской, инвестиционной и инновационной деятельности на территории муниципального образования</w:t>
      </w:r>
    </w:p>
    <w:p>
      <w:pPr>
        <w:pStyle w:val="Normal"/>
        <w:spacing w:lineRule="auto" w:line="240" w:before="0" w:after="0"/>
        <w:ind w:firstLine="709"/>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color w:val="000000"/>
          <w:sz w:val="28"/>
          <w:szCs w:val="28"/>
        </w:rPr>
        <w:t xml:space="preserve">Европейская ассоциация курортных городов признала Железноводск одной из лучших по природным факторам бальнеологических здравниц. По оценкам ЮНЕСКО он является </w:t>
      </w:r>
      <w:r>
        <w:rPr>
          <w:rFonts w:cs="Times New Roman" w:ascii="Times New Roman" w:hAnsi="Times New Roman"/>
          <w:bCs/>
          <w:color w:val="000000"/>
          <w:sz w:val="28"/>
          <w:szCs w:val="28"/>
        </w:rPr>
        <w:t>перспективной инвестиционно привлекательной территорией</w:t>
      </w:r>
      <w:r>
        <w:rPr>
          <w:rFonts w:cs="Times New Roman" w:ascii="Times New Roman" w:hAnsi="Times New Roman"/>
          <w:color w:val="000000"/>
          <w:sz w:val="28"/>
          <w:szCs w:val="28"/>
        </w:rPr>
        <w:t xml:space="preserve"> благоприятной для развития лечебно-оздоровительного туризма.</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Рельефный феномен (горные хребты юго-запада и горы лакколиты), естественные леса, лесные культуры на горных склонах создали высокий потенциал ландшафтотерапии (оздоравливающее влияние на организм человека). </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sz w:val="28"/>
          <w:szCs w:val="28"/>
        </w:rPr>
        <w:t>Большое количество памятников природы (скалы, пещеры, водопады и т.п.), истории и архитектуры, а также наличие памятных мест, связанных с жизнью и творчеством великих писателей, поэтов, композиторов России характеризуют туристский потенциал города-курорта Железноводска.</w:t>
      </w:r>
    </w:p>
    <w:p>
      <w:pPr>
        <w:pStyle w:val="NormalWeb"/>
        <w:spacing w:before="0" w:after="0"/>
        <w:ind w:firstLine="709"/>
        <w:jc w:val="both"/>
        <w:rPr>
          <w:sz w:val="28"/>
          <w:szCs w:val="28"/>
        </w:rPr>
      </w:pPr>
      <w:r>
        <w:rPr>
          <w:color w:val="000000"/>
          <w:sz w:val="28"/>
          <w:szCs w:val="28"/>
        </w:rPr>
        <w:t>Город-курорт Железноводск — развивающийся бальнеологический, питьевой и грязевой курорт. Структура экономики связана в основном с использованием природных ресурсов, в первую очередь минеральных источников, а также климатобальнеологических факторов. Санаторно-курортное лечение, туризм, обслуживание отдыхающих являются главными отраслями экономики города.</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Преимущества города в сочетании с мировыми тенденциями позволяют выделить в качестве «точек роста»: </w:t>
      </w:r>
    </w:p>
    <w:p>
      <w:pPr>
        <w:pStyle w:val="Normal"/>
        <w:numPr>
          <w:ilvl w:val="0"/>
          <w:numId w:val="6"/>
        </w:numPr>
        <w:suppressAutoHyphens w:val="true"/>
        <w:spacing w:lineRule="auto" w:line="240" w:before="0" w:after="0"/>
        <w:ind w:left="0" w:firstLine="709"/>
        <w:jc w:val="both"/>
        <w:rPr>
          <w:rFonts w:ascii="Times New Roman" w:hAnsi="Times New Roman" w:cs="Times New Roman"/>
          <w:sz w:val="28"/>
          <w:szCs w:val="28"/>
        </w:rPr>
      </w:pPr>
      <w:r>
        <w:rPr>
          <w:rFonts w:cs="Times New Roman" w:ascii="Times New Roman" w:hAnsi="Times New Roman"/>
          <w:sz w:val="28"/>
          <w:szCs w:val="28"/>
        </w:rPr>
        <w:t>Санаторно-курортный комплекс и индустрию туризма.</w:t>
      </w:r>
    </w:p>
    <w:p>
      <w:pPr>
        <w:pStyle w:val="Normal"/>
        <w:numPr>
          <w:ilvl w:val="0"/>
          <w:numId w:val="6"/>
        </w:numPr>
        <w:suppressAutoHyphens w:val="true"/>
        <w:spacing w:lineRule="auto" w:line="240" w:before="0" w:after="0"/>
        <w:ind w:left="0" w:firstLine="709"/>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Промышленный розлив минеральной воды.</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Железноводск с его большим ресурсным потенциалом — это объективно перспективная для инвестиций в реальный сектор экономики и благоприятная для развития лечебно-оздоровительного туризма территория.</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firstLine="709"/>
        <w:jc w:val="center"/>
        <w:rPr>
          <w:rFonts w:ascii="Times New Roman" w:hAnsi="Times New Roman" w:cs="Times New Roman"/>
          <w:sz w:val="28"/>
          <w:szCs w:val="28"/>
        </w:rPr>
      </w:pPr>
      <w:r>
        <w:rPr>
          <w:rFonts w:cs="Times New Roman" w:ascii="Times New Roman" w:hAnsi="Times New Roman"/>
          <w:sz w:val="28"/>
          <w:szCs w:val="28"/>
        </w:rPr>
        <w:t>3.4.1 Реализация инвестиционной политики</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firstLine="709"/>
        <w:jc w:val="both"/>
        <w:rPr>
          <w:rFonts w:ascii="Times New Roman" w:hAnsi="Times New Roman" w:eastAsia="Times New Roman" w:cs="Times New Roman"/>
          <w:sz w:val="28"/>
          <w:szCs w:val="28"/>
        </w:rPr>
      </w:pPr>
      <w:r>
        <w:rPr>
          <w:rFonts w:cs="Times New Roman" w:ascii="Times New Roman" w:hAnsi="Times New Roman"/>
          <w:sz w:val="28"/>
          <w:szCs w:val="28"/>
        </w:rPr>
        <w:t xml:space="preserve">Город-курорт Железноводск располагает благоприятными возможностями для увеличения притока капитала в экономику. Реализация этих возможностей требует качественного улучшения хозяйственного климата и грамотной инвестиционной политики. </w:t>
      </w:r>
    </w:p>
    <w:p>
      <w:pPr>
        <w:pStyle w:val="NormalWeb"/>
        <w:spacing w:before="0" w:after="0"/>
        <w:ind w:firstLine="709"/>
        <w:jc w:val="both"/>
        <w:rPr>
          <w:sz w:val="28"/>
          <w:szCs w:val="28"/>
        </w:rPr>
      </w:pPr>
      <w:r>
        <w:rPr>
          <w:sz w:val="28"/>
          <w:szCs w:val="28"/>
        </w:rPr>
        <w:t>Администрация города-курорта Железноводска, проводя политику, направленную на поддержку инвестиционной деятельности в сфере курорта и туризма, основной целью в данном направлении определяет</w:t>
      </w:r>
      <w:r>
        <w:rPr>
          <w:b/>
          <w:sz w:val="28"/>
          <w:szCs w:val="28"/>
        </w:rPr>
        <w:t xml:space="preserve"> </w:t>
      </w:r>
      <w:r>
        <w:rPr>
          <w:rStyle w:val="Strong"/>
          <w:b w:val="false"/>
          <w:color w:val="000000"/>
          <w:sz w:val="28"/>
          <w:szCs w:val="28"/>
        </w:rPr>
        <w:t>создание экономических, правовых и организационных условий для инвестиционной деятельности, обеспечивающих устойчивую динамику экономического развития муниципального образования и решение социально-экономических задач.</w:t>
      </w:r>
      <w:r>
        <w:rPr>
          <w:rStyle w:val="Strong"/>
          <w:color w:val="000000"/>
          <w:sz w:val="28"/>
          <w:szCs w:val="28"/>
        </w:rPr>
        <w:t xml:space="preserve"> </w:t>
      </w:r>
    </w:p>
    <w:p>
      <w:pPr>
        <w:pStyle w:val="Normal"/>
        <w:tabs>
          <w:tab w:val="left" w:pos="0"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Значительное улучшение хозяйственного климата возможно на основе создания и активного продвижения инвестиционного имиджа города, совершенствования порядка осуществления хозяйственной деятельности и практики работы с инвесторами, создания эффективной инвестиционной инфраструктуры, обеспечивающей потребности инвесторов, бизнеса и органов местного самоуправления.</w:t>
      </w:r>
    </w:p>
    <w:p>
      <w:pPr>
        <w:pStyle w:val="Normal"/>
        <w:tabs>
          <w:tab w:val="left" w:pos="0"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color w:val="000000"/>
          <w:sz w:val="28"/>
          <w:szCs w:val="28"/>
        </w:rPr>
        <w:t xml:space="preserve">Основная задача муниципальной инвестиционной политики  </w:t>
      </w:r>
      <w:r>
        <w:rPr>
          <w:rFonts w:cs="Times New Roman" w:ascii="Times New Roman" w:hAnsi="Times New Roman"/>
          <w:sz w:val="28"/>
          <w:szCs w:val="28"/>
        </w:rPr>
        <w:t xml:space="preserve"> -  создание благоприятных условий для осуществления </w:t>
      </w:r>
      <w:r>
        <w:rPr>
          <w:rFonts w:cs="Times New Roman" w:ascii="Times New Roman" w:hAnsi="Times New Roman"/>
          <w:b/>
          <w:i/>
          <w:iCs/>
          <w:sz w:val="28"/>
          <w:szCs w:val="28"/>
        </w:rPr>
        <w:t>инвестиционной деятельности</w:t>
      </w:r>
      <w:r>
        <w:rPr>
          <w:rFonts w:cs="Times New Roman" w:ascii="Times New Roman" w:hAnsi="Times New Roman"/>
          <w:sz w:val="28"/>
          <w:szCs w:val="28"/>
        </w:rPr>
        <w:t xml:space="preserve"> на территории города. Основными направлениями в данной сфере являются:</w:t>
      </w:r>
    </w:p>
    <w:p>
      <w:pPr>
        <w:pStyle w:val="Normal"/>
        <w:tabs>
          <w:tab w:val="left" w:pos="0"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обеспечение максимальной информационной открытости, ознакомление потенциальных инвесторов с возможностями города, улучшение инвестиционного имиджа города;</w:t>
      </w:r>
    </w:p>
    <w:p>
      <w:pPr>
        <w:pStyle w:val="Normal"/>
        <w:tabs>
          <w:tab w:val="left" w:pos="0"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создание и становление в городе базовых условий для привлечения инвестиций и реализации инвестиционных проектов (нормативно-правовых, инфраструктурных, административных);</w:t>
      </w:r>
    </w:p>
    <w:p>
      <w:pPr>
        <w:pStyle w:val="Normal"/>
        <w:tabs>
          <w:tab w:val="left" w:pos="0"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формирование инфраструктурных условий для размещения инвестиционных объектов санаторно-курортного и туристско-рекреационного назначения, в том числе для создания туристско-рекреационного парка;</w:t>
      </w:r>
    </w:p>
    <w:p>
      <w:pPr>
        <w:pStyle w:val="Normal"/>
        <w:tabs>
          <w:tab w:val="left" w:pos="0"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создание эффективной системы взаимодействия между органами местного самоуправления муниципального образования  и инвесторами, принципами которой должны стать: обеспечение информационной открытости инвестиционного процесса,  сбалансированность частных и публичных интересов, доброжелательность во взаимоотношениях с участниками инвестиционного процесса, прозрачность принятия инвестиционных решений, не ухудшение условий ведения инвестиционной деятельности при принятии муниципальных нормативных правовых актов;</w:t>
      </w:r>
    </w:p>
    <w:p>
      <w:pPr>
        <w:pStyle w:val="Normal"/>
        <w:tabs>
          <w:tab w:val="left" w:pos="0"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развитие системы взаимодействия органов местного самоуправления города с частными партнерами и экспертным сообществом по вопросам реализации проектов муниципально-частного партнерства и концессионных соглашений;</w:t>
      </w:r>
    </w:p>
    <w:p>
      <w:pPr>
        <w:pStyle w:val="Normal"/>
        <w:tabs>
          <w:tab w:val="left" w:pos="0"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создание и развитие объектов и площадок, привлекательных для инвестиций;</w:t>
      </w:r>
    </w:p>
    <w:p>
      <w:pPr>
        <w:pStyle w:val="Normal"/>
        <w:tabs>
          <w:tab w:val="left" w:pos="0"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кратное увеличение ставки земельного налога на земельные участки, отнесенные к землям лечебно-оздоровительных местностей и курортов, на которых расположены недостроенные, долгостроящиеся и простаивающие объекты недвижимости;</w:t>
      </w:r>
    </w:p>
    <w:p>
      <w:pPr>
        <w:pStyle w:val="Normal"/>
        <w:tabs>
          <w:tab w:val="left" w:pos="0"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аукционная (конкурсная) продажа недостроенных, долгостроящихся и простаивающих объектов недвижимости с последующим возмещением собственнику стоимости объекта;</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реализация инвестиционных проектов создания системы парков с развитой инфраструктурой развлечений, которая обеспечит положительный мультипликативный эффект в экономике города и социальной сфере.</w:t>
      </w:r>
    </w:p>
    <w:p>
      <w:pPr>
        <w:pStyle w:val="Normal"/>
        <w:widowControl w:val="fals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Инструменты </w:t>
      </w:r>
      <w:r>
        <w:rPr>
          <w:rFonts w:cs="Times New Roman" w:ascii="Times New Roman" w:hAnsi="Times New Roman"/>
          <w:i/>
          <w:iCs/>
          <w:sz w:val="28"/>
          <w:szCs w:val="28"/>
        </w:rPr>
        <w:t>муниципально-частного</w:t>
      </w:r>
      <w:r>
        <w:rPr>
          <w:rFonts w:cs="Times New Roman" w:ascii="Times New Roman" w:hAnsi="Times New Roman"/>
          <w:sz w:val="28"/>
          <w:szCs w:val="28"/>
        </w:rPr>
        <w:t xml:space="preserve"> </w:t>
      </w:r>
      <w:r>
        <w:rPr>
          <w:rFonts w:cs="Times New Roman" w:ascii="Times New Roman" w:hAnsi="Times New Roman"/>
          <w:i/>
          <w:iCs/>
          <w:sz w:val="28"/>
          <w:szCs w:val="28"/>
        </w:rPr>
        <w:t>партнерства</w:t>
      </w:r>
      <w:r>
        <w:rPr>
          <w:rFonts w:cs="Times New Roman" w:ascii="Times New Roman" w:hAnsi="Times New Roman"/>
          <w:sz w:val="28"/>
          <w:szCs w:val="28"/>
        </w:rPr>
        <w:t xml:space="preserve"> и концессионного соглашения имеют высокую эффективность при решении вопросов социально-экономического развития и направления частных инвестиций </w:t>
        <w:br/>
        <w:t>в туристстко-рекреационную сферу. В связи с этим необходимо организовать взаимодействие с участниками соглашений о муниципально-частном партнерстве и экспертами в данной области, принимать участие в специализированных форумах, выставках и семинарах узкой тематики.</w:t>
      </w:r>
    </w:p>
    <w:p>
      <w:pPr>
        <w:pStyle w:val="Normal"/>
        <w:widowControl w:val="fals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firstLine="709"/>
        <w:jc w:val="both"/>
        <w:rPr>
          <w:rFonts w:ascii="Times New Roman" w:hAnsi="Times New Roman" w:cs="Times New Roman"/>
          <w:b/>
          <w:b/>
          <w:sz w:val="28"/>
          <w:szCs w:val="28"/>
        </w:rPr>
      </w:pPr>
      <w:r>
        <w:rPr>
          <w:rFonts w:cs="Times New Roman" w:ascii="Times New Roman" w:hAnsi="Times New Roman"/>
          <w:b/>
          <w:sz w:val="28"/>
          <w:szCs w:val="28"/>
        </w:rPr>
        <w:t>Ожидаемые результаты:</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формирование благоприятного инвестиционного климата, создающего условия для устойчивого и сбалансированного развития экономики города;</w:t>
      </w:r>
    </w:p>
    <w:p>
      <w:pPr>
        <w:pStyle w:val="Normal"/>
        <w:tabs>
          <w:tab w:val="left" w:pos="0"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включение в хозяйственный оборот недостроенных, долгостроящихся и простаивающих объектов недвижимости, увеличение в связи с этим числа рабочих мест, повышение доходов местного бюджета;</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строительство новых санаториев;</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рост заполняемости существующих средств размещения и строительства новых;</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развитие малого бизнеса в сфере культуры, общественного питания, торговли, производства сувенирной продукции;</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создание дополнительных рабочих мест;</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повышение комфортности проживания горожан.</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Осуществление проектов приведет к расширению целевой аудитории пользователей курортно-туристских услуг. Кроме традиционной целевой аудитории </w:t>
      </w:r>
      <w:r>
        <w:rPr>
          <w:rFonts w:cs="Times New Roman" w:ascii="Times New Roman" w:hAnsi="Times New Roman"/>
          <w:b/>
          <w:sz w:val="28"/>
          <w:szCs w:val="28"/>
        </w:rPr>
        <w:t xml:space="preserve">- </w:t>
      </w:r>
      <w:r>
        <w:rPr>
          <w:rFonts w:cs="Times New Roman" w:ascii="Times New Roman" w:hAnsi="Times New Roman"/>
          <w:sz w:val="28"/>
          <w:szCs w:val="28"/>
        </w:rPr>
        <w:t>преимущественно зрелых граждан</w:t>
      </w:r>
      <w:r>
        <w:rPr>
          <w:rFonts w:cs="Times New Roman" w:ascii="Times New Roman" w:hAnsi="Times New Roman"/>
          <w:b/>
          <w:sz w:val="28"/>
          <w:szCs w:val="28"/>
        </w:rPr>
        <w:t xml:space="preserve">, </w:t>
      </w:r>
      <w:r>
        <w:rPr>
          <w:rFonts w:cs="Times New Roman" w:ascii="Times New Roman" w:hAnsi="Times New Roman"/>
          <w:sz w:val="28"/>
          <w:szCs w:val="28"/>
        </w:rPr>
        <w:t>нуждающихся в санаторно-курортном лечении, становится возможным удовлетворить потребности: людей среднего возраста, ориентированных на получение помимо санаторно-курортного лечения активного, познавательного, развлекательного отдыха; молодых людей для активного отдыха эконом-класса; жителей Ставропольского края, желающих активно провести уик-энд; семей по пакетным оздоровительным турам; организованных групп подростков участвующих в проведении соревнований (спортивное ориентирование); отдыхающих на других курортах Кавказских Минеральных Вод для посещения экологического, горно-экстремального парков и парка развлечений.</w:t>
      </w:r>
    </w:p>
    <w:p>
      <w:pPr>
        <w:pStyle w:val="Style28"/>
        <w:ind w:firstLine="709"/>
        <w:rPr/>
      </w:pPr>
      <w:r>
        <w:rPr/>
        <w:t xml:space="preserve">Интегральным результатом создания города парков с развитой индустрией туризма и инфраструктурой развлечений станет увеличение доходов населения и бюджета города. Рост материального благосостояния населения будет способствовать притоку квалифицированных кадров и снизит нагрузку на бюджет города. Финансовая самодостаточность муниципалитета обеспечит реализацию приоритетных социальных программ и программ модернизации городской инфраструктуры. </w:t>
      </w:r>
    </w:p>
    <w:p>
      <w:pPr>
        <w:pStyle w:val="Normal"/>
        <w:tabs>
          <w:tab w:val="left" w:pos="5340"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«Точкой роста» города является </w:t>
      </w:r>
      <w:r>
        <w:rPr>
          <w:rFonts w:cs="Times New Roman" w:ascii="Times New Roman" w:hAnsi="Times New Roman"/>
          <w:i/>
          <w:iCs/>
          <w:sz w:val="28"/>
          <w:szCs w:val="28"/>
        </w:rPr>
        <w:t>промышленный розлив минеральной воды.</w:t>
      </w:r>
      <w:r>
        <w:rPr>
          <w:rFonts w:cs="Times New Roman" w:ascii="Times New Roman" w:hAnsi="Times New Roman"/>
          <w:sz w:val="28"/>
          <w:szCs w:val="28"/>
        </w:rPr>
        <w:t xml:space="preserve"> Это обусловлено расположением города в регионе Кавказских Минеральных Вод с богатой гидроминеральной базой. </w:t>
      </w:r>
    </w:p>
    <w:p>
      <w:pPr>
        <w:pStyle w:val="Normal"/>
        <w:tabs>
          <w:tab w:val="left" w:pos="5340"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Действующие в городе четыре предприятия розлива оснащены современным оборудованием, что позволяет сохранить природный вкус и состав воды. Кроме того, в технологическом процессе предприятий широко используются новейшие компьютерные технологии. Выпускаемая минеральная вода имеет товарный вид европейского качества и пользуется большим спросом, как в крае, так и далеко за его пределами. Железноводск занимает третье место в регионе Кавказских Минеральных Вод по объему промышленного розлива минеральных вод. Удельный вес предприятий города - курорта Железноводска в общем объеме розлива в регионе Кавказских Минеральных Вод составлял около 17 %. </w:t>
      </w:r>
    </w:p>
    <w:p>
      <w:pPr>
        <w:pStyle w:val="Normal"/>
        <w:tabs>
          <w:tab w:val="left" w:pos="5340"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В целом имеющиеся в городе производственные мощности позволяют разливать до 145 миллионов литров минеральной воды «Славяновская», «Смирновская», «Нагутская», «Ессентуки», «Лысогорская».</w:t>
      </w:r>
    </w:p>
    <w:p>
      <w:pPr>
        <w:pStyle w:val="Normal"/>
        <w:tabs>
          <w:tab w:val="left" w:pos="5340"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Таким образом, промышленный розлив минеральной воды имеет большой потенциал для дальнейшего роста.</w:t>
      </w:r>
    </w:p>
    <w:p>
      <w:pPr>
        <w:pStyle w:val="Normal"/>
        <w:tabs>
          <w:tab w:val="left" w:pos="5340"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Развитие «точек роста» обеспечит условия для модернизации социальной инфраструктуры.</w:t>
      </w:r>
    </w:p>
    <w:p>
      <w:pPr>
        <w:pStyle w:val="Normal"/>
        <w:tabs>
          <w:tab w:val="left" w:pos="5340"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left" w:pos="5340" w:leader="none"/>
        </w:tabs>
        <w:spacing w:lineRule="auto" w:line="240" w:before="0" w:after="0"/>
        <w:ind w:firstLine="709"/>
        <w:jc w:val="both"/>
        <w:rPr>
          <w:rFonts w:ascii="Times New Roman" w:hAnsi="Times New Roman" w:cs="Times New Roman"/>
          <w:b/>
          <w:b/>
          <w:i/>
          <w:i/>
          <w:sz w:val="28"/>
          <w:szCs w:val="28"/>
        </w:rPr>
      </w:pPr>
      <w:r>
        <w:rPr>
          <w:rFonts w:cs="Times New Roman" w:ascii="Times New Roman" w:hAnsi="Times New Roman"/>
          <w:sz w:val="28"/>
          <w:szCs w:val="28"/>
        </w:rPr>
        <w:t xml:space="preserve">Инвестиционная деятельность в городе-курорте Железноводске регулируется Законами Ставропольского края (законы Ставропольского края от 01 октября 2007 г. № 55-кз «Об инвестиционной деятельности в Ставропольском крае», от 26 ноября 2003 года № 44-кз «О налоге на имущество организаций») и иными нормативными-правовыми актами Ставропольского края и администрации города-курорта Железноводска Ставропольского края, </w:t>
      </w:r>
      <w:r>
        <w:rPr>
          <w:rFonts w:cs="Times New Roman" w:ascii="Times New Roman" w:hAnsi="Times New Roman"/>
          <w:b/>
          <w:i/>
          <w:sz w:val="28"/>
          <w:szCs w:val="28"/>
        </w:rPr>
        <w:t>в том числе:</w:t>
      </w:r>
    </w:p>
    <w:p>
      <w:pPr>
        <w:pStyle w:val="Normal"/>
        <w:tabs>
          <w:tab w:val="left" w:pos="5340"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b/>
          <w:sz w:val="28"/>
          <w:szCs w:val="28"/>
        </w:rPr>
        <w:t>- налоговые льготы по уплате налога на прибыль организаций:</w:t>
      </w:r>
      <w:r>
        <w:rPr>
          <w:rFonts w:cs="Times New Roman" w:ascii="Times New Roman" w:hAnsi="Times New Roman"/>
          <w:sz w:val="28"/>
          <w:szCs w:val="28"/>
        </w:rPr>
        <w:t xml:space="preserve"> для инвесторов, реализующих на территории Ставропольского края особо значимые инвестиционные проекты и заключивших инвестиционное соглашение с Правительством Ставропольского края: снижение ставки налога 3,5 % – при осуществлении капитальных вложений в рамках реализации особо значимого инвестиционного проекта на общую сумму от 300 млн. рублей до 500 млн. рублей, 4 % – при осуществлении капитальных вложений в рамках реализации особо значимого инвестиционного проекта на общую сумму от 500 млн. рублей до 1000 млн. рублей, 4,5 % – при осуществлении капитальных вложений в рамках реализации особо значимого инвестиционного проекта на общую сумму свыше 1000 млн. рублей;</w:t>
      </w:r>
    </w:p>
    <w:p>
      <w:pPr>
        <w:pStyle w:val="Normal"/>
        <w:tabs>
          <w:tab w:val="left" w:pos="5340"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b/>
          <w:sz w:val="28"/>
          <w:szCs w:val="28"/>
        </w:rPr>
        <w:t>- освобождение от уплаты налога на имущество или снижение налоговой ставки</w:t>
      </w:r>
      <w:r>
        <w:rPr>
          <w:rFonts w:cs="Times New Roman" w:ascii="Times New Roman" w:hAnsi="Times New Roman"/>
          <w:sz w:val="28"/>
          <w:szCs w:val="28"/>
        </w:rPr>
        <w:t xml:space="preserve"> для организаций – резидентов региональных парков и организаций, реализующих инвестиционные проекты в рамках инвестиционного соглашения, заключенного с Правительством Ставропольского края (льготы от 50% до 100%);</w:t>
      </w:r>
    </w:p>
    <w:p>
      <w:pPr>
        <w:pStyle w:val="Normal"/>
        <w:tabs>
          <w:tab w:val="left" w:pos="5340"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b/>
          <w:sz w:val="28"/>
          <w:szCs w:val="28"/>
        </w:rPr>
        <w:t>- предоставление юридическим лицам земельных участков в аренду без проведения торгов</w:t>
      </w:r>
      <w:r>
        <w:rPr>
          <w:rFonts w:cs="Times New Roman" w:ascii="Times New Roman" w:hAnsi="Times New Roman"/>
          <w:sz w:val="28"/>
          <w:szCs w:val="28"/>
        </w:rPr>
        <w:t xml:space="preserve"> для реализации масштабных инвестиционных проектов на территории Ставропольского края.</w:t>
      </w:r>
    </w:p>
    <w:p>
      <w:pPr>
        <w:pStyle w:val="Normal"/>
        <w:tabs>
          <w:tab w:val="left" w:pos="5340"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left" w:pos="5340"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left" w:pos="5340" w:leader="none"/>
        </w:tabs>
        <w:spacing w:lineRule="auto" w:line="240" w:before="0" w:after="0"/>
        <w:ind w:firstLine="709"/>
        <w:jc w:val="center"/>
        <w:rPr>
          <w:rFonts w:ascii="Times New Roman" w:hAnsi="Times New Roman" w:cs="Times New Roman"/>
          <w:sz w:val="28"/>
          <w:szCs w:val="28"/>
        </w:rPr>
      </w:pPr>
      <w:r>
        <w:rPr>
          <w:rFonts w:cs="Times New Roman" w:ascii="Times New Roman" w:hAnsi="Times New Roman"/>
          <w:sz w:val="28"/>
          <w:szCs w:val="28"/>
        </w:rPr>
        <w:t>3.4.2. Развитие малого, среднего и инновационного предпринимательства</w:t>
      </w:r>
    </w:p>
    <w:p>
      <w:pPr>
        <w:pStyle w:val="Normal"/>
        <w:tabs>
          <w:tab w:val="left" w:pos="5340"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left" w:pos="5340"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Приоритетными направлениями политики города-курорта Железноводска </w:t>
      </w:r>
      <w:r>
        <w:rPr>
          <w:rFonts w:cs="Times New Roman" w:ascii="Times New Roman" w:hAnsi="Times New Roman"/>
          <w:b/>
          <w:i/>
          <w:iCs/>
          <w:sz w:val="28"/>
          <w:szCs w:val="28"/>
        </w:rPr>
        <w:t>в сфере развития малого и среднего предпринимательства</w:t>
      </w:r>
      <w:r>
        <w:rPr>
          <w:rFonts w:cs="Times New Roman" w:ascii="Times New Roman" w:hAnsi="Times New Roman"/>
          <w:i/>
          <w:iCs/>
          <w:sz w:val="28"/>
          <w:szCs w:val="28"/>
        </w:rPr>
        <w:t>,</w:t>
      </w:r>
      <w:r>
        <w:rPr>
          <w:rFonts w:cs="Times New Roman" w:ascii="Times New Roman" w:hAnsi="Times New Roman"/>
          <w:sz w:val="28"/>
          <w:szCs w:val="28"/>
        </w:rPr>
        <w:t xml:space="preserve"> создания благоприятных условий для осуществления и стимулирования предпринимательской деятельности на территории муниципального образования округа являются:</w:t>
      </w:r>
    </w:p>
    <w:p>
      <w:pPr>
        <w:pStyle w:val="Normal"/>
        <w:tabs>
          <w:tab w:val="left" w:pos="5340"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устранение административных барьеров и инфраструктурных ограничений для развития предпринимательской и инвестиционной деятельности;</w:t>
      </w:r>
    </w:p>
    <w:p>
      <w:pPr>
        <w:pStyle w:val="Normal"/>
        <w:tabs>
          <w:tab w:val="left" w:pos="5340"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установление прозрачных и единообразных правил и общих принципов организации нестационарной и мобильной торговли;</w:t>
      </w:r>
    </w:p>
    <w:p>
      <w:pPr>
        <w:pStyle w:val="NoSpacing"/>
        <w:tabs>
          <w:tab w:val="left" w:pos="5340" w:leader="none"/>
        </w:tabs>
        <w:ind w:firstLine="709"/>
        <w:jc w:val="both"/>
        <w:rPr>
          <w:rFonts w:ascii="Times New Roman" w:hAnsi="Times New Roman" w:cs="Times New Roman"/>
          <w:sz w:val="28"/>
          <w:szCs w:val="28"/>
          <w:lang w:eastAsia="en-US"/>
        </w:rPr>
      </w:pPr>
      <w:r>
        <w:rPr>
          <w:rFonts w:cs="Times New Roman" w:ascii="Times New Roman" w:hAnsi="Times New Roman"/>
          <w:sz w:val="28"/>
          <w:szCs w:val="28"/>
          <w:lang w:eastAsia="en-US"/>
        </w:rPr>
        <w:t>проведение оценки регулирующего воздействия проектов муниципальных нормативных правовых актов города — курорта Железноводска Ставропольского края, затрагивающих вопросы осуществления предпринимательской и инвестиционной деятельности;</w:t>
      </w:r>
    </w:p>
    <w:p>
      <w:pPr>
        <w:pStyle w:val="Normal"/>
        <w:tabs>
          <w:tab w:val="left" w:pos="5340"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совершенствование финансовых механизмов муниципальной поддержки инвестиционной деятельности, направленных на обеспечение приоритетов Стратегии;</w:t>
      </w:r>
    </w:p>
    <w:p>
      <w:pPr>
        <w:pStyle w:val="Normal"/>
        <w:widowControl w:val="fals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создание и развитие инфраструктуры поддержки субъектов малого и среднего предпринимательства в городе-курорте Железноводске;</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предоставление государственных и муниципальных услуг для бизнеса на базе многофункционального центра города;</w:t>
      </w:r>
    </w:p>
    <w:p>
      <w:pPr>
        <w:pStyle w:val="NoSpacing"/>
        <w:widowControl w:val="false"/>
        <w:ind w:firstLine="709"/>
        <w:jc w:val="both"/>
        <w:rPr>
          <w:rFonts w:ascii="Times New Roman" w:hAnsi="Times New Roman" w:cs="Times New Roman"/>
          <w:sz w:val="28"/>
          <w:szCs w:val="28"/>
        </w:rPr>
      </w:pPr>
      <w:r>
        <w:rPr>
          <w:rFonts w:cs="Times New Roman" w:ascii="Times New Roman" w:hAnsi="Times New Roman"/>
          <w:sz w:val="28"/>
          <w:szCs w:val="28"/>
        </w:rPr>
        <w:t>повышение доступа субъектов малого и среднего предпринимательства к закупкам товаров, работ, услуг для обеспечения муниципальных нужд;</w:t>
      </w:r>
    </w:p>
    <w:p>
      <w:pPr>
        <w:pStyle w:val="Normal"/>
        <w:widowControl w:val="fals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формирование системы комплексной информационной и консультационной поддержки инвестиционной и предпринимательской деятельности;</w:t>
      </w:r>
    </w:p>
    <w:p>
      <w:pPr>
        <w:pStyle w:val="Normal"/>
        <w:widowControl w:val="fals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оказание имущественной поддержки субъектам малого и среднего предпринимательства;</w:t>
      </w:r>
    </w:p>
    <w:p>
      <w:pPr>
        <w:pStyle w:val="Normal"/>
        <w:widowControl w:val="fals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расширение перечня муниципального имущества города-курорта Железноводска свободного от прав третьих лиц и используемого в целях предоставление его во владение и (или) использование субъектам малого и среднего предпринимательства</w:t>
      </w:r>
    </w:p>
    <w:p>
      <w:pPr>
        <w:pStyle w:val="NoSpacing"/>
        <w:widowControl w:val="false"/>
        <w:ind w:firstLine="709"/>
        <w:jc w:val="both"/>
        <w:rPr>
          <w:rFonts w:ascii="Times New Roman" w:hAnsi="Times New Roman" w:cs="Times New Roman"/>
          <w:sz w:val="28"/>
          <w:szCs w:val="28"/>
        </w:rPr>
      </w:pPr>
      <w:r>
        <w:rPr>
          <w:rFonts w:cs="Times New Roman" w:ascii="Times New Roman" w:hAnsi="Times New Roman"/>
          <w:sz w:val="28"/>
          <w:szCs w:val="28"/>
        </w:rPr>
        <w:t>популяризация предпринимательской деятельности;</w:t>
      </w:r>
    </w:p>
    <w:p>
      <w:pPr>
        <w:pStyle w:val="NoSpacing"/>
        <w:widowControl w:val="false"/>
        <w:ind w:firstLine="709"/>
        <w:jc w:val="both"/>
        <w:rPr>
          <w:rFonts w:ascii="Times New Roman" w:hAnsi="Times New Roman" w:cs="Times New Roman"/>
          <w:sz w:val="28"/>
          <w:szCs w:val="28"/>
        </w:rPr>
      </w:pPr>
      <w:r>
        <w:rPr>
          <w:rFonts w:cs="Times New Roman" w:ascii="Times New Roman" w:hAnsi="Times New Roman"/>
          <w:sz w:val="28"/>
          <w:szCs w:val="28"/>
        </w:rPr>
        <w:t>регулярное освещение деятельности АО "Корпорация "МСП" и реализуемых мер поддержки;</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реализация программы (подпрограммы) развития малого и среднего предпринимательства;</w:t>
      </w:r>
    </w:p>
    <w:p>
      <w:pPr>
        <w:pStyle w:val="NoSpacing"/>
        <w:widowControl w:val="false"/>
        <w:ind w:firstLine="709"/>
        <w:jc w:val="both"/>
        <w:rPr>
          <w:rFonts w:ascii="Times New Roman" w:hAnsi="Times New Roman" w:cs="Times New Roman"/>
          <w:sz w:val="28"/>
          <w:szCs w:val="28"/>
        </w:rPr>
      </w:pPr>
      <w:r>
        <w:rPr>
          <w:rFonts w:cs="Times New Roman" w:ascii="Times New Roman" w:hAnsi="Times New Roman"/>
          <w:sz w:val="28"/>
          <w:szCs w:val="28"/>
        </w:rPr>
        <w:t>вовлечение молодежи в предпринимательскую деятельность;</w:t>
      </w:r>
    </w:p>
    <w:p>
      <w:pPr>
        <w:pStyle w:val="Normal"/>
        <w:widowControl w:val="fals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внедрение и развитие механизмов муниципально-частного партнерства для устранения инфраструктурных ограничений экономического роста города-курорта Железноводска.</w:t>
      </w:r>
    </w:p>
    <w:p>
      <w:pPr>
        <w:pStyle w:val="Normal"/>
        <w:widowControl w:val="fals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widowControl w:val="false"/>
        <w:tabs>
          <w:tab w:val="left" w:pos="3360" w:leader="none"/>
        </w:tabs>
        <w:spacing w:lineRule="auto" w:line="240" w:before="0" w:after="0"/>
        <w:ind w:right="0" w:firstLine="709"/>
        <w:jc w:val="both"/>
        <w:rPr>
          <w:rFonts w:ascii="Times New Roman" w:hAnsi="Times New Roman" w:cs="Times New Roman"/>
          <w:sz w:val="28"/>
          <w:szCs w:val="28"/>
        </w:rPr>
      </w:pPr>
      <w:r>
        <w:rPr>
          <w:rFonts w:cs="Times New Roman" w:ascii="Times New Roman" w:hAnsi="Times New Roman"/>
          <w:color w:val="000000"/>
          <w:sz w:val="28"/>
          <w:szCs w:val="28"/>
        </w:rPr>
        <w:t>Основная задача инновационной политики города-курорта Железноводска</w:t>
      </w:r>
      <w:r>
        <w:rPr>
          <w:rFonts w:cs="Times New Roman" w:ascii="Times New Roman" w:hAnsi="Times New Roman"/>
          <w:sz w:val="28"/>
          <w:szCs w:val="28"/>
        </w:rPr>
        <w:t xml:space="preserve"> – создание благоприятных условий для осуществления</w:t>
      </w:r>
      <w:r>
        <w:rPr>
          <w:rFonts w:cs="Times New Roman" w:ascii="Times New Roman" w:hAnsi="Times New Roman"/>
          <w:i/>
          <w:iCs/>
          <w:sz w:val="28"/>
          <w:szCs w:val="28"/>
        </w:rPr>
        <w:t xml:space="preserve"> </w:t>
      </w:r>
      <w:r>
        <w:rPr>
          <w:rFonts w:cs="Times New Roman" w:ascii="Times New Roman" w:hAnsi="Times New Roman"/>
          <w:b/>
          <w:i/>
          <w:iCs/>
          <w:sz w:val="28"/>
          <w:szCs w:val="28"/>
        </w:rPr>
        <w:t>инновационной деятельности</w:t>
      </w:r>
      <w:r>
        <w:rPr>
          <w:rFonts w:cs="Times New Roman" w:ascii="Times New Roman" w:hAnsi="Times New Roman"/>
          <w:b/>
          <w:sz w:val="28"/>
          <w:szCs w:val="28"/>
        </w:rPr>
        <w:t xml:space="preserve"> </w:t>
      </w:r>
      <w:r>
        <w:rPr>
          <w:rFonts w:cs="Times New Roman" w:ascii="Times New Roman" w:hAnsi="Times New Roman"/>
          <w:sz w:val="28"/>
          <w:szCs w:val="28"/>
        </w:rPr>
        <w:t>на территории города. Основными направлениями в данной сфере являются:</w:t>
      </w:r>
    </w:p>
    <w:p>
      <w:pPr>
        <w:pStyle w:val="Normal"/>
        <w:widowControl w:val="false"/>
        <w:tabs>
          <w:tab w:val="left" w:pos="3360" w:leader="none"/>
        </w:tabs>
        <w:spacing w:lineRule="auto" w:line="240" w:before="0" w:after="0"/>
        <w:ind w:right="0" w:firstLine="709"/>
        <w:jc w:val="both"/>
        <w:rPr>
          <w:rFonts w:ascii="Times New Roman" w:hAnsi="Times New Roman" w:cs="Times New Roman"/>
          <w:sz w:val="28"/>
          <w:szCs w:val="28"/>
        </w:rPr>
      </w:pPr>
      <w:r>
        <w:rPr>
          <w:rFonts w:cs="Times New Roman" w:ascii="Times New Roman" w:hAnsi="Times New Roman"/>
          <w:sz w:val="28"/>
          <w:szCs w:val="28"/>
        </w:rPr>
        <w:t>разработка и реализация инновационных образовательных программ и семинаров;</w:t>
      </w:r>
    </w:p>
    <w:p>
      <w:pPr>
        <w:pStyle w:val="Normal"/>
        <w:widowControl w:val="false"/>
        <w:tabs>
          <w:tab w:val="left" w:pos="10348" w:leader="none"/>
        </w:tabs>
        <w:spacing w:lineRule="auto" w:line="240" w:before="0" w:after="0"/>
        <w:ind w:right="0" w:firstLine="709"/>
        <w:jc w:val="both"/>
        <w:rPr>
          <w:rFonts w:ascii="Times New Roman" w:hAnsi="Times New Roman" w:cs="Times New Roman"/>
          <w:sz w:val="28"/>
          <w:szCs w:val="28"/>
        </w:rPr>
      </w:pPr>
      <w:r>
        <w:rPr>
          <w:rFonts w:cs="Times New Roman" w:ascii="Times New Roman" w:hAnsi="Times New Roman"/>
          <w:sz w:val="28"/>
          <w:szCs w:val="28"/>
        </w:rPr>
        <w:t>взаимодействие с ведущими вузами региона с целью развития системы обучения основам инновационной деятельности;</w:t>
      </w:r>
    </w:p>
    <w:p>
      <w:pPr>
        <w:pStyle w:val="Normal"/>
        <w:widowControl w:val="false"/>
        <w:tabs>
          <w:tab w:val="left" w:pos="10348" w:leader="none"/>
        </w:tabs>
        <w:spacing w:lineRule="auto" w:line="240" w:before="0" w:after="0"/>
        <w:ind w:right="0" w:firstLine="709"/>
        <w:jc w:val="both"/>
        <w:rPr>
          <w:rFonts w:ascii="Times New Roman" w:hAnsi="Times New Roman" w:cs="Times New Roman"/>
          <w:sz w:val="28"/>
          <w:szCs w:val="28"/>
        </w:rPr>
      </w:pPr>
      <w:r>
        <w:rPr>
          <w:rFonts w:cs="Times New Roman" w:ascii="Times New Roman" w:hAnsi="Times New Roman"/>
          <w:sz w:val="28"/>
          <w:szCs w:val="28"/>
        </w:rPr>
        <w:t>развитие исследований в санаториях города и реализация программы сотрудничества с ведущими вузами и академическими институтами Российской Федерации по проведению научных конференций, летних лагерей, дискуссионных площадок;</w:t>
      </w:r>
    </w:p>
    <w:p>
      <w:pPr>
        <w:pStyle w:val="Normal"/>
        <w:widowControl w:val="false"/>
        <w:tabs>
          <w:tab w:val="left" w:pos="10348" w:leader="none"/>
        </w:tabs>
        <w:spacing w:lineRule="auto" w:line="240" w:before="0" w:after="0"/>
        <w:ind w:right="0" w:firstLine="709"/>
        <w:jc w:val="both"/>
        <w:rPr>
          <w:rFonts w:ascii="Times New Roman" w:hAnsi="Times New Roman" w:cs="Times New Roman"/>
          <w:sz w:val="28"/>
          <w:szCs w:val="28"/>
        </w:rPr>
      </w:pPr>
      <w:r>
        <w:rPr>
          <w:rFonts w:cs="Times New Roman" w:ascii="Times New Roman" w:hAnsi="Times New Roman"/>
          <w:sz w:val="28"/>
          <w:szCs w:val="28"/>
        </w:rPr>
        <w:t>формирование базы для научной и инновационной деятельности в сфере медицины, спорта, туризма, экологии путём привлечения в город филиала российского вуза;</w:t>
      </w:r>
    </w:p>
    <w:p>
      <w:pPr>
        <w:pStyle w:val="Normal"/>
        <w:widowControl w:val="false"/>
        <w:tabs>
          <w:tab w:val="left" w:pos="10348" w:leader="none"/>
        </w:tabs>
        <w:spacing w:lineRule="auto" w:line="240" w:before="0" w:after="0"/>
        <w:ind w:right="0" w:firstLine="709"/>
        <w:jc w:val="both"/>
        <w:rPr>
          <w:rFonts w:ascii="Times New Roman" w:hAnsi="Times New Roman" w:cs="Times New Roman"/>
          <w:sz w:val="28"/>
          <w:szCs w:val="28"/>
        </w:rPr>
      </w:pPr>
      <w:r>
        <w:rPr>
          <w:rFonts w:cs="Times New Roman" w:ascii="Times New Roman" w:hAnsi="Times New Roman"/>
          <w:sz w:val="28"/>
          <w:szCs w:val="28"/>
        </w:rPr>
        <w:t>привлечение предпринимателей и технологических стартапов в приоритетных для города направлениях;</w:t>
      </w:r>
    </w:p>
    <w:p>
      <w:pPr>
        <w:pStyle w:val="Normal"/>
        <w:widowControl w:val="false"/>
        <w:tabs>
          <w:tab w:val="left" w:pos="10348" w:leader="none"/>
        </w:tabs>
        <w:spacing w:lineRule="auto" w:line="240" w:before="0" w:after="0"/>
        <w:ind w:right="0" w:firstLine="709"/>
        <w:jc w:val="both"/>
        <w:rPr>
          <w:rFonts w:ascii="Times New Roman" w:hAnsi="Times New Roman" w:cs="Times New Roman"/>
          <w:sz w:val="28"/>
          <w:szCs w:val="28"/>
        </w:rPr>
      </w:pPr>
      <w:r>
        <w:rPr>
          <w:rFonts w:cs="Times New Roman" w:ascii="Times New Roman" w:hAnsi="Times New Roman"/>
          <w:sz w:val="28"/>
          <w:szCs w:val="28"/>
        </w:rPr>
        <w:t>комплексное взаимодействие с некоммерческой организацией «Фонд содействия инновационному развитию Ставропольского края».</w:t>
      </w:r>
    </w:p>
    <w:p>
      <w:pPr>
        <w:pStyle w:val="Normal"/>
        <w:widowControl w:val="fals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left" w:pos="0" w:leader="none"/>
        </w:tabs>
        <w:spacing w:lineRule="auto" w:line="240" w:before="0" w:after="0"/>
        <w:ind w:firstLine="709"/>
        <w:jc w:val="both"/>
        <w:rPr>
          <w:rFonts w:ascii="Times New Roman" w:hAnsi="Times New Roman" w:cs="Times New Roman"/>
          <w:b/>
          <w:b/>
          <w:sz w:val="28"/>
          <w:szCs w:val="28"/>
        </w:rPr>
      </w:pPr>
      <w:r>
        <w:rPr>
          <w:rFonts w:cs="Times New Roman" w:ascii="Times New Roman" w:hAnsi="Times New Roman"/>
          <w:b/>
          <w:sz w:val="28"/>
          <w:szCs w:val="28"/>
        </w:rPr>
        <w:t>Ожидаемые результаты:</w:t>
      </w:r>
    </w:p>
    <w:p>
      <w:pPr>
        <w:pStyle w:val="Normal"/>
        <w:tabs>
          <w:tab w:val="left" w:pos="0"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рост количества туристов и отдыхающих на курорте;</w:t>
        <w:tab/>
        <w:tab/>
      </w:r>
    </w:p>
    <w:p>
      <w:pPr>
        <w:pStyle w:val="Normal"/>
        <w:tabs>
          <w:tab w:val="left" w:pos="0"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увеличение объемов промышленного производства города;</w:t>
      </w:r>
    </w:p>
    <w:p>
      <w:pPr>
        <w:pStyle w:val="Normal"/>
        <w:widowControl w:val="false"/>
        <w:tabs>
          <w:tab w:val="left" w:pos="10348" w:leader="none"/>
        </w:tabs>
        <w:spacing w:lineRule="auto" w:line="240" w:before="0" w:after="0"/>
        <w:ind w:right="0" w:firstLine="709"/>
        <w:jc w:val="both"/>
        <w:rPr>
          <w:rFonts w:ascii="Times New Roman" w:hAnsi="Times New Roman" w:cs="Times New Roman"/>
          <w:sz w:val="28"/>
          <w:szCs w:val="28"/>
        </w:rPr>
      </w:pPr>
      <w:r>
        <w:rPr>
          <w:rFonts w:cs="Times New Roman" w:ascii="Times New Roman" w:hAnsi="Times New Roman"/>
          <w:sz w:val="28"/>
          <w:szCs w:val="28"/>
        </w:rPr>
        <w:t>продвижение инвестиционных проектов, реализуемых на территории города в сфере курорта и туризма с привлечением ресурсов российских и иностранных инвесторов;</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увеличение количества рабочих мест;</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повышение инвестиционной привлекательности города-курорта Железноводска;</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повышение уровня жизни населения города;</w:t>
      </w:r>
    </w:p>
    <w:p>
      <w:pPr>
        <w:pStyle w:val="Normal"/>
        <w:widowControl w:val="false"/>
        <w:tabs>
          <w:tab w:val="left" w:pos="10348" w:leader="none"/>
        </w:tabs>
        <w:spacing w:lineRule="auto" w:line="240" w:before="0" w:after="0"/>
        <w:ind w:right="0" w:firstLine="709"/>
        <w:jc w:val="both"/>
        <w:rPr>
          <w:rFonts w:ascii="Times New Roman" w:hAnsi="Times New Roman" w:cs="Times New Roman"/>
          <w:sz w:val="28"/>
          <w:szCs w:val="28"/>
        </w:rPr>
      </w:pPr>
      <w:r>
        <w:rPr>
          <w:rFonts w:cs="Times New Roman" w:ascii="Times New Roman" w:hAnsi="Times New Roman"/>
          <w:sz w:val="28"/>
          <w:szCs w:val="28"/>
        </w:rPr>
        <w:t>увеличение в экономике города доли малого и среднего предпринимательства;</w:t>
      </w:r>
    </w:p>
    <w:p>
      <w:pPr>
        <w:pStyle w:val="Normal"/>
        <w:widowControl w:val="false"/>
        <w:tabs>
          <w:tab w:val="left" w:pos="10348" w:leader="none"/>
        </w:tabs>
        <w:spacing w:lineRule="auto" w:line="240" w:before="0" w:after="0"/>
        <w:ind w:right="0" w:firstLine="709"/>
        <w:jc w:val="both"/>
        <w:rPr>
          <w:rFonts w:ascii="Times New Roman" w:hAnsi="Times New Roman" w:cs="Times New Roman"/>
          <w:sz w:val="28"/>
          <w:szCs w:val="28"/>
        </w:rPr>
      </w:pPr>
      <w:r>
        <w:rPr>
          <w:rFonts w:cs="Times New Roman" w:ascii="Times New Roman" w:hAnsi="Times New Roman"/>
          <w:sz w:val="28"/>
          <w:szCs w:val="28"/>
        </w:rPr>
        <w:t>увеличение численности населения, занятого в сфере инновационного предпринимательства;</w:t>
      </w:r>
    </w:p>
    <w:p>
      <w:pPr>
        <w:pStyle w:val="Normal"/>
        <w:widowControl w:val="false"/>
        <w:tabs>
          <w:tab w:val="left" w:pos="10348" w:leader="none"/>
        </w:tabs>
        <w:spacing w:lineRule="auto" w:line="240" w:before="0" w:after="0"/>
        <w:ind w:right="0" w:firstLine="709"/>
        <w:jc w:val="both"/>
        <w:rPr>
          <w:rFonts w:ascii="Times New Roman" w:hAnsi="Times New Roman" w:cs="Times New Roman"/>
          <w:sz w:val="28"/>
          <w:szCs w:val="28"/>
        </w:rPr>
      </w:pPr>
      <w:r>
        <w:rPr>
          <w:rFonts w:cs="Times New Roman" w:ascii="Times New Roman" w:hAnsi="Times New Roman"/>
          <w:sz w:val="28"/>
          <w:szCs w:val="28"/>
        </w:rPr>
        <w:t>повышение активности хозяйствующих субъектов в привлечении различных источников финансирования, поиске партнеров для реализации инвестиционных проектов на территории города.</w:t>
      </w:r>
    </w:p>
    <w:p>
      <w:pPr>
        <w:pStyle w:val="Normal"/>
        <w:widowControl w:val="false"/>
        <w:tabs>
          <w:tab w:val="left" w:pos="10348" w:leader="none"/>
        </w:tabs>
        <w:spacing w:lineRule="auto" w:line="240" w:before="0" w:after="0"/>
        <w:ind w:right="0" w:firstLine="709"/>
        <w:jc w:val="both"/>
        <w:rPr>
          <w:rFonts w:ascii="Times New Roman" w:hAnsi="Times New Roman" w:cs="Times New Roman"/>
          <w:sz w:val="28"/>
          <w:szCs w:val="28"/>
        </w:rPr>
      </w:pPr>
      <w:r>
        <w:rPr>
          <w:rFonts w:cs="Times New Roman" w:ascii="Times New Roman" w:hAnsi="Times New Roman"/>
          <w:sz w:val="28"/>
          <w:szCs w:val="28"/>
        </w:rPr>
      </w:r>
    </w:p>
    <w:p>
      <w:pPr>
        <w:pStyle w:val="Style27"/>
        <w:spacing w:lineRule="auto" w:line="240"/>
        <w:rPr/>
      </w:pPr>
      <w:r>
        <w:rPr/>
        <w:t xml:space="preserve">Поддержку малого и среднего бизнеса и формирование условий для осуществления предпринимательской деятельности осуществляют </w:t>
      </w:r>
      <w:r>
        <w:rPr>
          <w:b/>
          <w:i/>
        </w:rPr>
        <w:t>специализированные организации</w:t>
      </w:r>
      <w:r>
        <w:rPr/>
        <w:t>:</w:t>
      </w:r>
    </w:p>
    <w:p>
      <w:pPr>
        <w:pStyle w:val="Style34"/>
        <w:numPr>
          <w:ilvl w:val="0"/>
          <w:numId w:val="0"/>
        </w:numPr>
        <w:spacing w:lineRule="auto" w:line="240"/>
        <w:ind w:firstLine="709"/>
        <w:rPr>
          <w:sz w:val="28"/>
        </w:rPr>
      </w:pPr>
      <w:r>
        <w:rPr>
          <w:sz w:val="28"/>
        </w:rPr>
        <w:t>Корпорация развития края, включая Центр государственно-частного партнерства;</w:t>
      </w:r>
    </w:p>
    <w:p>
      <w:pPr>
        <w:pStyle w:val="Style34"/>
        <w:numPr>
          <w:ilvl w:val="0"/>
          <w:numId w:val="0"/>
        </w:numPr>
        <w:spacing w:lineRule="auto" w:line="240"/>
        <w:ind w:firstLine="709"/>
        <w:rPr>
          <w:sz w:val="28"/>
        </w:rPr>
      </w:pPr>
      <w:r>
        <w:rPr>
          <w:sz w:val="28"/>
        </w:rPr>
        <w:t>некоммерческая организация «Фонд поддержки предпринимательства в Ставропольском крае» (далее – Фонд поддержки предпринимательства края);</w:t>
      </w:r>
    </w:p>
    <w:p>
      <w:pPr>
        <w:pStyle w:val="Style34"/>
        <w:numPr>
          <w:ilvl w:val="0"/>
          <w:numId w:val="0"/>
        </w:numPr>
        <w:spacing w:lineRule="auto" w:line="240"/>
        <w:ind w:firstLine="709"/>
        <w:rPr>
          <w:sz w:val="28"/>
        </w:rPr>
      </w:pPr>
      <w:r>
        <w:rPr>
          <w:sz w:val="28"/>
        </w:rPr>
        <w:t>государственное казенное учреждение «Ставропольский сельскохозяйственный информационно-консультационный центр»;</w:t>
      </w:r>
    </w:p>
    <w:p>
      <w:pPr>
        <w:pStyle w:val="Style34"/>
        <w:numPr>
          <w:ilvl w:val="0"/>
          <w:numId w:val="0"/>
        </w:numPr>
        <w:spacing w:lineRule="auto" w:line="240"/>
        <w:ind w:firstLine="709"/>
        <w:rPr>
          <w:sz w:val="28"/>
        </w:rPr>
      </w:pPr>
      <w:r>
        <w:rPr>
          <w:sz w:val="28"/>
        </w:rPr>
        <w:t>филиал акционерного общества «Российский экспортный центр» в г. Ставрополе (далее – филиал АО «РЭЦ» в г. Ставрополе);</w:t>
      </w:r>
    </w:p>
    <w:p>
      <w:pPr>
        <w:pStyle w:val="Style34"/>
        <w:numPr>
          <w:ilvl w:val="0"/>
          <w:numId w:val="0"/>
        </w:numPr>
        <w:spacing w:lineRule="auto" w:line="240"/>
        <w:ind w:firstLine="709"/>
        <w:rPr>
          <w:sz w:val="28"/>
        </w:rPr>
      </w:pPr>
      <w:r>
        <w:rPr>
          <w:sz w:val="28"/>
        </w:rPr>
        <w:t>некоммерческая организация «Фонд развития промышленности Ставропольского края»;</w:t>
      </w:r>
    </w:p>
    <w:p>
      <w:pPr>
        <w:pStyle w:val="Style34"/>
        <w:numPr>
          <w:ilvl w:val="0"/>
          <w:numId w:val="0"/>
        </w:numPr>
        <w:spacing w:lineRule="auto" w:line="240"/>
        <w:ind w:firstLine="709"/>
        <w:rPr>
          <w:sz w:val="28"/>
        </w:rPr>
      </w:pPr>
      <w:r>
        <w:rPr>
          <w:sz w:val="28"/>
        </w:rPr>
        <w:t>некоммерческая организация «Фонд содействия инновационному развитию Ставропольского края»;</w:t>
      </w:r>
    </w:p>
    <w:p>
      <w:pPr>
        <w:pStyle w:val="Style34"/>
        <w:numPr>
          <w:ilvl w:val="0"/>
          <w:numId w:val="0"/>
        </w:numPr>
        <w:spacing w:lineRule="auto" w:line="240"/>
        <w:ind w:firstLine="709"/>
        <w:rPr>
          <w:sz w:val="28"/>
        </w:rPr>
      </w:pPr>
      <w:r>
        <w:rPr>
          <w:sz w:val="28"/>
        </w:rPr>
        <w:t>государственное унитарное предприятие Ставропольского края «Гарантийный фонд поддержки субъектов малого и среднего предпринимательства Ставропольского края»;</w:t>
      </w:r>
    </w:p>
    <w:p>
      <w:pPr>
        <w:pStyle w:val="Style34"/>
        <w:numPr>
          <w:ilvl w:val="0"/>
          <w:numId w:val="0"/>
        </w:numPr>
        <w:spacing w:lineRule="auto" w:line="240"/>
        <w:ind w:firstLine="709"/>
        <w:rPr>
          <w:sz w:val="28"/>
        </w:rPr>
      </w:pPr>
      <w:r>
        <w:rPr>
          <w:rStyle w:val="St"/>
          <w:sz w:val="28"/>
        </w:rPr>
        <w:t>некоммерческая организация микрокредитная компания</w:t>
      </w:r>
      <w:r>
        <w:rPr>
          <w:sz w:val="32"/>
        </w:rPr>
        <w:t xml:space="preserve"> </w:t>
      </w:r>
      <w:r>
        <w:rPr>
          <w:sz w:val="28"/>
        </w:rPr>
        <w:t>«Фонд микрофинансирования субъектов малого и среднего предпринимательства в Ставропольском крае»;</w:t>
      </w:r>
    </w:p>
    <w:p>
      <w:pPr>
        <w:pStyle w:val="Style34"/>
        <w:numPr>
          <w:ilvl w:val="0"/>
          <w:numId w:val="0"/>
        </w:numPr>
        <w:tabs>
          <w:tab w:val="left" w:pos="5430" w:leader="none"/>
        </w:tabs>
        <w:spacing w:lineRule="auto" w:line="240"/>
        <w:ind w:firstLine="709"/>
        <w:rPr>
          <w:sz w:val="28"/>
        </w:rPr>
      </w:pPr>
      <w:r>
        <w:rPr>
          <w:sz w:val="28"/>
        </w:rPr>
        <w:t>Ставропольский бизнес-инкубатор.</w:t>
      </w:r>
    </w:p>
    <w:p>
      <w:pPr>
        <w:pStyle w:val="Normal"/>
        <w:widowControl w:val="false"/>
        <w:tabs>
          <w:tab w:val="left" w:pos="10348" w:leader="none"/>
        </w:tabs>
        <w:spacing w:lineRule="auto" w:line="240" w:before="0" w:after="0"/>
        <w:ind w:right="0" w:firstLine="709"/>
        <w:jc w:val="both"/>
        <w:rPr>
          <w:rFonts w:ascii="Times New Roman" w:hAnsi="Times New Roman" w:cs="Times New Roman"/>
          <w:sz w:val="28"/>
          <w:szCs w:val="28"/>
        </w:rPr>
      </w:pPr>
      <w:r>
        <w:rPr>
          <w:rFonts w:cs="Times New Roman" w:ascii="Times New Roman" w:hAnsi="Times New Roman"/>
          <w:sz w:val="28"/>
          <w:szCs w:val="28"/>
        </w:rPr>
      </w:r>
    </w:p>
    <w:p>
      <w:pPr>
        <w:pStyle w:val="3"/>
        <w:rPr/>
      </w:pPr>
      <w:bookmarkStart w:id="29" w:name="_Toc11337761"/>
      <w:bookmarkEnd w:id="29"/>
      <w:r>
        <w:rPr/>
        <w:t>3.5. Модернизация объектов инфраструктуры</w:t>
      </w:r>
    </w:p>
    <w:p>
      <w:pPr>
        <w:pStyle w:val="Style22"/>
        <w:ind w:firstLine="709"/>
        <w:jc w:val="center"/>
        <w:rPr>
          <w:sz w:val="28"/>
          <w:szCs w:val="28"/>
        </w:rPr>
      </w:pPr>
      <w:r>
        <w:rPr>
          <w:sz w:val="28"/>
          <w:szCs w:val="28"/>
        </w:rPr>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Потенциал города-курорта Железноводска для развития туризма огромен, в то же время имеется ряд сдерживающих факторов, среди которых высокая степень изношенности и недостаточное качество туристской инфраструктуры. Уникальность и разнообразие природно-климатических ресурсов территории, значительные исторические и социально-культурные активы создают благоприятные условия для развития туристско-рекреационного комплекса. </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Актуальными остаются вопросы развития транспортной и коммунальной инфраструктуры, обустройства дорог и дорожной инфраструктуры, предприятий общественного питания, развлекательных и спортивных учреждений.</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Многие памятники и объекты культурно-исторического наследия нуждаются в реставрации, из них памятники архитектуры федерального и краевого значения: здание «Островских ванн»</w:t>
      </w:r>
      <w:r>
        <w:rPr>
          <w:rStyle w:val="FontStyle11"/>
          <w:sz w:val="28"/>
          <w:szCs w:val="28"/>
        </w:rPr>
        <w:t xml:space="preserve">, «Дача Эмира Бухарского» и «Подворье Карповых». </w:t>
      </w:r>
      <w:r>
        <w:rPr>
          <w:rFonts w:cs="Times New Roman" w:ascii="Times New Roman" w:hAnsi="Times New Roman"/>
          <w:sz w:val="28"/>
          <w:szCs w:val="28"/>
        </w:rPr>
        <w:t>Неудовлетворительно состояние многих объектов лечебного парка и общего благоустройства, в полуразрушенном виде находятся памятники и малые архитектурные формы.</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Современное состояние гостиничной базы заметно улучшилось за последние пять лет, появились новые предприятия размещения, в том числе различного класса обслуживания. Однако все еще ощущается нехватка средств размещения экономичного и среднего ценового сегмента, предлагающих стандартизированный набор услуг. </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Санаторно-курортный и туристический комплекс должны развиваться как кластер (комплекс взаимосвязанных предприятий). Для этого, опираясь на конкурентные преимущества города необходимо развивать все составляющие кластера (санаторно-курортные учреждения, учреждения здравоохранения, объектов туризма и развлечений, инженерную и коммунальную инфраструктуру).</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Основными направлениями политики города-курорта Железноводска по модернизации инфраструктуры являются:</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совершенствование системы правовых актов, регулирующих правоотношения в области землепользования и застройки;</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реализация требований Градостроительного кодекса Российской Федерации и положений генерального плана города-курорта Железноводска Ставропольского края, актуализация основных документов территориального планирования на территории муниципального образования;</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реконструкция и модернизация существующих объектов санаторно-курортного и гостиничного комплекса, строительство новых объектов туристско-рекреационного назначения;</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реконструкция рекреационных территорий (инженерные сети, терренкуры, бюветы, объекты благоустройства) курортного (лечебного) парка;</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реконструкция и реставрация объектов культурного показа, памятников архитектуры федеральной значения, находящихся в федеральной собственности;</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формирование и развитие системы современных предприятий торговли и общественного питания, культурно-развлекательных учреждений;</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развитие улично-дорожной сети, приведение технического состояния дорожной сети города в соответствие с действующими нормативами и техническими требованиями для обеспечения комфортного проезда;</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обновление и модернизация парка автотранспортных средств общественного пассажирского транспорта, совершенствование организации транспортного обслуживания на конкурсной основе;</w:t>
      </w:r>
    </w:p>
    <w:p>
      <w:pPr>
        <w:pStyle w:val="Normal"/>
        <w:spacing w:lineRule="auto" w:line="240" w:before="0" w:after="0"/>
        <w:ind w:firstLine="709"/>
        <w:jc w:val="both"/>
        <w:rPr>
          <w:rStyle w:val="Strong"/>
          <w:rFonts w:ascii="Times New Roman" w:hAnsi="Times New Roman" w:cs="Times New Roman"/>
          <w:sz w:val="28"/>
          <w:szCs w:val="28"/>
        </w:rPr>
      </w:pPr>
      <w:r>
        <w:rPr>
          <w:rFonts w:cs="Times New Roman" w:ascii="Times New Roman" w:hAnsi="Times New Roman"/>
          <w:sz w:val="28"/>
          <w:szCs w:val="28"/>
        </w:rPr>
        <w:t>развитие межмуниципального транспортного сообщения;</w:t>
      </w:r>
    </w:p>
    <w:p>
      <w:pPr>
        <w:pStyle w:val="Normal"/>
        <w:spacing w:lineRule="auto" w:line="240" w:before="0" w:after="0"/>
        <w:ind w:firstLine="709"/>
        <w:jc w:val="both"/>
        <w:rPr>
          <w:rStyle w:val="Strong"/>
          <w:rFonts w:ascii="Times New Roman" w:hAnsi="Times New Roman" w:cs="Times New Roman"/>
          <w:b w:val="false"/>
          <w:b w:val="false"/>
          <w:sz w:val="28"/>
          <w:szCs w:val="28"/>
        </w:rPr>
      </w:pPr>
      <w:r>
        <w:rPr>
          <w:rStyle w:val="Strong"/>
          <w:rFonts w:cs="Times New Roman" w:ascii="Times New Roman" w:hAnsi="Times New Roman"/>
          <w:b w:val="false"/>
          <w:sz w:val="28"/>
          <w:szCs w:val="28"/>
        </w:rPr>
        <w:t>реконструкция и обновление городских инженерных сетей и объектов водоснабжения, водоотведения, электроснабжения, теплоснабжения, газоснабжения и связи города, в том числе строительство инженерных сетей в поселке Иноземцево для оснащения инженерной инфраструктурой земельных участков, предоставленных в целях жилищного строительства гражданам, газификация жилого района Розы Люксембург;</w:t>
      </w:r>
    </w:p>
    <w:p>
      <w:pPr>
        <w:pStyle w:val="Normal"/>
        <w:spacing w:lineRule="auto" w:line="240" w:before="0" w:after="0"/>
        <w:ind w:firstLine="709"/>
        <w:jc w:val="both"/>
        <w:rPr>
          <w:rFonts w:ascii="Times New Roman" w:hAnsi="Times New Roman" w:cs="Times New Roman"/>
          <w:b/>
          <w:b/>
          <w:sz w:val="28"/>
          <w:szCs w:val="28"/>
        </w:rPr>
      </w:pPr>
      <w:r>
        <w:rPr>
          <w:rStyle w:val="Strong"/>
          <w:rFonts w:cs="Times New Roman" w:ascii="Times New Roman" w:hAnsi="Times New Roman"/>
          <w:b w:val="false"/>
          <w:sz w:val="28"/>
          <w:szCs w:val="28"/>
        </w:rPr>
        <w:t>предупреждение и пресечение самовольного строительства;</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создание условий, обеспечивающих снижение морально-технического износа жилищного фонда, в том числе ликвидации аварийного и ветхого жилищного фонда (центральная часть города).</w:t>
      </w:r>
    </w:p>
    <w:p>
      <w:pPr>
        <w:pStyle w:val="Normal"/>
        <w:spacing w:lineRule="auto" w:line="240" w:before="0" w:after="0"/>
        <w:ind w:firstLine="709"/>
        <w:jc w:val="both"/>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lineRule="auto" w:line="240" w:before="0" w:after="0"/>
        <w:ind w:firstLine="709"/>
        <w:jc w:val="both"/>
        <w:rPr>
          <w:rFonts w:ascii="Times New Roman" w:hAnsi="Times New Roman" w:cs="Times New Roman"/>
          <w:b/>
          <w:b/>
          <w:bCs/>
          <w:sz w:val="28"/>
          <w:szCs w:val="28"/>
        </w:rPr>
      </w:pPr>
      <w:r>
        <w:rPr>
          <w:rFonts w:cs="Times New Roman" w:ascii="Times New Roman" w:hAnsi="Times New Roman"/>
          <w:b/>
          <w:sz w:val="28"/>
          <w:szCs w:val="28"/>
        </w:rPr>
        <w:t>Ожидаемые результаты:</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обеспечение комфортабельности средств размещения (санаторно-курортных учреждений, гостиниц);</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sz w:val="28"/>
          <w:szCs w:val="28"/>
        </w:rPr>
        <w:t xml:space="preserve">приведение в надлежащее состояние общекурортной территории, включающей курортный (лечебный) парк, питьевые бюветы, терренкуры, памятники архитектуры и объекты инфраструктуры; </w:t>
        <w:tab/>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улучшение состояния автомобильных дорог, сокращение протяженности автомобильных дорог общего пользования местного значения, не отвечающих нормативным требованиям;</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повышение качества услуг по перевозке пассажиров транспортом общего пользования;</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повышение эффективности системы теплоснабжения, электроснабжения, газоснабжения, водоснабжения и водоотведения;</w:t>
      </w:r>
    </w:p>
    <w:p>
      <w:pPr>
        <w:pStyle w:val="Normal"/>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повышение конкурентоспособности туристско-рекреационного комплекса города;</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color w:val="000000"/>
          <w:sz w:val="28"/>
          <w:szCs w:val="28"/>
        </w:rPr>
        <w:t xml:space="preserve">повышение инвестиционной привлекательности города-курорта Железноводска; </w:t>
      </w:r>
    </w:p>
    <w:p>
      <w:pPr>
        <w:pStyle w:val="Standard"/>
        <w:rPr>
          <w:sz w:val="28"/>
          <w:szCs w:val="28"/>
        </w:rPr>
      </w:pPr>
      <w:r>
        <w:rPr>
          <w:sz w:val="28"/>
          <w:szCs w:val="28"/>
        </w:rPr>
        <w:t>увеличение количества туристов и отдыхающих на курорте.</w:t>
      </w:r>
    </w:p>
    <w:p>
      <w:pPr>
        <w:pStyle w:val="Standard"/>
        <w:rPr>
          <w:sz w:val="28"/>
          <w:szCs w:val="28"/>
        </w:rPr>
      </w:pPr>
      <w:r>
        <w:rPr>
          <w:sz w:val="28"/>
          <w:szCs w:val="28"/>
        </w:rPr>
      </w:r>
    </w:p>
    <w:p>
      <w:pPr>
        <w:pStyle w:val="3"/>
        <w:rPr/>
      </w:pPr>
      <w:bookmarkStart w:id="30" w:name="_Toc11337762"/>
      <w:bookmarkEnd w:id="30"/>
      <w:r>
        <w:rPr/>
        <w:t>4. ПОКАЗАТЕЛИ ДОСТИЖЕНИЯ ЦЕЛЕЙ СОЦИАЛЬНО- ЭКОНОМИЧЕСКОГО РАЗВИТИЯ ГОРОДА-КУРОРТА ЖЕЛЕЗНОВОДСКА</w:t>
      </w:r>
    </w:p>
    <w:p>
      <w:pPr>
        <w:pStyle w:val="Normal"/>
        <w:spacing w:lineRule="auto" w:line="240" w:before="0" w:after="0"/>
        <w:ind w:firstLine="709"/>
        <w:jc w:val="center"/>
        <w:rPr>
          <w:rFonts w:ascii="Times New Roman" w:hAnsi="Times New Roman" w:cs="Times New Roman"/>
          <w:b/>
          <w:b/>
          <w:sz w:val="28"/>
          <w:szCs w:val="28"/>
        </w:rPr>
      </w:pPr>
      <w:r>
        <w:rPr>
          <w:rFonts w:cs="Times New Roman" w:ascii="Times New Roman" w:hAnsi="Times New Roman"/>
          <w:b/>
          <w:sz w:val="28"/>
          <w:szCs w:val="28"/>
        </w:rPr>
      </w:r>
    </w:p>
    <w:p>
      <w:pPr>
        <w:pStyle w:val="Standard"/>
        <w:jc w:val="right"/>
        <w:rPr>
          <w:b/>
          <w:b/>
          <w:szCs w:val="28"/>
        </w:rPr>
      </w:pPr>
      <w:r>
        <w:rPr>
          <w:b/>
          <w:szCs w:val="28"/>
        </w:rPr>
        <w:t>Таблица 16</w:t>
      </w:r>
    </w:p>
    <w:p>
      <w:pPr>
        <w:pStyle w:val="Standard"/>
        <w:jc w:val="center"/>
        <w:rPr>
          <w:b/>
          <w:b/>
          <w:szCs w:val="28"/>
        </w:rPr>
      </w:pPr>
      <w:r>
        <w:rPr>
          <w:b/>
          <w:szCs w:val="28"/>
        </w:rPr>
        <w:t>Показатели достижения целей социально-экономического развития города-курорта Железноводска Ставропольского края</w:t>
      </w:r>
    </w:p>
    <w:p>
      <w:pPr>
        <w:pStyle w:val="Standard"/>
        <w:jc w:val="center"/>
        <w:rPr>
          <w:b/>
          <w:b/>
          <w:szCs w:val="28"/>
        </w:rPr>
      </w:pPr>
      <w:r>
        <w:rPr>
          <w:b/>
          <w:szCs w:val="28"/>
        </w:rPr>
        <w:t>на период реализации Стратегии</w:t>
      </w:r>
    </w:p>
    <w:tbl>
      <w:tblPr>
        <w:tblW w:w="9721" w:type="dxa"/>
        <w:jc w:val="left"/>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55" w:type="dxa"/>
          <w:bottom w:w="55" w:type="dxa"/>
          <w:right w:w="55" w:type="dxa"/>
        </w:tblCellMar>
        <w:tblLook w:noVBand="0" w:val="0000" w:noHBand="0" w:lastColumn="0" w:firstColumn="0" w:lastRow="0" w:firstRow="0"/>
      </w:tblPr>
      <w:tblGrid>
        <w:gridCol w:w="566"/>
        <w:gridCol w:w="3059"/>
        <w:gridCol w:w="1032"/>
        <w:gridCol w:w="1031"/>
        <w:gridCol w:w="1032"/>
        <w:gridCol w:w="1031"/>
        <w:gridCol w:w="1066"/>
        <w:gridCol w:w="902"/>
      </w:tblGrid>
      <w:tr>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spacing w:before="0" w:after="0"/>
              <w:contextualSpacing/>
              <w:jc w:val="center"/>
              <w:rPr>
                <w:b/>
                <w:b/>
                <w:bCs/>
                <w:sz w:val="28"/>
                <w:szCs w:val="28"/>
              </w:rPr>
            </w:pPr>
            <w:r>
              <w:rPr>
                <w:b/>
                <w:bCs/>
                <w:sz w:val="28"/>
                <w:szCs w:val="28"/>
              </w:rPr>
              <w:t>№</w:t>
            </w:r>
          </w:p>
          <w:p>
            <w:pPr>
              <w:pStyle w:val="Style26"/>
              <w:spacing w:before="0" w:after="0"/>
              <w:contextualSpacing/>
              <w:jc w:val="center"/>
              <w:rPr>
                <w:b/>
                <w:b/>
                <w:bCs/>
                <w:sz w:val="28"/>
                <w:szCs w:val="28"/>
              </w:rPr>
            </w:pPr>
            <w:r>
              <w:rPr>
                <w:b/>
                <w:bCs/>
                <w:sz w:val="28"/>
                <w:szCs w:val="28"/>
              </w:rPr>
              <w:t>п/п</w:t>
            </w:r>
          </w:p>
        </w:tc>
        <w:tc>
          <w:tcPr>
            <w:tcW w:w="30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spacing w:before="0" w:after="0"/>
              <w:contextualSpacing/>
              <w:jc w:val="center"/>
              <w:rPr>
                <w:b/>
                <w:b/>
                <w:bCs/>
                <w:sz w:val="28"/>
                <w:szCs w:val="28"/>
              </w:rPr>
            </w:pPr>
            <w:r>
              <w:rPr>
                <w:b/>
                <w:bCs/>
                <w:sz w:val="28"/>
                <w:szCs w:val="28"/>
              </w:rPr>
              <w:t>Наименование  показателя</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spacing w:before="0" w:after="0"/>
              <w:contextualSpacing/>
              <w:jc w:val="center"/>
              <w:rPr>
                <w:b/>
                <w:b/>
                <w:bCs/>
                <w:sz w:val="28"/>
                <w:szCs w:val="28"/>
              </w:rPr>
            </w:pPr>
            <w:r>
              <w:rPr>
                <w:b/>
                <w:bCs/>
                <w:sz w:val="28"/>
                <w:szCs w:val="28"/>
              </w:rPr>
              <w:t xml:space="preserve">2016 </w:t>
            </w:r>
          </w:p>
          <w:p>
            <w:pPr>
              <w:pStyle w:val="Style26"/>
              <w:spacing w:before="0" w:after="0"/>
              <w:contextualSpacing/>
              <w:jc w:val="center"/>
              <w:rPr>
                <w:b/>
                <w:b/>
                <w:bCs/>
                <w:sz w:val="28"/>
                <w:szCs w:val="28"/>
              </w:rPr>
            </w:pPr>
            <w:r>
              <w:rPr>
                <w:b/>
                <w:bCs/>
                <w:sz w:val="28"/>
                <w:szCs w:val="28"/>
              </w:rPr>
              <w:t>год</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spacing w:before="0" w:after="0"/>
              <w:contextualSpacing/>
              <w:jc w:val="center"/>
              <w:rPr>
                <w:b/>
                <w:b/>
                <w:bCs/>
                <w:sz w:val="28"/>
                <w:szCs w:val="28"/>
              </w:rPr>
            </w:pPr>
            <w:r>
              <w:rPr>
                <w:b/>
                <w:bCs/>
                <w:sz w:val="28"/>
                <w:szCs w:val="28"/>
              </w:rPr>
              <w:t xml:space="preserve">2018 </w:t>
            </w:r>
          </w:p>
          <w:p>
            <w:pPr>
              <w:pStyle w:val="Style26"/>
              <w:spacing w:before="0" w:after="0"/>
              <w:contextualSpacing/>
              <w:jc w:val="center"/>
              <w:rPr>
                <w:b/>
                <w:b/>
                <w:bCs/>
                <w:sz w:val="28"/>
                <w:szCs w:val="28"/>
              </w:rPr>
            </w:pPr>
            <w:r>
              <w:rPr>
                <w:b/>
                <w:bCs/>
                <w:sz w:val="28"/>
                <w:szCs w:val="28"/>
              </w:rPr>
              <w:t>год</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spacing w:before="0" w:after="0"/>
              <w:contextualSpacing/>
              <w:jc w:val="center"/>
              <w:rPr>
                <w:b/>
                <w:b/>
                <w:bCs/>
                <w:sz w:val="28"/>
                <w:szCs w:val="28"/>
              </w:rPr>
            </w:pPr>
            <w:r>
              <w:rPr>
                <w:b/>
                <w:bCs/>
                <w:sz w:val="28"/>
                <w:szCs w:val="28"/>
              </w:rPr>
              <w:t>2021</w:t>
            </w:r>
          </w:p>
          <w:p>
            <w:pPr>
              <w:pStyle w:val="Style26"/>
              <w:spacing w:before="0" w:after="0"/>
              <w:contextualSpacing/>
              <w:jc w:val="center"/>
              <w:rPr>
                <w:b/>
                <w:b/>
                <w:bCs/>
                <w:sz w:val="28"/>
                <w:szCs w:val="28"/>
              </w:rPr>
            </w:pPr>
            <w:r>
              <w:rPr>
                <w:b/>
                <w:bCs/>
                <w:sz w:val="28"/>
                <w:szCs w:val="28"/>
              </w:rPr>
              <w:t>год</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spacing w:before="0" w:after="0"/>
              <w:contextualSpacing/>
              <w:jc w:val="center"/>
              <w:rPr>
                <w:b/>
                <w:b/>
                <w:bCs/>
                <w:sz w:val="28"/>
                <w:szCs w:val="28"/>
              </w:rPr>
            </w:pPr>
            <w:r>
              <w:rPr>
                <w:b/>
                <w:bCs/>
                <w:sz w:val="28"/>
                <w:szCs w:val="28"/>
              </w:rPr>
              <w:t>2026</w:t>
            </w:r>
          </w:p>
          <w:p>
            <w:pPr>
              <w:pStyle w:val="Style26"/>
              <w:spacing w:before="0" w:after="0"/>
              <w:contextualSpacing/>
              <w:jc w:val="center"/>
              <w:rPr>
                <w:b/>
                <w:b/>
                <w:bCs/>
                <w:sz w:val="28"/>
                <w:szCs w:val="28"/>
              </w:rPr>
            </w:pPr>
            <w:r>
              <w:rPr>
                <w:b/>
                <w:bCs/>
                <w:sz w:val="28"/>
                <w:szCs w:val="28"/>
              </w:rPr>
              <w:t>год</w:t>
            </w:r>
          </w:p>
        </w:tc>
        <w:tc>
          <w:tcPr>
            <w:tcW w:w="10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spacing w:before="0" w:after="0"/>
              <w:contextualSpacing/>
              <w:jc w:val="center"/>
              <w:rPr>
                <w:b/>
                <w:b/>
                <w:bCs/>
                <w:sz w:val="28"/>
                <w:szCs w:val="28"/>
              </w:rPr>
            </w:pPr>
            <w:r>
              <w:rPr>
                <w:b/>
                <w:bCs/>
                <w:sz w:val="28"/>
                <w:szCs w:val="28"/>
              </w:rPr>
              <w:t>2031</w:t>
            </w:r>
          </w:p>
          <w:p>
            <w:pPr>
              <w:pStyle w:val="Style26"/>
              <w:spacing w:before="0" w:after="0"/>
              <w:contextualSpacing/>
              <w:jc w:val="center"/>
              <w:rPr>
                <w:b/>
                <w:b/>
                <w:bCs/>
                <w:sz w:val="28"/>
                <w:szCs w:val="28"/>
              </w:rPr>
            </w:pPr>
            <w:r>
              <w:rPr>
                <w:b/>
                <w:bCs/>
                <w:sz w:val="28"/>
                <w:szCs w:val="28"/>
              </w:rPr>
              <w:t>год</w:t>
            </w:r>
          </w:p>
        </w:tc>
        <w:tc>
          <w:tcPr>
            <w:tcW w:w="9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5" w:type="dxa"/>
            </w:tcMar>
          </w:tcPr>
          <w:p>
            <w:pPr>
              <w:pStyle w:val="Style26"/>
              <w:spacing w:before="0" w:after="0"/>
              <w:contextualSpacing/>
              <w:jc w:val="center"/>
              <w:rPr>
                <w:b/>
                <w:b/>
                <w:bCs/>
                <w:sz w:val="28"/>
                <w:szCs w:val="28"/>
              </w:rPr>
            </w:pPr>
            <w:r>
              <w:rPr>
                <w:b/>
                <w:bCs/>
                <w:sz w:val="28"/>
                <w:szCs w:val="28"/>
              </w:rPr>
              <w:t>2035</w:t>
            </w:r>
          </w:p>
          <w:p>
            <w:pPr>
              <w:pStyle w:val="Style26"/>
              <w:spacing w:before="0" w:after="0"/>
              <w:contextualSpacing/>
              <w:jc w:val="center"/>
              <w:rPr>
                <w:b/>
                <w:b/>
                <w:bCs/>
                <w:sz w:val="28"/>
                <w:szCs w:val="28"/>
              </w:rPr>
            </w:pPr>
            <w:r>
              <w:rPr>
                <w:b/>
                <w:bCs/>
                <w:sz w:val="28"/>
                <w:szCs w:val="28"/>
              </w:rPr>
              <w:t>год</w:t>
            </w:r>
          </w:p>
        </w:tc>
      </w:tr>
      <w:tr>
        <w:trPr/>
        <w:tc>
          <w:tcPr>
            <w:tcW w:w="9719" w:type="dxa"/>
            <w:gridSpan w:val="8"/>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Формирование высокого уровня качества жизни горожан в максимально удобной среде проживания</w:t>
            </w:r>
          </w:p>
        </w:tc>
      </w:tr>
      <w:tr>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both"/>
              <w:rPr>
                <w:sz w:val="28"/>
                <w:szCs w:val="28"/>
              </w:rPr>
            </w:pPr>
            <w:r>
              <w:rPr>
                <w:sz w:val="28"/>
                <w:szCs w:val="28"/>
              </w:rPr>
              <w:t>1.</w:t>
            </w:r>
          </w:p>
        </w:tc>
        <w:tc>
          <w:tcPr>
            <w:tcW w:w="30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 xml:space="preserve">Численность населения </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(среднегодовая)                   тыс. чел</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lang w:val="en-US"/>
              </w:rPr>
              <w:t>52</w:t>
            </w:r>
            <w:r>
              <w:rPr>
                <w:sz w:val="28"/>
                <w:szCs w:val="28"/>
              </w:rPr>
              <w:t>,</w:t>
            </w:r>
            <w:r>
              <w:rPr>
                <w:sz w:val="28"/>
                <w:szCs w:val="28"/>
                <w:lang w:val="en-US"/>
              </w:rPr>
              <w:t>7</w:t>
            </w:r>
            <w:r>
              <w:rPr>
                <w:sz w:val="28"/>
                <w:szCs w:val="28"/>
              </w:rPr>
              <w:t>0</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lang w:val="en-US"/>
              </w:rPr>
            </w:pPr>
            <w:r>
              <w:rPr>
                <w:sz w:val="28"/>
                <w:szCs w:val="28"/>
                <w:lang w:val="en-US"/>
              </w:rPr>
              <w:t>52,56</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lang w:val="en-US"/>
              </w:rPr>
              <w:t>52</w:t>
            </w:r>
            <w:r>
              <w:rPr>
                <w:sz w:val="28"/>
                <w:szCs w:val="28"/>
              </w:rPr>
              <w:t>,65</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lang w:val="en-US"/>
              </w:rPr>
            </w:pPr>
            <w:r>
              <w:rPr>
                <w:sz w:val="28"/>
                <w:szCs w:val="28"/>
                <w:lang w:val="en-US"/>
              </w:rPr>
              <w:t>5</w:t>
            </w:r>
            <w:r>
              <w:rPr>
                <w:sz w:val="28"/>
                <w:szCs w:val="28"/>
              </w:rPr>
              <w:t>3</w:t>
            </w:r>
            <w:r>
              <w:rPr>
                <w:sz w:val="28"/>
                <w:szCs w:val="28"/>
                <w:lang w:val="en-US"/>
              </w:rPr>
              <w:t>,05</w:t>
            </w:r>
          </w:p>
        </w:tc>
        <w:tc>
          <w:tcPr>
            <w:tcW w:w="10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lang w:val="en-US"/>
              </w:rPr>
            </w:pPr>
            <w:r>
              <w:rPr>
                <w:sz w:val="28"/>
                <w:szCs w:val="28"/>
                <w:lang w:val="en-US"/>
              </w:rPr>
              <w:t>53,86</w:t>
            </w:r>
          </w:p>
        </w:tc>
        <w:tc>
          <w:tcPr>
            <w:tcW w:w="9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5" w:type="dxa"/>
            </w:tcMar>
          </w:tcPr>
          <w:p>
            <w:pPr>
              <w:pStyle w:val="Style26"/>
              <w:jc w:val="center"/>
              <w:rPr>
                <w:sz w:val="28"/>
                <w:szCs w:val="28"/>
                <w:lang w:val="en-US"/>
              </w:rPr>
            </w:pPr>
            <w:r>
              <w:rPr>
                <w:sz w:val="28"/>
                <w:szCs w:val="28"/>
                <w:lang w:val="en-US"/>
              </w:rPr>
              <w:t>54,84</w:t>
            </w:r>
          </w:p>
        </w:tc>
      </w:tr>
      <w:tr>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both"/>
              <w:rPr>
                <w:sz w:val="28"/>
                <w:szCs w:val="28"/>
              </w:rPr>
            </w:pPr>
            <w:r>
              <w:rPr>
                <w:sz w:val="28"/>
                <w:szCs w:val="28"/>
              </w:rPr>
              <w:t>2.</w:t>
            </w:r>
          </w:p>
        </w:tc>
        <w:tc>
          <w:tcPr>
            <w:tcW w:w="30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Общий коэффициент рождаемости (число родившихся на 1000 человек населения)</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rPr>
              <w:t>15,09</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rPr>
              <w:t>10,75</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rPr>
              <w:t>11,39</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rPr>
              <w:t>12,48</w:t>
            </w:r>
          </w:p>
        </w:tc>
        <w:tc>
          <w:tcPr>
            <w:tcW w:w="10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rPr>
              <w:t>13,44</w:t>
            </w:r>
          </w:p>
        </w:tc>
        <w:tc>
          <w:tcPr>
            <w:tcW w:w="9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5" w:type="dxa"/>
            </w:tcMar>
          </w:tcPr>
          <w:p>
            <w:pPr>
              <w:pStyle w:val="Style26"/>
              <w:jc w:val="center"/>
              <w:rPr>
                <w:sz w:val="28"/>
                <w:szCs w:val="28"/>
              </w:rPr>
            </w:pPr>
            <w:r>
              <w:rPr>
                <w:sz w:val="28"/>
                <w:szCs w:val="28"/>
              </w:rPr>
              <w:t>14,29</w:t>
            </w:r>
          </w:p>
        </w:tc>
      </w:tr>
      <w:tr>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both"/>
              <w:rPr>
                <w:sz w:val="28"/>
                <w:szCs w:val="28"/>
              </w:rPr>
            </w:pPr>
            <w:r>
              <w:rPr>
                <w:sz w:val="28"/>
                <w:szCs w:val="28"/>
              </w:rPr>
              <w:t>3.</w:t>
            </w:r>
          </w:p>
        </w:tc>
        <w:tc>
          <w:tcPr>
            <w:tcW w:w="30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Общий коэффициент смертности (число умерших на 1000 человек населения)</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rPr>
              <w:t>14,21</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rPr>
              <w:t>13,17</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rPr>
              <w:t>12,63</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rPr>
              <w:t>12,17</w:t>
            </w:r>
          </w:p>
        </w:tc>
        <w:tc>
          <w:tcPr>
            <w:tcW w:w="10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rPr>
              <w:t>11,57</w:t>
            </w:r>
          </w:p>
        </w:tc>
        <w:tc>
          <w:tcPr>
            <w:tcW w:w="9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5" w:type="dxa"/>
            </w:tcMar>
          </w:tcPr>
          <w:p>
            <w:pPr>
              <w:pStyle w:val="Style26"/>
              <w:jc w:val="center"/>
              <w:rPr>
                <w:sz w:val="28"/>
                <w:szCs w:val="28"/>
              </w:rPr>
            </w:pPr>
            <w:r>
              <w:rPr>
                <w:sz w:val="28"/>
                <w:szCs w:val="28"/>
              </w:rPr>
              <w:t>11,05</w:t>
            </w:r>
          </w:p>
        </w:tc>
      </w:tr>
      <w:tr>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both"/>
              <w:rPr>
                <w:sz w:val="28"/>
                <w:szCs w:val="28"/>
              </w:rPr>
            </w:pPr>
            <w:r>
              <w:rPr>
                <w:sz w:val="28"/>
                <w:szCs w:val="28"/>
              </w:rPr>
              <w:t>4.</w:t>
            </w:r>
          </w:p>
        </w:tc>
        <w:tc>
          <w:tcPr>
            <w:tcW w:w="30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 xml:space="preserve">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rPr>
              <w:t>23,9</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rPr>
              <w:t>24,8</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rPr>
              <w:t>25,6</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rPr>
              <w:t>29,4</w:t>
            </w:r>
          </w:p>
        </w:tc>
        <w:tc>
          <w:tcPr>
            <w:tcW w:w="10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rPr>
              <w:t>32,7</w:t>
            </w:r>
          </w:p>
        </w:tc>
        <w:tc>
          <w:tcPr>
            <w:tcW w:w="9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5" w:type="dxa"/>
            </w:tcMar>
          </w:tcPr>
          <w:p>
            <w:pPr>
              <w:pStyle w:val="Style26"/>
              <w:jc w:val="center"/>
              <w:rPr>
                <w:sz w:val="28"/>
                <w:szCs w:val="28"/>
              </w:rPr>
            </w:pPr>
            <w:r>
              <w:rPr>
                <w:sz w:val="28"/>
                <w:szCs w:val="28"/>
              </w:rPr>
              <w:t>35,5</w:t>
            </w:r>
          </w:p>
        </w:tc>
      </w:tr>
      <w:tr>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both"/>
              <w:rPr>
                <w:color w:val="000000"/>
                <w:sz w:val="28"/>
                <w:szCs w:val="28"/>
              </w:rPr>
            </w:pPr>
            <w:r>
              <w:rPr>
                <w:sz w:val="28"/>
                <w:szCs w:val="28"/>
              </w:rPr>
              <w:t>5.</w:t>
            </w:r>
          </w:p>
        </w:tc>
        <w:tc>
          <w:tcPr>
            <w:tcW w:w="30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Уровень регистрируемой безработицы (на конец года)</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rPr>
              <w:t>0,60</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rPr>
              <w:t>0,30</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rPr>
              <w:t>0,28</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rPr>
              <w:t>0,26</w:t>
            </w:r>
          </w:p>
        </w:tc>
        <w:tc>
          <w:tcPr>
            <w:tcW w:w="10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rPr>
              <w:t>0,23</w:t>
            </w:r>
          </w:p>
        </w:tc>
        <w:tc>
          <w:tcPr>
            <w:tcW w:w="9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5" w:type="dxa"/>
            </w:tcMar>
          </w:tcPr>
          <w:p>
            <w:pPr>
              <w:pStyle w:val="Style26"/>
              <w:jc w:val="center"/>
              <w:rPr>
                <w:sz w:val="28"/>
                <w:szCs w:val="28"/>
              </w:rPr>
            </w:pPr>
            <w:r>
              <w:rPr>
                <w:sz w:val="28"/>
                <w:szCs w:val="28"/>
              </w:rPr>
              <w:t>0,21</w:t>
            </w:r>
          </w:p>
        </w:tc>
      </w:tr>
      <w:tr>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both"/>
              <w:rPr>
                <w:sz w:val="28"/>
                <w:szCs w:val="28"/>
              </w:rPr>
            </w:pPr>
            <w:r>
              <w:rPr>
                <w:sz w:val="28"/>
                <w:szCs w:val="28"/>
              </w:rPr>
              <w:t>6.</w:t>
            </w:r>
          </w:p>
        </w:tc>
        <w:tc>
          <w:tcPr>
            <w:tcW w:w="30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Web"/>
              <w:suppressAutoHyphens w:val="false"/>
              <w:spacing w:before="0" w:after="0"/>
              <w:jc w:val="both"/>
              <w:rPr>
                <w:sz w:val="28"/>
                <w:szCs w:val="28"/>
              </w:rPr>
            </w:pPr>
            <w:r>
              <w:rPr>
                <w:color w:val="000000"/>
                <w:sz w:val="28"/>
                <w:szCs w:val="28"/>
              </w:rPr>
              <w:t>Доля населения, использующих механизм получения государственных и муниципальных услуг в электронном виде (процентов)</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rPr>
              <w:t>23,29</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rPr>
              <w:t>92,33</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rPr>
              <w:t>100,0</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rPr>
              <w:t>100,0</w:t>
            </w:r>
          </w:p>
        </w:tc>
        <w:tc>
          <w:tcPr>
            <w:tcW w:w="10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rPr>
              <w:t>100,0</w:t>
            </w:r>
          </w:p>
        </w:tc>
        <w:tc>
          <w:tcPr>
            <w:tcW w:w="9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5" w:type="dxa"/>
            </w:tcMar>
          </w:tcPr>
          <w:p>
            <w:pPr>
              <w:pStyle w:val="Style26"/>
              <w:jc w:val="center"/>
              <w:rPr>
                <w:sz w:val="28"/>
                <w:szCs w:val="28"/>
              </w:rPr>
            </w:pPr>
            <w:r>
              <w:rPr>
                <w:sz w:val="28"/>
                <w:szCs w:val="28"/>
              </w:rPr>
              <w:t>100,0</w:t>
            </w:r>
          </w:p>
        </w:tc>
      </w:tr>
      <w:tr>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both"/>
              <w:rPr>
                <w:sz w:val="28"/>
                <w:szCs w:val="28"/>
              </w:rPr>
            </w:pPr>
            <w:r>
              <w:rPr>
                <w:sz w:val="28"/>
                <w:szCs w:val="28"/>
              </w:rPr>
              <w:t>7.</w:t>
            </w:r>
          </w:p>
        </w:tc>
        <w:tc>
          <w:tcPr>
            <w:tcW w:w="30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Численность врачебных кадров на 10 000 населения (единиц)</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rPr>
              <w:t>20</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rPr>
              <w:t>21</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rPr>
              <w:t>22,3</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rPr>
              <w:t>24,9</w:t>
            </w:r>
          </w:p>
        </w:tc>
        <w:tc>
          <w:tcPr>
            <w:tcW w:w="10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rPr>
              <w:t>28,3</w:t>
            </w:r>
          </w:p>
        </w:tc>
        <w:tc>
          <w:tcPr>
            <w:tcW w:w="9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5" w:type="dxa"/>
            </w:tcMar>
          </w:tcPr>
          <w:p>
            <w:pPr>
              <w:pStyle w:val="Style26"/>
              <w:jc w:val="center"/>
              <w:rPr>
                <w:sz w:val="28"/>
                <w:szCs w:val="28"/>
              </w:rPr>
            </w:pPr>
            <w:r>
              <w:rPr>
                <w:sz w:val="28"/>
                <w:szCs w:val="28"/>
              </w:rPr>
              <w:t>32,6</w:t>
            </w:r>
          </w:p>
        </w:tc>
      </w:tr>
      <w:tr>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both"/>
              <w:rPr>
                <w:color w:val="000000"/>
                <w:sz w:val="28"/>
                <w:szCs w:val="28"/>
              </w:rPr>
            </w:pPr>
            <w:r>
              <w:rPr>
                <w:sz w:val="28"/>
                <w:szCs w:val="28"/>
              </w:rPr>
              <w:t>8.</w:t>
            </w:r>
          </w:p>
        </w:tc>
        <w:tc>
          <w:tcPr>
            <w:tcW w:w="30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Обеспеченность средним медицинским персоналом на 10000 населения (единиц)</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rPr>
              <w:t>54</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rPr>
              <w:t>54</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rPr>
              <w:t>55,6</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rPr>
              <w:t>58,2</w:t>
            </w:r>
          </w:p>
        </w:tc>
        <w:tc>
          <w:tcPr>
            <w:tcW w:w="10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rPr>
              <w:t>61,4</w:t>
            </w:r>
          </w:p>
        </w:tc>
        <w:tc>
          <w:tcPr>
            <w:tcW w:w="9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5" w:type="dxa"/>
            </w:tcMar>
          </w:tcPr>
          <w:p>
            <w:pPr>
              <w:pStyle w:val="Style26"/>
              <w:jc w:val="center"/>
              <w:rPr>
                <w:sz w:val="28"/>
                <w:szCs w:val="28"/>
              </w:rPr>
            </w:pPr>
            <w:r>
              <w:rPr>
                <w:sz w:val="28"/>
                <w:szCs w:val="28"/>
              </w:rPr>
              <w:t>65,5</w:t>
            </w:r>
          </w:p>
        </w:tc>
      </w:tr>
      <w:tr>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both"/>
              <w:rPr>
                <w:rFonts w:eastAsia="Calibri" w:eastAsiaTheme="minorHAnsi"/>
                <w:color w:val="000000"/>
                <w:sz w:val="28"/>
                <w:szCs w:val="28"/>
                <w:lang w:eastAsia="en-US"/>
              </w:rPr>
            </w:pPr>
            <w:r>
              <w:rPr>
                <w:rFonts w:eastAsia="Calibri" w:eastAsiaTheme="minorHAnsi"/>
                <w:color w:val="000000"/>
                <w:sz w:val="28"/>
                <w:szCs w:val="28"/>
                <w:lang w:eastAsia="en-US"/>
              </w:rPr>
              <w:t>9.</w:t>
            </w:r>
          </w:p>
        </w:tc>
        <w:tc>
          <w:tcPr>
            <w:tcW w:w="30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Web"/>
              <w:suppressAutoHyphens w:val="false"/>
              <w:spacing w:before="0" w:after="0"/>
              <w:jc w:val="both"/>
              <w:rPr>
                <w:sz w:val="28"/>
                <w:szCs w:val="28"/>
              </w:rPr>
            </w:pPr>
            <w:r>
              <w:rPr>
                <w:color w:val="000000"/>
                <w:sz w:val="28"/>
                <w:szCs w:val="28"/>
              </w:rPr>
              <w:t>Доля населения систематически занимающихся физической культурой и спортом, в общей численности населения (процентов)</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rPr>
              <w:t>24,40</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rPr>
              <w:t>42,20</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rPr>
              <w:t>49,4</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rPr>
              <w:t>56,8</w:t>
            </w:r>
          </w:p>
        </w:tc>
        <w:tc>
          <w:tcPr>
            <w:tcW w:w="10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rPr>
              <w:t>61,8</w:t>
            </w:r>
          </w:p>
        </w:tc>
        <w:tc>
          <w:tcPr>
            <w:tcW w:w="9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5" w:type="dxa"/>
            </w:tcMar>
          </w:tcPr>
          <w:p>
            <w:pPr>
              <w:pStyle w:val="Style26"/>
              <w:jc w:val="center"/>
              <w:rPr>
                <w:sz w:val="28"/>
                <w:szCs w:val="28"/>
              </w:rPr>
            </w:pPr>
            <w:r>
              <w:rPr>
                <w:sz w:val="28"/>
                <w:szCs w:val="28"/>
              </w:rPr>
              <w:t>65,5</w:t>
            </w:r>
          </w:p>
        </w:tc>
      </w:tr>
      <w:tr>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both"/>
              <w:rPr>
                <w:color w:val="000000"/>
                <w:sz w:val="28"/>
                <w:szCs w:val="28"/>
              </w:rPr>
            </w:pPr>
            <w:r>
              <w:rPr>
                <w:sz w:val="28"/>
                <w:szCs w:val="28"/>
              </w:rPr>
              <w:t>10.</w:t>
            </w:r>
          </w:p>
        </w:tc>
        <w:tc>
          <w:tcPr>
            <w:tcW w:w="30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Количество посещений культурно-массовых мероприятий (тыс. чел.)</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rFonts w:eastAsia="Calibri" w:eastAsiaTheme="minorHAnsi"/>
                <w:color w:val="000000"/>
                <w:sz w:val="28"/>
                <w:szCs w:val="28"/>
                <w:lang w:eastAsia="en-US"/>
              </w:rPr>
            </w:pPr>
            <w:r>
              <w:rPr>
                <w:rFonts w:eastAsia="Calibri" w:eastAsiaTheme="minorHAnsi"/>
                <w:color w:val="000000"/>
                <w:sz w:val="28"/>
                <w:szCs w:val="28"/>
                <w:lang w:eastAsia="en-US"/>
              </w:rPr>
              <w:t>150,0</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rFonts w:eastAsia="Calibri" w:eastAsiaTheme="minorHAnsi"/>
                <w:color w:val="000000"/>
                <w:sz w:val="28"/>
                <w:szCs w:val="28"/>
                <w:lang w:eastAsia="en-US"/>
              </w:rPr>
            </w:pPr>
            <w:r>
              <w:rPr>
                <w:rFonts w:eastAsia="Calibri" w:eastAsiaTheme="minorHAnsi"/>
                <w:color w:val="000000"/>
                <w:sz w:val="28"/>
                <w:szCs w:val="28"/>
                <w:lang w:eastAsia="en-US"/>
              </w:rPr>
              <w:t>184,5</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rFonts w:eastAsia="Calibri" w:eastAsiaTheme="minorHAnsi"/>
                <w:color w:val="000000"/>
                <w:sz w:val="28"/>
                <w:szCs w:val="28"/>
                <w:lang w:eastAsia="en-US"/>
              </w:rPr>
            </w:pPr>
            <w:r>
              <w:rPr>
                <w:rFonts w:eastAsia="Calibri" w:eastAsiaTheme="minorHAnsi"/>
                <w:color w:val="000000"/>
                <w:sz w:val="28"/>
                <w:szCs w:val="28"/>
                <w:lang w:eastAsia="en-US"/>
              </w:rPr>
              <w:t>193,8</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rFonts w:eastAsia="Calibri" w:eastAsiaTheme="minorHAnsi"/>
                <w:color w:val="000000"/>
                <w:sz w:val="28"/>
                <w:szCs w:val="28"/>
                <w:lang w:eastAsia="en-US"/>
              </w:rPr>
            </w:pPr>
            <w:r>
              <w:rPr>
                <w:rFonts w:eastAsia="Calibri" w:eastAsiaTheme="minorHAnsi"/>
                <w:color w:val="000000"/>
                <w:sz w:val="28"/>
                <w:szCs w:val="28"/>
                <w:lang w:eastAsia="en-US"/>
              </w:rPr>
              <w:t>204,0</w:t>
            </w:r>
          </w:p>
        </w:tc>
        <w:tc>
          <w:tcPr>
            <w:tcW w:w="10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rFonts w:eastAsia="Calibri" w:eastAsiaTheme="minorHAnsi"/>
                <w:color w:val="000000"/>
                <w:sz w:val="28"/>
                <w:szCs w:val="28"/>
                <w:lang w:eastAsia="en-US"/>
              </w:rPr>
            </w:pPr>
            <w:r>
              <w:rPr>
                <w:rFonts w:eastAsia="Calibri" w:eastAsiaTheme="minorHAnsi"/>
                <w:color w:val="000000"/>
                <w:sz w:val="28"/>
                <w:szCs w:val="28"/>
                <w:lang w:eastAsia="en-US"/>
              </w:rPr>
              <w:t>225,1</w:t>
            </w:r>
          </w:p>
        </w:tc>
        <w:tc>
          <w:tcPr>
            <w:tcW w:w="9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5" w:type="dxa"/>
            </w:tcMar>
          </w:tcPr>
          <w:p>
            <w:pPr>
              <w:pStyle w:val="Style26"/>
              <w:jc w:val="center"/>
              <w:rPr>
                <w:rFonts w:eastAsia="Calibri" w:eastAsiaTheme="minorHAnsi"/>
                <w:color w:val="000000"/>
                <w:sz w:val="28"/>
                <w:szCs w:val="28"/>
                <w:lang w:eastAsia="en-US"/>
              </w:rPr>
            </w:pPr>
            <w:r>
              <w:rPr>
                <w:rFonts w:eastAsia="Calibri" w:eastAsiaTheme="minorHAnsi"/>
                <w:color w:val="000000"/>
                <w:sz w:val="28"/>
                <w:szCs w:val="28"/>
                <w:lang w:eastAsia="en-US"/>
              </w:rPr>
              <w:t>250,7</w:t>
            </w:r>
          </w:p>
        </w:tc>
      </w:tr>
      <w:tr>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both"/>
              <w:rPr>
                <w:sz w:val="28"/>
                <w:szCs w:val="28"/>
                <w:shd w:fill="FFFF00" w:val="clear"/>
              </w:rPr>
            </w:pPr>
            <w:r>
              <w:rPr>
                <w:sz w:val="28"/>
                <w:szCs w:val="28"/>
                <w:shd w:fill="auto" w:val="clear"/>
              </w:rPr>
              <w:t>11.</w:t>
            </w:r>
          </w:p>
        </w:tc>
        <w:tc>
          <w:tcPr>
            <w:tcW w:w="30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both"/>
              <w:rPr>
                <w:shd w:fill="auto" w:val="clear"/>
              </w:rPr>
            </w:pPr>
            <w:r>
              <w:rPr>
                <w:rFonts w:eastAsia="Times New Roman" w:cs="Times New Roman" w:ascii="Times New Roman" w:hAnsi="Times New Roman"/>
                <w:sz w:val="28"/>
                <w:szCs w:val="28"/>
                <w:shd w:fill="auto" w:val="clear"/>
                <w:lang w:eastAsia="ru-RU"/>
              </w:rPr>
              <w:t>Количество посещений культурно-массовых мероприятий клубов и домов культуры на платной основе (чел.)</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hd w:fill="auto" w:val="clear"/>
              </w:rPr>
            </w:pPr>
            <w:r>
              <w:rPr>
                <w:sz w:val="28"/>
                <w:szCs w:val="28"/>
                <w:shd w:fill="auto" w:val="clear"/>
              </w:rPr>
              <w:t>39452</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center"/>
              <w:rPr>
                <w:shd w:fill="auto" w:val="clear"/>
              </w:rPr>
            </w:pPr>
            <w:r>
              <w:rPr>
                <w:rFonts w:eastAsia="Times New Roman" w:cs="Times New Roman" w:ascii="Times New Roman" w:hAnsi="Times New Roman"/>
                <w:color w:val="000000"/>
                <w:sz w:val="28"/>
                <w:szCs w:val="28"/>
                <w:shd w:fill="auto" w:val="clear"/>
                <w:lang w:eastAsia="ru-RU"/>
              </w:rPr>
              <w:t>40929</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right"/>
              <w:rPr>
                <w:shd w:fill="auto" w:val="clear"/>
              </w:rPr>
            </w:pPr>
            <w:r>
              <w:rPr>
                <w:rFonts w:eastAsia="Times New Roman" w:cs="Times New Roman" w:ascii="Times New Roman" w:hAnsi="Times New Roman"/>
                <w:color w:val="000000"/>
                <w:sz w:val="28"/>
                <w:szCs w:val="28"/>
                <w:shd w:fill="auto" w:val="clear"/>
                <w:lang w:val="en-US" w:eastAsia="ru-RU"/>
              </w:rPr>
              <w:t>41900</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right"/>
              <w:rPr>
                <w:shd w:fill="auto" w:val="clear"/>
              </w:rPr>
            </w:pPr>
            <w:r>
              <w:rPr>
                <w:rFonts w:eastAsia="Times New Roman" w:cs="Times New Roman" w:ascii="Times New Roman" w:hAnsi="Times New Roman"/>
                <w:color w:val="000000"/>
                <w:sz w:val="28"/>
                <w:szCs w:val="28"/>
                <w:shd w:fill="auto" w:val="clear"/>
                <w:lang w:val="en-US" w:eastAsia="ru-RU"/>
              </w:rPr>
              <w:t>42851</w:t>
            </w:r>
          </w:p>
        </w:tc>
        <w:tc>
          <w:tcPr>
            <w:tcW w:w="10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right"/>
              <w:rPr>
                <w:shd w:fill="auto" w:val="clear"/>
              </w:rPr>
            </w:pPr>
            <w:r>
              <w:rPr>
                <w:rFonts w:eastAsia="Times New Roman" w:cs="Times New Roman" w:ascii="Times New Roman" w:hAnsi="Times New Roman"/>
                <w:color w:val="000000"/>
                <w:sz w:val="28"/>
                <w:szCs w:val="28"/>
                <w:shd w:fill="auto" w:val="clear"/>
                <w:lang w:val="en-US" w:eastAsia="ru-RU"/>
              </w:rPr>
              <w:t>43281</w:t>
            </w:r>
          </w:p>
        </w:tc>
        <w:tc>
          <w:tcPr>
            <w:tcW w:w="9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5" w:type="dxa"/>
            </w:tcMar>
          </w:tcPr>
          <w:p>
            <w:pPr>
              <w:pStyle w:val="Normal"/>
              <w:spacing w:lineRule="auto" w:line="240" w:before="0" w:after="0"/>
              <w:jc w:val="right"/>
              <w:rPr>
                <w:shd w:fill="auto" w:val="clear"/>
              </w:rPr>
            </w:pPr>
            <w:r>
              <w:rPr>
                <w:rFonts w:eastAsia="Times New Roman" w:cs="Times New Roman" w:ascii="Times New Roman" w:hAnsi="Times New Roman"/>
                <w:color w:val="000000"/>
                <w:sz w:val="28"/>
                <w:szCs w:val="28"/>
                <w:shd w:fill="auto" w:val="clear"/>
                <w:lang w:val="en-US" w:eastAsia="ru-RU"/>
              </w:rPr>
              <w:t>43521</w:t>
            </w:r>
          </w:p>
        </w:tc>
      </w:tr>
      <w:tr>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both"/>
              <w:rPr>
                <w:sz w:val="28"/>
                <w:szCs w:val="28"/>
                <w:shd w:fill="FFFF00" w:val="clear"/>
              </w:rPr>
            </w:pPr>
            <w:r>
              <w:rPr>
                <w:sz w:val="28"/>
                <w:szCs w:val="28"/>
                <w:shd w:fill="auto" w:val="clear"/>
              </w:rPr>
              <w:t>12.</w:t>
            </w:r>
          </w:p>
        </w:tc>
        <w:tc>
          <w:tcPr>
            <w:tcW w:w="30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both"/>
              <w:rPr>
                <w:shd w:fill="auto" w:val="clear"/>
              </w:rPr>
            </w:pPr>
            <w:r>
              <w:rPr>
                <w:rFonts w:eastAsia="Times New Roman" w:cs="Times New Roman" w:ascii="Times New Roman" w:hAnsi="Times New Roman"/>
                <w:sz w:val="28"/>
                <w:szCs w:val="28"/>
                <w:shd w:fill="auto" w:val="clear"/>
                <w:lang w:eastAsia="ru-RU"/>
              </w:rPr>
              <w:t>Количество посещений общедоступных (публичных) библиотек (тыс. чел.)</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hd w:fill="auto" w:val="clear"/>
              </w:rPr>
            </w:pPr>
            <w:r>
              <w:rPr>
                <w:sz w:val="28"/>
                <w:szCs w:val="28"/>
                <w:shd w:fill="auto" w:val="clear"/>
              </w:rPr>
              <w:t>121,7</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center"/>
              <w:rPr>
                <w:shd w:fill="auto" w:val="clear"/>
              </w:rPr>
            </w:pPr>
            <w:r>
              <w:rPr>
                <w:rFonts w:eastAsia="Times New Roman" w:cs="Times New Roman" w:ascii="Times New Roman" w:hAnsi="Times New Roman"/>
                <w:color w:val="000000"/>
                <w:sz w:val="28"/>
                <w:szCs w:val="28"/>
                <w:shd w:fill="auto" w:val="clear"/>
                <w:lang w:eastAsia="ru-RU"/>
              </w:rPr>
              <w:t>121,8</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right"/>
              <w:rPr>
                <w:shd w:fill="auto" w:val="clear"/>
              </w:rPr>
            </w:pPr>
            <w:r>
              <w:rPr>
                <w:rFonts w:eastAsia="Times New Roman" w:cs="Times New Roman" w:ascii="Times New Roman" w:hAnsi="Times New Roman"/>
                <w:color w:val="000000"/>
                <w:sz w:val="28"/>
                <w:szCs w:val="28"/>
                <w:shd w:fill="auto" w:val="clear"/>
                <w:lang w:val="en-US" w:eastAsia="ru-RU"/>
              </w:rPr>
              <w:t>129,0</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right"/>
              <w:rPr>
                <w:shd w:fill="auto" w:val="clear"/>
              </w:rPr>
            </w:pPr>
            <w:r>
              <w:rPr>
                <w:rFonts w:eastAsia="Times New Roman" w:cs="Times New Roman" w:ascii="Times New Roman" w:hAnsi="Times New Roman"/>
                <w:color w:val="000000"/>
                <w:sz w:val="28"/>
                <w:szCs w:val="28"/>
                <w:shd w:fill="auto" w:val="clear"/>
                <w:lang w:val="en-US" w:eastAsia="ru-RU"/>
              </w:rPr>
              <w:t>139,1</w:t>
            </w:r>
          </w:p>
        </w:tc>
        <w:tc>
          <w:tcPr>
            <w:tcW w:w="10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right"/>
              <w:rPr>
                <w:shd w:fill="auto" w:val="clear"/>
              </w:rPr>
            </w:pPr>
            <w:r>
              <w:rPr>
                <w:rFonts w:eastAsia="Times New Roman" w:cs="Times New Roman" w:ascii="Times New Roman" w:hAnsi="Times New Roman"/>
                <w:color w:val="000000"/>
                <w:sz w:val="28"/>
                <w:szCs w:val="28"/>
                <w:shd w:fill="auto" w:val="clear"/>
                <w:lang w:val="en-US" w:eastAsia="ru-RU"/>
              </w:rPr>
              <w:t>145,6</w:t>
            </w:r>
          </w:p>
        </w:tc>
        <w:tc>
          <w:tcPr>
            <w:tcW w:w="9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5" w:type="dxa"/>
            </w:tcMar>
          </w:tcPr>
          <w:p>
            <w:pPr>
              <w:pStyle w:val="Normal"/>
              <w:spacing w:lineRule="auto" w:line="240" w:before="0" w:after="0"/>
              <w:jc w:val="right"/>
              <w:rPr>
                <w:shd w:fill="auto" w:val="clear"/>
              </w:rPr>
            </w:pPr>
            <w:r>
              <w:rPr>
                <w:rFonts w:eastAsia="Times New Roman" w:cs="Times New Roman" w:ascii="Times New Roman" w:hAnsi="Times New Roman"/>
                <w:color w:val="000000"/>
                <w:sz w:val="28"/>
                <w:szCs w:val="28"/>
                <w:shd w:fill="auto" w:val="clear"/>
                <w:lang w:val="en-US" w:eastAsia="ru-RU"/>
              </w:rPr>
              <w:t>150,1</w:t>
            </w:r>
          </w:p>
        </w:tc>
      </w:tr>
      <w:tr>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both"/>
              <w:rPr>
                <w:sz w:val="28"/>
                <w:szCs w:val="28"/>
                <w:shd w:fill="FFFF00" w:val="clear"/>
              </w:rPr>
            </w:pPr>
            <w:r>
              <w:rPr>
                <w:sz w:val="28"/>
                <w:szCs w:val="28"/>
                <w:shd w:fill="auto" w:val="clear"/>
              </w:rPr>
              <w:t>13.</w:t>
            </w:r>
          </w:p>
        </w:tc>
        <w:tc>
          <w:tcPr>
            <w:tcW w:w="30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rPr>
                <w:shd w:fill="auto" w:val="clear"/>
              </w:rPr>
            </w:pPr>
            <w:r>
              <w:rPr>
                <w:rFonts w:eastAsia="Times New Roman" w:cs="Times New Roman" w:ascii="Times New Roman" w:hAnsi="Times New Roman"/>
                <w:sz w:val="28"/>
                <w:szCs w:val="28"/>
                <w:shd w:fill="auto" w:val="clear"/>
                <w:lang w:eastAsia="ru-RU"/>
              </w:rPr>
              <w:t>Количество участников клубных формирований,</w:t>
            </w:r>
          </w:p>
          <w:p>
            <w:pPr>
              <w:pStyle w:val="Normal"/>
              <w:spacing w:lineRule="auto" w:line="240" w:before="0" w:after="0"/>
              <w:jc w:val="both"/>
              <w:rPr>
                <w:shd w:fill="auto" w:val="clear"/>
              </w:rPr>
            </w:pPr>
            <w:r>
              <w:rPr>
                <w:rFonts w:eastAsia="Times New Roman" w:cs="Times New Roman" w:ascii="Times New Roman" w:hAnsi="Times New Roman"/>
                <w:sz w:val="28"/>
                <w:szCs w:val="28"/>
                <w:shd w:fill="auto" w:val="clear"/>
                <w:lang w:eastAsia="ru-RU"/>
              </w:rPr>
              <w:t>(чел.)</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hd w:fill="auto" w:val="clear"/>
              </w:rPr>
            </w:pPr>
            <w:r>
              <w:rPr>
                <w:sz w:val="28"/>
                <w:szCs w:val="28"/>
                <w:shd w:fill="auto" w:val="clear"/>
              </w:rPr>
              <w:t>1165</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center"/>
              <w:rPr>
                <w:shd w:fill="auto" w:val="clear"/>
              </w:rPr>
            </w:pPr>
            <w:r>
              <w:rPr>
                <w:rFonts w:eastAsia="Times New Roman" w:cs="Times New Roman" w:ascii="Times New Roman" w:hAnsi="Times New Roman"/>
                <w:color w:val="000000"/>
                <w:sz w:val="28"/>
                <w:szCs w:val="28"/>
                <w:shd w:fill="auto" w:val="clear"/>
                <w:lang w:eastAsia="ru-RU"/>
              </w:rPr>
              <w:t>1166</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right"/>
              <w:rPr>
                <w:shd w:fill="auto" w:val="clear"/>
              </w:rPr>
            </w:pPr>
            <w:r>
              <w:rPr>
                <w:rFonts w:eastAsia="Times New Roman" w:cs="Times New Roman" w:ascii="Times New Roman" w:hAnsi="Times New Roman"/>
                <w:color w:val="000000"/>
                <w:sz w:val="28"/>
                <w:szCs w:val="28"/>
                <w:shd w:fill="auto" w:val="clear"/>
                <w:lang w:val="en-US" w:eastAsia="ru-RU"/>
              </w:rPr>
              <w:t>1220</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right"/>
              <w:rPr>
                <w:shd w:fill="auto" w:val="clear"/>
              </w:rPr>
            </w:pPr>
            <w:r>
              <w:rPr>
                <w:rFonts w:eastAsia="Times New Roman" w:cs="Times New Roman" w:ascii="Times New Roman" w:hAnsi="Times New Roman"/>
                <w:color w:val="000000"/>
                <w:sz w:val="28"/>
                <w:szCs w:val="28"/>
                <w:shd w:fill="auto" w:val="clear"/>
                <w:lang w:val="en-US" w:eastAsia="ru-RU"/>
              </w:rPr>
              <w:t>1228</w:t>
            </w:r>
          </w:p>
        </w:tc>
        <w:tc>
          <w:tcPr>
            <w:tcW w:w="10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hd w:fill="auto" w:val="clear"/>
              </w:rPr>
            </w:pPr>
            <w:r>
              <w:rPr>
                <w:sz w:val="28"/>
                <w:szCs w:val="28"/>
                <w:shd w:fill="auto" w:val="clear"/>
                <w:lang w:val="en-US"/>
              </w:rPr>
              <w:t>1233</w:t>
            </w:r>
          </w:p>
        </w:tc>
        <w:tc>
          <w:tcPr>
            <w:tcW w:w="9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5" w:type="dxa"/>
            </w:tcMar>
          </w:tcPr>
          <w:p>
            <w:pPr>
              <w:pStyle w:val="Style26"/>
              <w:jc w:val="center"/>
              <w:rPr>
                <w:shd w:fill="auto" w:val="clear"/>
              </w:rPr>
            </w:pPr>
            <w:r>
              <w:rPr>
                <w:sz w:val="28"/>
                <w:szCs w:val="28"/>
                <w:shd w:fill="auto" w:val="clear"/>
                <w:lang w:val="en-US"/>
              </w:rPr>
              <w:t>1237</w:t>
            </w:r>
          </w:p>
        </w:tc>
      </w:tr>
      <w:tr>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both"/>
              <w:rPr>
                <w:sz w:val="28"/>
                <w:szCs w:val="28"/>
                <w:shd w:fill="FFFF00" w:val="clear"/>
              </w:rPr>
            </w:pPr>
            <w:r>
              <w:rPr>
                <w:sz w:val="28"/>
                <w:szCs w:val="28"/>
                <w:shd w:fill="auto" w:val="clear"/>
              </w:rPr>
              <w:t>14.</w:t>
            </w:r>
          </w:p>
        </w:tc>
        <w:tc>
          <w:tcPr>
            <w:tcW w:w="30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both"/>
              <w:rPr>
                <w:shd w:fill="auto" w:val="clear"/>
              </w:rPr>
            </w:pPr>
            <w:r>
              <w:rPr>
                <w:rFonts w:eastAsia="Times New Roman" w:cs="Times New Roman" w:ascii="Times New Roman" w:hAnsi="Times New Roman"/>
                <w:sz w:val="28"/>
                <w:szCs w:val="28"/>
                <w:shd w:fill="auto" w:val="clear"/>
                <w:lang w:eastAsia="ru-RU"/>
              </w:rPr>
              <w:t xml:space="preserve">Количество учащихся ДШИ,  (чел.) </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hd w:fill="auto" w:val="clear"/>
              </w:rPr>
            </w:pPr>
            <w:r>
              <w:rPr>
                <w:sz w:val="28"/>
                <w:szCs w:val="28"/>
                <w:shd w:fill="auto" w:val="clear"/>
              </w:rPr>
              <w:t>845</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center"/>
              <w:rPr>
                <w:shd w:fill="auto" w:val="clear"/>
              </w:rPr>
            </w:pPr>
            <w:r>
              <w:rPr>
                <w:rFonts w:eastAsia="Times New Roman" w:cs="Times New Roman" w:ascii="Times New Roman" w:hAnsi="Times New Roman"/>
                <w:color w:val="000000"/>
                <w:sz w:val="28"/>
                <w:szCs w:val="28"/>
                <w:shd w:fill="auto" w:val="clear"/>
                <w:lang w:eastAsia="ru-RU"/>
              </w:rPr>
              <w:t>854</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center"/>
              <w:rPr>
                <w:shd w:fill="auto" w:val="clear"/>
              </w:rPr>
            </w:pPr>
            <w:r>
              <w:rPr>
                <w:rFonts w:eastAsia="Times New Roman" w:cs="Times New Roman" w:ascii="Times New Roman" w:hAnsi="Times New Roman"/>
                <w:color w:val="000000"/>
                <w:sz w:val="28"/>
                <w:szCs w:val="28"/>
                <w:shd w:fill="auto" w:val="clear"/>
                <w:lang w:eastAsia="ru-RU"/>
              </w:rPr>
              <w:t>  </w:t>
            </w:r>
            <w:r>
              <w:rPr>
                <w:rFonts w:eastAsia="Times New Roman" w:cs="Times New Roman" w:ascii="Times New Roman" w:hAnsi="Times New Roman"/>
                <w:color w:val="000000"/>
                <w:sz w:val="28"/>
                <w:szCs w:val="28"/>
                <w:shd w:fill="auto" w:val="clear"/>
                <w:lang w:eastAsia="ru-RU"/>
              </w:rPr>
              <w:t>882</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center"/>
              <w:rPr>
                <w:shd w:fill="auto" w:val="clear"/>
              </w:rPr>
            </w:pPr>
            <w:r>
              <w:rPr>
                <w:rFonts w:eastAsia="Calibri" w:cs="font336"/>
                <w:sz w:val="28"/>
                <w:szCs w:val="28"/>
                <w:shd w:fill="auto" w:val="clear"/>
              </w:rPr>
              <w:t>887</w:t>
            </w:r>
          </w:p>
        </w:tc>
        <w:tc>
          <w:tcPr>
            <w:tcW w:w="10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center"/>
              <w:rPr>
                <w:shd w:fill="auto" w:val="clear"/>
              </w:rPr>
            </w:pPr>
            <w:r>
              <w:rPr>
                <w:rFonts w:eastAsia="Calibri" w:cs="font336"/>
                <w:sz w:val="28"/>
                <w:szCs w:val="28"/>
                <w:shd w:fill="auto" w:val="clear"/>
              </w:rPr>
              <w:t>891</w:t>
            </w:r>
          </w:p>
        </w:tc>
        <w:tc>
          <w:tcPr>
            <w:tcW w:w="9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5" w:type="dxa"/>
            </w:tcMar>
          </w:tcPr>
          <w:p>
            <w:pPr>
              <w:pStyle w:val="Normal"/>
              <w:spacing w:lineRule="auto" w:line="240" w:before="0" w:after="0"/>
              <w:jc w:val="center"/>
              <w:rPr>
                <w:shd w:fill="auto" w:val="clear"/>
              </w:rPr>
            </w:pPr>
            <w:r>
              <w:rPr>
                <w:rFonts w:eastAsia="Calibri" w:cs="font336"/>
                <w:sz w:val="28"/>
                <w:szCs w:val="28"/>
                <w:shd w:fill="auto" w:val="clear"/>
              </w:rPr>
              <w:t>896</w:t>
            </w:r>
          </w:p>
        </w:tc>
      </w:tr>
      <w:tr>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both"/>
              <w:rPr>
                <w:color w:val="000000"/>
                <w:sz w:val="28"/>
                <w:szCs w:val="28"/>
                <w:shd w:fill="FFFF00" w:val="clear"/>
              </w:rPr>
            </w:pPr>
            <w:r>
              <w:rPr>
                <w:sz w:val="28"/>
                <w:szCs w:val="28"/>
                <w:shd w:fill="auto" w:val="clear"/>
              </w:rPr>
              <w:t>15.</w:t>
            </w:r>
          </w:p>
        </w:tc>
        <w:tc>
          <w:tcPr>
            <w:tcW w:w="30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color w:val="000000"/>
                <w:sz w:val="28"/>
                <w:szCs w:val="28"/>
                <w:shd w:fill="auto" w:val="clear"/>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(процентов)</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21,6</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18,99</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18,5</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17,7</w:t>
            </w:r>
          </w:p>
        </w:tc>
        <w:tc>
          <w:tcPr>
            <w:tcW w:w="10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15,2</w:t>
            </w:r>
          </w:p>
        </w:tc>
        <w:tc>
          <w:tcPr>
            <w:tcW w:w="9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5" w:type="dxa"/>
            </w:tcMar>
          </w:tcPr>
          <w:p>
            <w:pPr>
              <w:pStyle w:val="Style26"/>
              <w:jc w:val="center"/>
              <w:rPr>
                <w:sz w:val="28"/>
                <w:szCs w:val="28"/>
              </w:rPr>
            </w:pPr>
            <w:r>
              <w:rPr>
                <w:sz w:val="28"/>
                <w:szCs w:val="28"/>
                <w:shd w:fill="auto" w:val="clear"/>
              </w:rPr>
              <w:t>12,0</w:t>
            </w:r>
          </w:p>
        </w:tc>
      </w:tr>
      <w:tr>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both"/>
              <w:rPr>
                <w:sz w:val="28"/>
                <w:szCs w:val="28"/>
                <w:shd w:fill="FFFF00" w:val="clear"/>
              </w:rPr>
            </w:pPr>
            <w:r>
              <w:rPr>
                <w:sz w:val="28"/>
                <w:szCs w:val="28"/>
                <w:shd w:fill="auto" w:val="clear"/>
              </w:rPr>
              <w:t>16.</w:t>
            </w:r>
          </w:p>
        </w:tc>
        <w:tc>
          <w:tcPr>
            <w:tcW w:w="30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shd w:fill="auto" w:val="clear"/>
              </w:rPr>
              <w:t>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 (процентов)</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70,70</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64,20</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65,8</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68,3</w:t>
            </w:r>
          </w:p>
        </w:tc>
        <w:tc>
          <w:tcPr>
            <w:tcW w:w="10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72,5</w:t>
            </w:r>
          </w:p>
        </w:tc>
        <w:tc>
          <w:tcPr>
            <w:tcW w:w="9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5" w:type="dxa"/>
            </w:tcMar>
          </w:tcPr>
          <w:p>
            <w:pPr>
              <w:pStyle w:val="Style26"/>
              <w:jc w:val="center"/>
              <w:rPr>
                <w:sz w:val="28"/>
                <w:szCs w:val="28"/>
              </w:rPr>
            </w:pPr>
            <w:r>
              <w:rPr>
                <w:sz w:val="28"/>
                <w:szCs w:val="28"/>
                <w:shd w:fill="auto" w:val="clear"/>
              </w:rPr>
              <w:t>76,9</w:t>
            </w:r>
          </w:p>
        </w:tc>
      </w:tr>
      <w:tr>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both"/>
              <w:rPr>
                <w:sz w:val="28"/>
                <w:szCs w:val="28"/>
                <w:shd w:fill="FFFF00" w:val="clear"/>
              </w:rPr>
            </w:pPr>
            <w:r>
              <w:rPr>
                <w:sz w:val="28"/>
                <w:szCs w:val="28"/>
                <w:shd w:fill="auto" w:val="clear"/>
              </w:rPr>
              <w:t>17.</w:t>
            </w:r>
          </w:p>
        </w:tc>
        <w:tc>
          <w:tcPr>
            <w:tcW w:w="30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shd w:fill="auto" w:val="clear"/>
              </w:rPr>
              <w:t>Доля детей, охваченных дополнительным образованием, в общей численности детей и молодежи в возрасте от 5 лет до 18 лет (процентов)</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63,77</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94,50</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95,0</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97,0</w:t>
            </w:r>
          </w:p>
        </w:tc>
        <w:tc>
          <w:tcPr>
            <w:tcW w:w="10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98,5</w:t>
            </w:r>
          </w:p>
        </w:tc>
        <w:tc>
          <w:tcPr>
            <w:tcW w:w="9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5" w:type="dxa"/>
            </w:tcMar>
          </w:tcPr>
          <w:p>
            <w:pPr>
              <w:pStyle w:val="Style26"/>
              <w:jc w:val="center"/>
              <w:rPr>
                <w:sz w:val="28"/>
                <w:szCs w:val="28"/>
              </w:rPr>
            </w:pPr>
            <w:r>
              <w:rPr>
                <w:sz w:val="28"/>
                <w:szCs w:val="28"/>
                <w:shd w:fill="auto" w:val="clear"/>
              </w:rPr>
              <w:t>99,0</w:t>
            </w:r>
          </w:p>
        </w:tc>
      </w:tr>
      <w:tr>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both"/>
              <w:rPr>
                <w:sz w:val="28"/>
                <w:szCs w:val="28"/>
                <w:shd w:fill="FFFF00" w:val="clear"/>
              </w:rPr>
            </w:pPr>
            <w:r>
              <w:rPr>
                <w:sz w:val="28"/>
                <w:szCs w:val="28"/>
                <w:shd w:fill="auto" w:val="clear"/>
              </w:rPr>
              <w:t>18.</w:t>
            </w:r>
          </w:p>
        </w:tc>
        <w:tc>
          <w:tcPr>
            <w:tcW w:w="30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shd w:fill="auto" w:val="clear"/>
              </w:rPr>
              <w:t>Выбросы в атмосферный воздух загрязняющих веществ, отходящих от стационарных источников, (тыс. тонн)</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0,157</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0,121</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0,117</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0,109</w:t>
            </w:r>
          </w:p>
        </w:tc>
        <w:tc>
          <w:tcPr>
            <w:tcW w:w="10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0,098</w:t>
            </w:r>
          </w:p>
        </w:tc>
        <w:tc>
          <w:tcPr>
            <w:tcW w:w="9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5" w:type="dxa"/>
            </w:tcMar>
          </w:tcPr>
          <w:p>
            <w:pPr>
              <w:pStyle w:val="Style26"/>
              <w:jc w:val="center"/>
              <w:rPr>
                <w:sz w:val="28"/>
                <w:szCs w:val="28"/>
              </w:rPr>
            </w:pPr>
            <w:r>
              <w:rPr>
                <w:sz w:val="28"/>
                <w:szCs w:val="28"/>
                <w:shd w:fill="auto" w:val="clear"/>
              </w:rPr>
              <w:t>0,093</w:t>
            </w:r>
          </w:p>
        </w:tc>
      </w:tr>
      <w:tr>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both"/>
              <w:rPr>
                <w:color w:val="000000"/>
                <w:sz w:val="28"/>
                <w:szCs w:val="28"/>
                <w:shd w:fill="FFFF00" w:val="clear"/>
              </w:rPr>
            </w:pPr>
            <w:r>
              <w:rPr>
                <w:sz w:val="28"/>
                <w:szCs w:val="28"/>
                <w:shd w:fill="auto" w:val="clear"/>
              </w:rPr>
              <w:t>19.</w:t>
            </w:r>
          </w:p>
        </w:tc>
        <w:tc>
          <w:tcPr>
            <w:tcW w:w="30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shd w:fill="auto" w:val="clear"/>
              </w:rPr>
              <w:t>Общая площадь жилых помещений, приходящаяся в среднем на одного жителя, кв. м</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26,2</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26,8</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26,95</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27,6</w:t>
            </w:r>
          </w:p>
        </w:tc>
        <w:tc>
          <w:tcPr>
            <w:tcW w:w="10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28,3</w:t>
            </w:r>
          </w:p>
        </w:tc>
        <w:tc>
          <w:tcPr>
            <w:tcW w:w="9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29,1</w:t>
            </w:r>
          </w:p>
        </w:tc>
      </w:tr>
      <w:tr>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both"/>
              <w:rPr>
                <w:color w:val="000000"/>
                <w:sz w:val="28"/>
                <w:szCs w:val="28"/>
                <w:shd w:fill="FFFF00" w:val="clear"/>
              </w:rPr>
            </w:pPr>
            <w:r>
              <w:rPr>
                <w:color w:val="000000"/>
                <w:sz w:val="28"/>
                <w:szCs w:val="28"/>
                <w:shd w:fill="auto" w:val="clear"/>
              </w:rPr>
              <w:t>20.</w:t>
            </w:r>
          </w:p>
        </w:tc>
        <w:tc>
          <w:tcPr>
            <w:tcW w:w="30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color w:val="000000"/>
                <w:sz w:val="28"/>
                <w:szCs w:val="28"/>
                <w:shd w:fill="auto" w:val="clear"/>
              </w:rPr>
              <w:t>Доля населения, получившего жилые помещения и улучшившего жилищные условия в отчетном году, в общей численности населения, состоявшего на учете в качестве нуждающегося в жилых помещениях (процентов)</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2,3</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4,7</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3,9</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3,0</w:t>
            </w:r>
          </w:p>
        </w:tc>
        <w:tc>
          <w:tcPr>
            <w:tcW w:w="10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3,5</w:t>
            </w:r>
          </w:p>
        </w:tc>
        <w:tc>
          <w:tcPr>
            <w:tcW w:w="9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5" w:type="dxa"/>
            </w:tcMar>
          </w:tcPr>
          <w:p>
            <w:pPr>
              <w:pStyle w:val="Style26"/>
              <w:jc w:val="center"/>
              <w:rPr>
                <w:sz w:val="28"/>
                <w:szCs w:val="28"/>
              </w:rPr>
            </w:pPr>
            <w:r>
              <w:rPr>
                <w:sz w:val="28"/>
                <w:szCs w:val="28"/>
                <w:shd w:fill="auto" w:val="clear"/>
              </w:rPr>
              <w:t>3,5</w:t>
            </w:r>
          </w:p>
        </w:tc>
      </w:tr>
      <w:tr>
        <w:trPr>
          <w:trHeight w:val="658" w:hRule="atLeast"/>
        </w:trPr>
        <w:tc>
          <w:tcPr>
            <w:tcW w:w="9719" w:type="dxa"/>
            <w:gridSpan w:val="8"/>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shd w:fill="auto" w:val="clear"/>
              </w:rPr>
              <w:t>Создание динамичного и конкурентоспособного санаторно-курортного и туристско-рекреационного комплекса</w:t>
            </w:r>
          </w:p>
        </w:tc>
      </w:tr>
      <w:tr>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both"/>
              <w:rPr>
                <w:color w:val="000000"/>
                <w:sz w:val="28"/>
                <w:szCs w:val="28"/>
                <w:shd w:fill="FFFF00" w:val="clear"/>
              </w:rPr>
            </w:pPr>
            <w:r>
              <w:rPr>
                <w:sz w:val="28"/>
                <w:szCs w:val="28"/>
                <w:shd w:fill="auto" w:val="clear"/>
              </w:rPr>
              <w:t>21.</w:t>
            </w:r>
          </w:p>
        </w:tc>
        <w:tc>
          <w:tcPr>
            <w:tcW w:w="30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color w:val="000000"/>
                <w:sz w:val="28"/>
                <w:szCs w:val="28"/>
                <w:shd w:fill="auto" w:val="clear"/>
              </w:rPr>
              <w:t>Темп роста объема инвестиций в основной капитал (процентов к предыдущему году в действующих ценах)</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108,2</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69,7</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103,4</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105,5</w:t>
            </w:r>
          </w:p>
        </w:tc>
        <w:tc>
          <w:tcPr>
            <w:tcW w:w="10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106,3</w:t>
            </w:r>
          </w:p>
        </w:tc>
        <w:tc>
          <w:tcPr>
            <w:tcW w:w="9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5" w:type="dxa"/>
            </w:tcMar>
          </w:tcPr>
          <w:p>
            <w:pPr>
              <w:pStyle w:val="Style26"/>
              <w:jc w:val="center"/>
              <w:rPr>
                <w:sz w:val="28"/>
                <w:szCs w:val="28"/>
              </w:rPr>
            </w:pPr>
            <w:r>
              <w:rPr>
                <w:sz w:val="28"/>
                <w:szCs w:val="28"/>
                <w:shd w:fill="auto" w:val="clear"/>
              </w:rPr>
              <w:t>106,7</w:t>
            </w:r>
          </w:p>
        </w:tc>
      </w:tr>
      <w:tr>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both"/>
              <w:rPr>
                <w:color w:val="000000"/>
                <w:sz w:val="28"/>
                <w:szCs w:val="28"/>
                <w:shd w:fill="FFFF00" w:val="clear"/>
              </w:rPr>
            </w:pPr>
            <w:r>
              <w:rPr>
                <w:sz w:val="28"/>
                <w:szCs w:val="28"/>
                <w:shd w:fill="auto" w:val="clear"/>
              </w:rPr>
              <w:t>22.</w:t>
            </w:r>
          </w:p>
        </w:tc>
        <w:tc>
          <w:tcPr>
            <w:tcW w:w="30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shd w:fill="auto" w:val="clear"/>
              </w:rPr>
              <w:t>Число субъектов малого и среднего предпринимательства, всего (единиц)</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2 668</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2 498</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lang w:val="en-US"/>
              </w:rPr>
            </w:pPr>
            <w:r>
              <w:rPr>
                <w:sz w:val="28"/>
                <w:szCs w:val="28"/>
                <w:shd w:fill="auto" w:val="clear"/>
                <w:lang w:val="en-US"/>
              </w:rPr>
              <w:t>2528</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lang w:val="en-US"/>
              </w:rPr>
            </w:pPr>
            <w:r>
              <w:rPr>
                <w:sz w:val="28"/>
                <w:szCs w:val="28"/>
                <w:shd w:fill="auto" w:val="clear"/>
                <w:lang w:val="en-US"/>
              </w:rPr>
              <w:t>2575</w:t>
            </w:r>
          </w:p>
        </w:tc>
        <w:tc>
          <w:tcPr>
            <w:tcW w:w="10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lang w:val="en-US"/>
              </w:rPr>
            </w:pPr>
            <w:r>
              <w:rPr>
                <w:sz w:val="28"/>
                <w:szCs w:val="28"/>
                <w:shd w:fill="auto" w:val="clear"/>
                <w:lang w:val="en-US"/>
              </w:rPr>
              <w:t>2677</w:t>
            </w:r>
          </w:p>
        </w:tc>
        <w:tc>
          <w:tcPr>
            <w:tcW w:w="9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5" w:type="dxa"/>
            </w:tcMar>
          </w:tcPr>
          <w:p>
            <w:pPr>
              <w:pStyle w:val="Style26"/>
              <w:jc w:val="center"/>
              <w:rPr>
                <w:sz w:val="28"/>
                <w:szCs w:val="28"/>
                <w:lang w:val="en-US"/>
              </w:rPr>
            </w:pPr>
            <w:r>
              <w:rPr>
                <w:sz w:val="28"/>
                <w:szCs w:val="28"/>
                <w:shd w:fill="auto" w:val="clear"/>
                <w:lang w:val="en-US"/>
              </w:rPr>
              <w:t>2765</w:t>
            </w:r>
          </w:p>
        </w:tc>
      </w:tr>
      <w:tr>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both"/>
              <w:rPr>
                <w:sz w:val="28"/>
                <w:szCs w:val="28"/>
                <w:shd w:fill="FFFF00" w:val="clear"/>
              </w:rPr>
            </w:pPr>
            <w:r>
              <w:rPr>
                <w:sz w:val="28"/>
                <w:szCs w:val="28"/>
                <w:shd w:fill="auto" w:val="clear"/>
              </w:rPr>
              <w:t>23.</w:t>
            </w:r>
          </w:p>
        </w:tc>
        <w:tc>
          <w:tcPr>
            <w:tcW w:w="30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color w:val="000000"/>
                <w:sz w:val="28"/>
                <w:szCs w:val="28"/>
                <w:shd w:fill="auto" w:val="clear"/>
              </w:rPr>
              <w:t>Число субъектов малого и среднего предпринимательства в расчете на 10000 человек населения (единиц)</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503,6</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477,3</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485,9</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494,5</w:t>
            </w:r>
          </w:p>
        </w:tc>
        <w:tc>
          <w:tcPr>
            <w:tcW w:w="10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504,1</w:t>
            </w:r>
          </w:p>
        </w:tc>
        <w:tc>
          <w:tcPr>
            <w:tcW w:w="9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5" w:type="dxa"/>
            </w:tcMar>
          </w:tcPr>
          <w:p>
            <w:pPr>
              <w:pStyle w:val="Style26"/>
              <w:jc w:val="center"/>
              <w:rPr>
                <w:sz w:val="28"/>
                <w:szCs w:val="28"/>
              </w:rPr>
            </w:pPr>
            <w:r>
              <w:rPr>
                <w:sz w:val="28"/>
                <w:szCs w:val="28"/>
                <w:shd w:fill="auto" w:val="clear"/>
              </w:rPr>
              <w:t>515,3</w:t>
            </w:r>
          </w:p>
        </w:tc>
      </w:tr>
      <w:tr>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both"/>
              <w:rPr>
                <w:color w:val="000000"/>
                <w:sz w:val="28"/>
                <w:szCs w:val="28"/>
                <w:shd w:fill="FFFF00" w:val="clear"/>
              </w:rPr>
            </w:pPr>
            <w:r>
              <w:rPr>
                <w:sz w:val="28"/>
                <w:szCs w:val="28"/>
                <w:shd w:fill="auto" w:val="clear"/>
              </w:rPr>
              <w:t>24.</w:t>
            </w:r>
          </w:p>
        </w:tc>
        <w:tc>
          <w:tcPr>
            <w:tcW w:w="30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shd w:fill="auto" w:val="clear"/>
              </w:rPr>
              <w:t>Численность занятых в сфере малого и среднего предпринимательства, включая индивидуальных предпринимателей (единиц)</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5107</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5164</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7280</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8720</w:t>
            </w:r>
          </w:p>
        </w:tc>
        <w:tc>
          <w:tcPr>
            <w:tcW w:w="10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9150</w:t>
            </w:r>
          </w:p>
        </w:tc>
        <w:tc>
          <w:tcPr>
            <w:tcW w:w="9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5" w:type="dxa"/>
            </w:tcMar>
          </w:tcPr>
          <w:p>
            <w:pPr>
              <w:pStyle w:val="Style26"/>
              <w:jc w:val="center"/>
              <w:rPr>
                <w:sz w:val="28"/>
                <w:szCs w:val="28"/>
              </w:rPr>
            </w:pPr>
            <w:r>
              <w:rPr>
                <w:sz w:val="28"/>
                <w:szCs w:val="28"/>
                <w:shd w:fill="auto" w:val="clear"/>
              </w:rPr>
              <w:t>9380</w:t>
            </w:r>
          </w:p>
        </w:tc>
      </w:tr>
      <w:tr>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both"/>
              <w:rPr>
                <w:sz w:val="28"/>
                <w:szCs w:val="28"/>
                <w:shd w:fill="FFFF00" w:val="clear"/>
              </w:rPr>
            </w:pPr>
            <w:r>
              <w:rPr>
                <w:sz w:val="28"/>
                <w:szCs w:val="28"/>
                <w:shd w:fill="auto" w:val="clear"/>
              </w:rPr>
              <w:t>25.</w:t>
            </w:r>
          </w:p>
        </w:tc>
        <w:tc>
          <w:tcPr>
            <w:tcW w:w="30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shd w:fill="auto" w:val="clear"/>
              </w:rPr>
              <w:t>Количество высокопроизводитель-ных рабочих мест во внебюджетном секторе экономики (человек)</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1442</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1687</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2044</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2655</w:t>
            </w:r>
          </w:p>
        </w:tc>
        <w:tc>
          <w:tcPr>
            <w:tcW w:w="10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3155</w:t>
            </w:r>
          </w:p>
        </w:tc>
        <w:tc>
          <w:tcPr>
            <w:tcW w:w="9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5" w:type="dxa"/>
            </w:tcMar>
          </w:tcPr>
          <w:p>
            <w:pPr>
              <w:pStyle w:val="Style26"/>
              <w:jc w:val="center"/>
              <w:rPr>
                <w:sz w:val="28"/>
                <w:szCs w:val="28"/>
              </w:rPr>
            </w:pPr>
            <w:r>
              <w:rPr>
                <w:sz w:val="28"/>
                <w:szCs w:val="28"/>
                <w:shd w:fill="auto" w:val="clear"/>
              </w:rPr>
              <w:t>3636</w:t>
            </w:r>
          </w:p>
        </w:tc>
      </w:tr>
      <w:tr>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both"/>
              <w:rPr>
                <w:color w:val="000000"/>
                <w:sz w:val="28"/>
                <w:szCs w:val="28"/>
                <w:shd w:fill="FFFF00" w:val="clear"/>
              </w:rPr>
            </w:pPr>
            <w:r>
              <w:rPr>
                <w:color w:val="000000"/>
                <w:sz w:val="28"/>
                <w:szCs w:val="28"/>
                <w:shd w:fill="auto" w:val="clear"/>
              </w:rPr>
              <w:t>26.</w:t>
            </w:r>
          </w:p>
        </w:tc>
        <w:tc>
          <w:tcPr>
            <w:tcW w:w="30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color w:val="000000"/>
                <w:sz w:val="28"/>
                <w:szCs w:val="28"/>
                <w:shd w:fill="auto" w:val="clear"/>
              </w:rPr>
              <w:t xml:space="preserve">Обеспеченность населения площадью торговых объектов кв.м на 1000 человек </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snapToGrid w:val="false"/>
              <w:jc w:val="center"/>
              <w:rPr>
                <w:sz w:val="28"/>
                <w:szCs w:val="28"/>
              </w:rPr>
            </w:pPr>
            <w:r>
              <w:rPr>
                <w:sz w:val="28"/>
                <w:szCs w:val="28"/>
                <w:shd w:fill="auto" w:val="clear"/>
              </w:rPr>
              <w:t>818,2</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snapToGrid w:val="false"/>
              <w:jc w:val="center"/>
              <w:rPr>
                <w:sz w:val="28"/>
                <w:szCs w:val="28"/>
              </w:rPr>
            </w:pPr>
            <w:r>
              <w:rPr>
                <w:sz w:val="28"/>
                <w:szCs w:val="28"/>
                <w:shd w:fill="auto" w:val="clear"/>
              </w:rPr>
              <w:t>751,9</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snapToGrid w:val="false"/>
              <w:jc w:val="center"/>
              <w:rPr>
                <w:sz w:val="28"/>
                <w:szCs w:val="28"/>
              </w:rPr>
            </w:pPr>
            <w:r>
              <w:rPr>
                <w:sz w:val="28"/>
                <w:szCs w:val="28"/>
                <w:shd w:fill="auto" w:val="clear"/>
              </w:rPr>
              <w:t>827,5</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snapToGrid w:val="false"/>
              <w:jc w:val="center"/>
              <w:rPr>
                <w:sz w:val="28"/>
                <w:szCs w:val="28"/>
              </w:rPr>
            </w:pPr>
            <w:r>
              <w:rPr>
                <w:sz w:val="28"/>
                <w:szCs w:val="28"/>
                <w:shd w:fill="auto" w:val="clear"/>
              </w:rPr>
              <w:t>850,1</w:t>
            </w:r>
          </w:p>
        </w:tc>
        <w:tc>
          <w:tcPr>
            <w:tcW w:w="10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snapToGrid w:val="false"/>
              <w:jc w:val="center"/>
              <w:rPr>
                <w:sz w:val="28"/>
                <w:szCs w:val="28"/>
              </w:rPr>
            </w:pPr>
            <w:r>
              <w:rPr>
                <w:sz w:val="28"/>
                <w:szCs w:val="28"/>
                <w:shd w:fill="auto" w:val="clear"/>
              </w:rPr>
              <w:t>864,5</w:t>
            </w:r>
          </w:p>
        </w:tc>
        <w:tc>
          <w:tcPr>
            <w:tcW w:w="9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5" w:type="dxa"/>
            </w:tcMar>
          </w:tcPr>
          <w:p>
            <w:pPr>
              <w:pStyle w:val="Style26"/>
              <w:snapToGrid w:val="false"/>
              <w:jc w:val="center"/>
              <w:rPr>
                <w:sz w:val="28"/>
                <w:szCs w:val="28"/>
              </w:rPr>
            </w:pPr>
            <w:r>
              <w:rPr>
                <w:sz w:val="28"/>
                <w:szCs w:val="28"/>
                <w:shd w:fill="auto" w:val="clear"/>
              </w:rPr>
              <w:t>887,3</w:t>
            </w:r>
          </w:p>
        </w:tc>
      </w:tr>
      <w:tr>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both"/>
              <w:rPr>
                <w:color w:val="000000"/>
                <w:sz w:val="28"/>
                <w:szCs w:val="28"/>
                <w:shd w:fill="FFFF00" w:val="clear"/>
              </w:rPr>
            </w:pPr>
            <w:r>
              <w:rPr>
                <w:color w:val="000000"/>
                <w:sz w:val="28"/>
                <w:szCs w:val="28"/>
                <w:shd w:fill="auto" w:val="clear"/>
              </w:rPr>
              <w:t>27.</w:t>
            </w:r>
          </w:p>
        </w:tc>
        <w:tc>
          <w:tcPr>
            <w:tcW w:w="30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shd w:fill="auto" w:val="clear"/>
              </w:rPr>
              <w:t>Уровень износа инженерных сетей, процентов</w:t>
            </w:r>
            <w:r>
              <w:rPr>
                <w:rFonts w:cs="Times New Roman" w:ascii="Times New Roman" w:hAnsi="Times New Roman"/>
                <w:color w:val="000000"/>
                <w:sz w:val="28"/>
                <w:szCs w:val="28"/>
                <w:shd w:fill="auto" w:val="clear"/>
              </w:rPr>
              <w:t xml:space="preserve"> </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shd w:fill="auto" w:val="clear"/>
              </w:rPr>
              <w:t>81,0</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shd w:fill="auto" w:val="clear"/>
              </w:rPr>
              <w:t>80,7</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shd w:fill="auto" w:val="clear"/>
              </w:rPr>
              <w:t>76,2</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shd w:fill="auto" w:val="clear"/>
              </w:rPr>
              <w:t>70,0</w:t>
            </w:r>
          </w:p>
        </w:tc>
        <w:tc>
          <w:tcPr>
            <w:tcW w:w="10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shd w:fill="auto" w:val="clear"/>
              </w:rPr>
              <w:t>60,0</w:t>
            </w:r>
          </w:p>
        </w:tc>
        <w:tc>
          <w:tcPr>
            <w:tcW w:w="9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5" w:type="dxa"/>
            </w:tcMar>
          </w:tcPr>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shd w:fill="auto" w:val="clear"/>
              </w:rPr>
              <w:t>50,0</w:t>
            </w:r>
          </w:p>
        </w:tc>
      </w:tr>
      <w:tr>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both"/>
              <w:rPr>
                <w:color w:val="000000"/>
                <w:sz w:val="28"/>
                <w:szCs w:val="28"/>
                <w:shd w:fill="FFFF00" w:val="clear"/>
              </w:rPr>
            </w:pPr>
            <w:r>
              <w:rPr>
                <w:color w:val="000000"/>
                <w:sz w:val="28"/>
                <w:szCs w:val="28"/>
                <w:shd w:fill="auto" w:val="clear"/>
              </w:rPr>
              <w:t>28.</w:t>
            </w:r>
          </w:p>
        </w:tc>
        <w:tc>
          <w:tcPr>
            <w:tcW w:w="30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color w:val="000000"/>
                <w:sz w:val="28"/>
                <w:szCs w:val="28"/>
                <w:shd w:fill="auto" w:val="clear"/>
              </w:rPr>
              <w:t>Количество туристов (отдыхающих) (тыс. человек)</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110,4</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121,8</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168,0</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198,0</w:t>
            </w:r>
          </w:p>
        </w:tc>
        <w:tc>
          <w:tcPr>
            <w:tcW w:w="10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223</w:t>
            </w:r>
            <w:r>
              <w:rPr>
                <w:sz w:val="28"/>
                <w:szCs w:val="28"/>
                <w:shd w:fill="auto" w:val="clear"/>
                <w:lang w:val="en-US"/>
              </w:rPr>
              <w:t xml:space="preserve"> </w:t>
            </w:r>
            <w:r>
              <w:rPr>
                <w:sz w:val="28"/>
                <w:szCs w:val="28"/>
                <w:shd w:fill="auto" w:val="clear"/>
              </w:rPr>
              <w:t>,0</w:t>
            </w:r>
          </w:p>
        </w:tc>
        <w:tc>
          <w:tcPr>
            <w:tcW w:w="9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5" w:type="dxa"/>
            </w:tcMar>
          </w:tcPr>
          <w:p>
            <w:pPr>
              <w:pStyle w:val="Style26"/>
              <w:jc w:val="center"/>
              <w:rPr>
                <w:sz w:val="28"/>
                <w:szCs w:val="28"/>
              </w:rPr>
            </w:pPr>
            <w:r>
              <w:rPr>
                <w:sz w:val="28"/>
                <w:szCs w:val="28"/>
                <w:shd w:fill="auto" w:val="clear"/>
              </w:rPr>
              <w:t>230,0</w:t>
            </w:r>
          </w:p>
        </w:tc>
      </w:tr>
      <w:tr>
        <w:trPr>
          <w:trHeight w:val="795" w:hRule="atLeast"/>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both"/>
              <w:rPr>
                <w:color w:val="000000"/>
                <w:sz w:val="28"/>
                <w:szCs w:val="28"/>
                <w:shd w:fill="FFFF00" w:val="clear"/>
              </w:rPr>
            </w:pPr>
            <w:r>
              <w:rPr>
                <w:color w:val="000000"/>
                <w:sz w:val="28"/>
                <w:szCs w:val="28"/>
                <w:shd w:fill="auto" w:val="clear"/>
              </w:rPr>
              <w:t>29.</w:t>
            </w:r>
          </w:p>
        </w:tc>
        <w:tc>
          <w:tcPr>
            <w:tcW w:w="30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color w:val="000000"/>
                <w:sz w:val="28"/>
                <w:szCs w:val="28"/>
                <w:shd w:fill="auto" w:val="clear"/>
              </w:rPr>
              <w:t>Конечная емкость санаторно-курортного и туристско-рекреационного комплекса, мест</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6051</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6406</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6800</w:t>
            </w:r>
          </w:p>
        </w:tc>
        <w:tc>
          <w:tcPr>
            <w:tcW w:w="1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7000</w:t>
            </w:r>
          </w:p>
        </w:tc>
        <w:tc>
          <w:tcPr>
            <w:tcW w:w="10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tcPr>
          <w:p>
            <w:pPr>
              <w:pStyle w:val="Style26"/>
              <w:jc w:val="center"/>
              <w:rPr>
                <w:sz w:val="28"/>
                <w:szCs w:val="28"/>
              </w:rPr>
            </w:pPr>
            <w:r>
              <w:rPr>
                <w:sz w:val="28"/>
                <w:szCs w:val="28"/>
                <w:shd w:fill="auto" w:val="clear"/>
              </w:rPr>
              <w:t>7500</w:t>
            </w:r>
          </w:p>
        </w:tc>
        <w:tc>
          <w:tcPr>
            <w:tcW w:w="9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5" w:type="dxa"/>
            </w:tcMar>
          </w:tcPr>
          <w:p>
            <w:pPr>
              <w:pStyle w:val="Style26"/>
              <w:jc w:val="center"/>
              <w:rPr>
                <w:sz w:val="28"/>
                <w:szCs w:val="28"/>
              </w:rPr>
            </w:pPr>
            <w:r>
              <w:rPr>
                <w:sz w:val="28"/>
                <w:szCs w:val="28"/>
                <w:shd w:fill="auto" w:val="clear"/>
              </w:rPr>
              <w:t>8000</w:t>
            </w:r>
          </w:p>
        </w:tc>
      </w:tr>
    </w:tbl>
    <w:p>
      <w:pPr>
        <w:pStyle w:val="Standard"/>
        <w:jc w:val="center"/>
        <w:rPr>
          <w:sz w:val="28"/>
          <w:szCs w:val="28"/>
        </w:rPr>
      </w:pPr>
      <w:r>
        <w:rPr>
          <w:sz w:val="28"/>
          <w:szCs w:val="28"/>
        </w:rPr>
      </w:r>
    </w:p>
    <w:p>
      <w:pPr>
        <w:pStyle w:val="Standard"/>
        <w:jc w:val="center"/>
        <w:rPr>
          <w:sz w:val="28"/>
          <w:szCs w:val="28"/>
        </w:rPr>
      </w:pPr>
      <w:r>
        <w:rPr>
          <w:sz w:val="28"/>
          <w:szCs w:val="28"/>
        </w:rPr>
      </w:r>
    </w:p>
    <w:p>
      <w:pPr>
        <w:pStyle w:val="3"/>
        <w:rPr/>
      </w:pPr>
      <w:bookmarkStart w:id="31" w:name="_Toc11337763"/>
      <w:bookmarkEnd w:id="31"/>
      <w:r>
        <w:rPr/>
        <w:t>5. ЭТАПЫ И ОЖИДАЕМЫЕ РЕЗУЛЬТАТЫ РЕАЛИЗАЦИИ СТРАТЕГИИ</w:t>
      </w:r>
    </w:p>
    <w:p>
      <w:pPr>
        <w:pStyle w:val="Standard"/>
        <w:ind w:hanging="0"/>
        <w:rPr>
          <w:sz w:val="28"/>
          <w:szCs w:val="28"/>
        </w:rPr>
      </w:pPr>
      <w:r>
        <w:rPr>
          <w:sz w:val="28"/>
          <w:szCs w:val="28"/>
        </w:rPr>
      </w:r>
    </w:p>
    <w:p>
      <w:pPr>
        <w:pStyle w:val="ConsPlusNormal"/>
        <w:ind w:firstLine="709"/>
        <w:jc w:val="both"/>
        <w:rPr>
          <w:rFonts w:ascii="Times New Roman" w:hAnsi="Times New Roman" w:cs="Times New Roman"/>
          <w:b/>
          <w:b/>
          <w:sz w:val="28"/>
          <w:szCs w:val="28"/>
        </w:rPr>
      </w:pPr>
      <w:r>
        <w:rPr>
          <w:rFonts w:cs="Times New Roman" w:ascii="Times New Roman" w:hAnsi="Times New Roman"/>
          <w:sz w:val="28"/>
          <w:szCs w:val="28"/>
        </w:rPr>
        <w:t xml:space="preserve">Стратегия социально-экономического развития города-курорта Железноводска определена на 16 лет (2019-2035 годы) и будет реализовываться в три этапа. Этапы реализации Стратегии обозначены для выделения стадий процесса достижения стратегических целей.  </w:t>
      </w:r>
    </w:p>
    <w:p>
      <w:pPr>
        <w:pStyle w:val="24"/>
        <w:spacing w:before="0" w:after="0"/>
        <w:ind w:left="0" w:right="0" w:firstLine="709"/>
        <w:jc w:val="both"/>
        <w:rPr>
          <w:color w:val="000000" w:themeColor="text1"/>
          <w:sz w:val="28"/>
          <w:szCs w:val="28"/>
        </w:rPr>
      </w:pPr>
      <w:r>
        <w:rPr>
          <w:b/>
          <w:color w:val="000000" w:themeColor="text1"/>
          <w:sz w:val="28"/>
          <w:szCs w:val="28"/>
        </w:rPr>
        <w:t>1 этап: 2019-2021 годы</w:t>
      </w:r>
      <w:r>
        <w:rPr>
          <w:color w:val="000000" w:themeColor="text1"/>
          <w:sz w:val="28"/>
          <w:szCs w:val="28"/>
        </w:rPr>
        <w:t xml:space="preserve"> – активизация имеющихся стратегических ресурсов, опираясь на основные точки роста с привлечением дополнительных бюджетных средств для реализации среднесрочных планов и программ развития, совершенствование нормативно правовой базы муниципального образования для реализации целей и задач Стратегии, осуществление муниципальной инвестиционной политики, способствующей притоку частных инвестиций. Реализация проектов, привлекающих внешние инвестиционные ресурсы и создание инвестиционного задела. </w:t>
      </w:r>
    </w:p>
    <w:p>
      <w:pPr>
        <w:pStyle w:val="24"/>
        <w:tabs>
          <w:tab w:val="left" w:pos="1080" w:leader="none"/>
        </w:tabs>
        <w:spacing w:before="0" w:after="0"/>
        <w:ind w:left="0" w:right="0" w:firstLine="709"/>
        <w:jc w:val="both"/>
        <w:rPr/>
      </w:pPr>
      <w:hyperlink w:anchor="Par304">
        <w:r>
          <w:rPr>
            <w:webHidden/>
            <w:rStyle w:val="Style16"/>
            <w:b/>
            <w:color w:val="000000" w:themeColor="text1"/>
            <w:sz w:val="28"/>
            <w:szCs w:val="28"/>
          </w:rPr>
          <w:t>2 этап</w:t>
        </w:r>
      </w:hyperlink>
      <w:r>
        <w:rPr>
          <w:b/>
          <w:color w:val="000000" w:themeColor="text1"/>
          <w:sz w:val="28"/>
          <w:szCs w:val="28"/>
        </w:rPr>
        <w:t xml:space="preserve">: 2021-2026  годы </w:t>
      </w:r>
      <w:r>
        <w:rPr>
          <w:color w:val="000000" w:themeColor="text1"/>
          <w:sz w:val="28"/>
          <w:szCs w:val="28"/>
        </w:rPr>
        <w:t>- повышение эффективности работы органов местного самоуправления города, внедрение системы сбалансированных показателей, переход на принципы бюджетирования, ориентированного на результат во всех сферах муниципального управления. Повышение интереса федеральных и региональных органов власти к развитию города как курорту федерального значения.  Стимулирование развития малого и среднего предпринимательства. Развитие механизма муниципально-частного партнерства.</w:t>
      </w:r>
    </w:p>
    <w:p>
      <w:pPr>
        <w:pStyle w:val="24"/>
        <w:tabs>
          <w:tab w:val="left" w:pos="1080" w:leader="none"/>
        </w:tabs>
        <w:spacing w:before="0" w:after="0"/>
        <w:ind w:left="0" w:right="0" w:firstLine="709"/>
        <w:jc w:val="both"/>
        <w:rPr/>
      </w:pPr>
      <w:hyperlink w:anchor="Par304">
        <w:r>
          <w:rPr>
            <w:webHidden/>
            <w:rStyle w:val="Style16"/>
            <w:b/>
            <w:color w:val="000000" w:themeColor="text1"/>
            <w:sz w:val="28"/>
            <w:szCs w:val="28"/>
          </w:rPr>
          <w:t>3 этап</w:t>
        </w:r>
      </w:hyperlink>
      <w:r>
        <w:rPr>
          <w:b/>
          <w:color w:val="000000" w:themeColor="text1"/>
          <w:sz w:val="28"/>
          <w:szCs w:val="28"/>
        </w:rPr>
        <w:t xml:space="preserve">: 2026-2031  годы </w:t>
      </w:r>
      <w:r>
        <w:rPr>
          <w:color w:val="000000" w:themeColor="text1"/>
          <w:sz w:val="28"/>
          <w:szCs w:val="28"/>
        </w:rPr>
        <w:t>- создание комфортной туристской среды на территории города-курорта Железноводска. Формирование позитивного имиджа города-курорта Железноводска как территории благоприятной для туризма; новой устойчивой и сбалансированной инфраструктуры, позволяющей обеспечить высокий уровень качества жизни и ускоренное развитие экономики. Р</w:t>
      </w:r>
      <w:r>
        <w:rPr>
          <w:color w:val="000000" w:themeColor="text1"/>
          <w:sz w:val="28"/>
          <w:szCs w:val="28"/>
          <w:lang w:eastAsia="en-US" w:bidi="en-US"/>
        </w:rPr>
        <w:t xml:space="preserve">еализация инновационных проектов в различных сферах экономики. Повышение эффективности деятельности предприятий путем увеличения производительности труда, внедрения новых технологий производства. </w:t>
      </w:r>
      <w:r>
        <w:rPr>
          <w:color w:val="000000" w:themeColor="text1"/>
          <w:sz w:val="28"/>
          <w:szCs w:val="28"/>
        </w:rPr>
        <w:t>Увеличение доходов населения и бюджета города. Приток квалифицированных кадров в туристско-рекреационный комплекс.</w:t>
      </w:r>
    </w:p>
    <w:p>
      <w:pPr>
        <w:pStyle w:val="24"/>
        <w:tabs>
          <w:tab w:val="left" w:pos="1080" w:leader="none"/>
        </w:tabs>
        <w:spacing w:before="0" w:after="0"/>
        <w:ind w:left="0" w:right="0" w:firstLine="709"/>
        <w:jc w:val="both"/>
        <w:rPr>
          <w:sz w:val="28"/>
          <w:szCs w:val="28"/>
        </w:rPr>
      </w:pPr>
      <w:r>
        <w:rPr>
          <w:b/>
          <w:color w:val="000000" w:themeColor="text1"/>
          <w:sz w:val="28"/>
          <w:szCs w:val="28"/>
          <w:u w:val="single"/>
        </w:rPr>
        <w:t>4 этап:</w:t>
      </w:r>
      <w:r>
        <w:rPr>
          <w:b/>
          <w:color w:val="000000" w:themeColor="text1"/>
          <w:sz w:val="28"/>
          <w:szCs w:val="28"/>
        </w:rPr>
        <w:t xml:space="preserve"> 2031-2035 годы</w:t>
      </w:r>
      <w:r>
        <w:rPr>
          <w:color w:val="000000" w:themeColor="text1"/>
          <w:sz w:val="28"/>
          <w:szCs w:val="28"/>
        </w:rPr>
        <w:t xml:space="preserve"> – завершение формирования на территории города Железноводска динамичного </w:t>
      </w:r>
      <w:r>
        <w:rPr>
          <w:sz w:val="28"/>
          <w:szCs w:val="28"/>
        </w:rPr>
        <w:t xml:space="preserve">и конкурентоспособного санаторно-курортного и туристско-рекреационного комплекса, обеспечивающего мировой уровень лечения и отдыха. Существенное обновление основных производственных фондов и коммунальной инфраструктуры. Продолжение реализации инвестиционных и инновационных проектов. Значительный приток отдыхающих и туристов на курорте. Достижение высоких стандартов в области образования, культуры, здравоохранения и социальной поддержки населения. Обеспечение социальной стабильности, высокого уровня качества жизни горожан. </w:t>
      </w:r>
    </w:p>
    <w:p>
      <w:pPr>
        <w:pStyle w:val="24"/>
        <w:tabs>
          <w:tab w:val="left" w:pos="1080" w:leader="none"/>
        </w:tabs>
        <w:spacing w:before="0" w:after="0"/>
        <w:ind w:left="0" w:right="0" w:firstLine="709"/>
        <w:jc w:val="both"/>
        <w:rPr>
          <w:sz w:val="28"/>
          <w:szCs w:val="28"/>
        </w:rPr>
      </w:pPr>
      <w:r>
        <w:rPr>
          <w:sz w:val="28"/>
          <w:szCs w:val="28"/>
        </w:rPr>
      </w:r>
    </w:p>
    <w:p>
      <w:pPr>
        <w:pStyle w:val="24"/>
        <w:tabs>
          <w:tab w:val="left" w:pos="1080" w:leader="none"/>
        </w:tabs>
        <w:spacing w:before="0" w:after="0"/>
        <w:ind w:left="0" w:right="0" w:firstLine="709"/>
        <w:jc w:val="both"/>
        <w:rPr>
          <w:sz w:val="28"/>
          <w:szCs w:val="28"/>
        </w:rPr>
      </w:pPr>
      <w:r>
        <w:rPr>
          <w:sz w:val="28"/>
          <w:szCs w:val="28"/>
        </w:rPr>
      </w:r>
    </w:p>
    <w:p>
      <w:pPr>
        <w:pStyle w:val="Standard"/>
        <w:jc w:val="right"/>
        <w:rPr>
          <w:b/>
          <w:b/>
          <w:szCs w:val="28"/>
        </w:rPr>
      </w:pPr>
      <w:r>
        <w:rPr>
          <w:b/>
          <w:szCs w:val="28"/>
        </w:rPr>
        <w:t>Таблица 17</w:t>
      </w:r>
    </w:p>
    <w:p>
      <w:pPr>
        <w:pStyle w:val="Standard"/>
        <w:jc w:val="center"/>
        <w:rPr>
          <w:b/>
          <w:b/>
          <w:szCs w:val="28"/>
        </w:rPr>
      </w:pPr>
      <w:r>
        <w:rPr>
          <w:b/>
          <w:szCs w:val="28"/>
        </w:rPr>
        <w:t>Ожидаемые результаты реализации Стратегии социально-экономического развития города-курорта Железноводска Ставропольского края в сравнении с текущим состоянием социально-экономического развития</w:t>
      </w:r>
    </w:p>
    <w:tbl>
      <w:tblPr>
        <w:tblW w:w="9653" w:type="dxa"/>
        <w:jc w:val="left"/>
        <w:tblInd w:w="-95" w:type="dxa"/>
        <w:tblBorders>
          <w:top w:val="single" w:sz="4" w:space="0" w:color="00000A"/>
          <w:left w:val="single" w:sz="4" w:space="0" w:color="00000A"/>
          <w:bottom w:val="single" w:sz="4" w:space="0" w:color="00000A"/>
          <w:insideH w:val="single" w:sz="4" w:space="0" w:color="00000A"/>
        </w:tblBorders>
        <w:tblCellMar>
          <w:top w:w="0" w:type="dxa"/>
          <w:left w:w="108" w:type="dxa"/>
          <w:bottom w:w="0" w:type="dxa"/>
          <w:right w:w="108" w:type="dxa"/>
        </w:tblCellMar>
        <w:tblLook w:noVBand="0" w:val="0000" w:noHBand="0" w:lastColumn="0" w:firstColumn="0" w:lastRow="0" w:firstRow="0"/>
      </w:tblPr>
      <w:tblGrid>
        <w:gridCol w:w="3792"/>
        <w:gridCol w:w="5860"/>
      </w:tblGrid>
      <w:tr>
        <w:trPr>
          <w:tblHeader w:val="true"/>
          <w:trHeight w:val="319" w:hRule="atLeast"/>
        </w:trPr>
        <w:tc>
          <w:tcPr>
            <w:tcW w:w="3792" w:type="dxa"/>
            <w:tcBorders>
              <w:top w:val="single" w:sz="4" w:space="0" w:color="00000A"/>
              <w:left w:val="single" w:sz="4" w:space="0" w:color="00000A"/>
              <w:bottom w:val="single" w:sz="4" w:space="0" w:color="00000A"/>
              <w:insideH w:val="single" w:sz="4" w:space="0" w:color="00000A"/>
            </w:tcBorders>
            <w:shd w:color="auto" w:fill="auto" w:val="clear"/>
            <w:tcMar>
              <w:left w:w="108" w:type="dxa"/>
            </w:tcMar>
          </w:tcPr>
          <w:p>
            <w:pPr>
              <w:pStyle w:val="Normal"/>
              <w:jc w:val="center"/>
              <w:rPr>
                <w:rFonts w:ascii="Times New Roman" w:hAnsi="Times New Roman" w:cs="Times New Roman"/>
                <w:b/>
                <w:b/>
                <w:sz w:val="28"/>
                <w:szCs w:val="28"/>
              </w:rPr>
            </w:pPr>
            <w:r>
              <w:rPr>
                <w:rFonts w:cs="Times New Roman" w:ascii="Times New Roman" w:hAnsi="Times New Roman"/>
                <w:b/>
                <w:sz w:val="28"/>
                <w:szCs w:val="28"/>
              </w:rPr>
              <w:t>2015 год</w:t>
            </w:r>
          </w:p>
        </w:tc>
        <w:tc>
          <w:tcPr>
            <w:tcW w:w="58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rFonts w:ascii="Times New Roman" w:hAnsi="Times New Roman" w:cs="Times New Roman"/>
                <w:sz w:val="28"/>
                <w:szCs w:val="28"/>
              </w:rPr>
            </w:pPr>
            <w:r>
              <w:rPr>
                <w:rFonts w:cs="Times New Roman" w:ascii="Times New Roman" w:hAnsi="Times New Roman"/>
                <w:b/>
                <w:sz w:val="28"/>
                <w:szCs w:val="28"/>
              </w:rPr>
              <w:t>2035 год</w:t>
            </w:r>
          </w:p>
        </w:tc>
      </w:tr>
      <w:tr>
        <w:trPr>
          <w:trHeight w:val="2330" w:hRule="atLeast"/>
        </w:trPr>
        <w:tc>
          <w:tcPr>
            <w:tcW w:w="3792" w:type="dxa"/>
            <w:tcBorders>
              <w:top w:val="single" w:sz="4" w:space="0" w:color="00000A"/>
              <w:left w:val="single" w:sz="4" w:space="0" w:color="00000A"/>
              <w:bottom w:val="single" w:sz="4" w:space="0" w:color="00000A"/>
              <w:insideH w:val="single" w:sz="4" w:space="0" w:color="00000A"/>
            </w:tcBorders>
            <w:shd w:color="auto" w:fill="auto" w:val="clear"/>
            <w:tcMar>
              <w:left w:w="108" w:type="dxa"/>
            </w:tcMar>
          </w:tcPr>
          <w:p>
            <w:pPr>
              <w:pStyle w:val="Normal"/>
              <w:jc w:val="both"/>
              <w:rPr>
                <w:rFonts w:ascii="Times New Roman" w:hAnsi="Times New Roman" w:cs="Times New Roman"/>
                <w:sz w:val="28"/>
                <w:szCs w:val="28"/>
              </w:rPr>
            </w:pPr>
            <w:r>
              <w:rPr>
                <w:rFonts w:cs="Times New Roman" w:ascii="Times New Roman" w:hAnsi="Times New Roman"/>
                <w:sz w:val="28"/>
                <w:szCs w:val="28"/>
              </w:rPr>
              <w:t>Наличие фактов загрязнения окружающей среды, несоблюдения природоохранного режима горно-санитарной охраны в первой и второй охранных зонах</w:t>
            </w:r>
          </w:p>
        </w:tc>
        <w:tc>
          <w:tcPr>
            <w:tcW w:w="58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both"/>
              <w:rPr>
                <w:rFonts w:ascii="Times New Roman" w:hAnsi="Times New Roman" w:cs="Times New Roman"/>
                <w:sz w:val="28"/>
                <w:szCs w:val="28"/>
              </w:rPr>
            </w:pPr>
            <w:r>
              <w:rPr>
                <w:rFonts w:cs="Times New Roman" w:ascii="Times New Roman" w:hAnsi="Times New Roman"/>
                <w:sz w:val="28"/>
                <w:szCs w:val="28"/>
              </w:rPr>
              <w:t>Создана благоприятная эколого-санитарная обстановка, внедрен комплекс экологического мониторинга, исключено в развитие видов хозяйственной деятельности в зонах санитарной (горно-санитарной) охраны</w:t>
            </w:r>
          </w:p>
        </w:tc>
      </w:tr>
      <w:tr>
        <w:trPr>
          <w:trHeight w:val="319" w:hRule="atLeast"/>
        </w:trPr>
        <w:tc>
          <w:tcPr>
            <w:tcW w:w="3792" w:type="dxa"/>
            <w:tcBorders>
              <w:top w:val="single" w:sz="4" w:space="0" w:color="00000A"/>
              <w:left w:val="single" w:sz="4" w:space="0" w:color="00000A"/>
              <w:bottom w:val="single" w:sz="4" w:space="0" w:color="00000A"/>
              <w:insideH w:val="single" w:sz="4" w:space="0" w:color="00000A"/>
            </w:tcBorders>
            <w:shd w:color="auto" w:fill="auto" w:val="clear"/>
            <w:tcMar>
              <w:left w:w="108" w:type="dxa"/>
            </w:tcMar>
          </w:tcPr>
          <w:p>
            <w:pPr>
              <w:pStyle w:val="Normal"/>
              <w:jc w:val="both"/>
              <w:rPr>
                <w:rFonts w:ascii="Times New Roman" w:hAnsi="Times New Roman" w:cs="Times New Roman"/>
                <w:sz w:val="28"/>
                <w:szCs w:val="28"/>
              </w:rPr>
            </w:pPr>
            <w:r>
              <w:rPr>
                <w:rFonts w:cs="Times New Roman" w:ascii="Times New Roman" w:hAnsi="Times New Roman"/>
                <w:sz w:val="28"/>
                <w:szCs w:val="28"/>
              </w:rPr>
              <w:t xml:space="preserve">Неудовлетворительное состояние лесопарковой зоны и  терренкуров, объектов туристского показа, в том числе находящихся в федеральной собственности </w:t>
            </w:r>
          </w:p>
        </w:tc>
        <w:tc>
          <w:tcPr>
            <w:tcW w:w="58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both"/>
              <w:rPr>
                <w:rFonts w:ascii="Times New Roman" w:hAnsi="Times New Roman" w:cs="Times New Roman"/>
                <w:sz w:val="28"/>
                <w:szCs w:val="28"/>
              </w:rPr>
            </w:pPr>
            <w:r>
              <w:rPr>
                <w:rFonts w:cs="Times New Roman" w:ascii="Times New Roman" w:hAnsi="Times New Roman"/>
                <w:sz w:val="28"/>
                <w:szCs w:val="28"/>
              </w:rPr>
              <w:t>Проведена реконструкция объектов туристского показа, выполнено благоустройство и восстановление лесопарковой зоны, терренкуров, инфраструктура и благоустройство курортной зоны находится на достаточно высоком уровне</w:t>
            </w:r>
          </w:p>
        </w:tc>
      </w:tr>
      <w:tr>
        <w:trPr>
          <w:trHeight w:val="319" w:hRule="atLeast"/>
        </w:trPr>
        <w:tc>
          <w:tcPr>
            <w:tcW w:w="3792" w:type="dxa"/>
            <w:tcBorders>
              <w:top w:val="single" w:sz="4" w:space="0" w:color="00000A"/>
              <w:left w:val="single" w:sz="4" w:space="0" w:color="00000A"/>
              <w:bottom w:val="single" w:sz="4" w:space="0" w:color="00000A"/>
              <w:insideH w:val="single" w:sz="4" w:space="0" w:color="00000A"/>
            </w:tcBorders>
            <w:shd w:color="auto" w:fill="auto" w:val="clear"/>
            <w:tcMar>
              <w:left w:w="108" w:type="dxa"/>
            </w:tcMar>
          </w:tcPr>
          <w:p>
            <w:pPr>
              <w:pStyle w:val="Normal"/>
              <w:jc w:val="both"/>
              <w:rPr>
                <w:rFonts w:ascii="Times New Roman" w:hAnsi="Times New Roman" w:cs="Times New Roman"/>
                <w:sz w:val="28"/>
                <w:szCs w:val="28"/>
              </w:rPr>
            </w:pPr>
            <w:r>
              <w:rPr>
                <w:rFonts w:cs="Times New Roman" w:ascii="Times New Roman" w:hAnsi="Times New Roman"/>
                <w:sz w:val="28"/>
                <w:szCs w:val="28"/>
              </w:rPr>
              <w:t>Ограниченность собственных бюджетных возможностей, зависимость доходов городского бюджета от бюджетов вышестоящих уровней</w:t>
            </w:r>
          </w:p>
        </w:tc>
        <w:tc>
          <w:tcPr>
            <w:tcW w:w="58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both"/>
              <w:rPr>
                <w:rFonts w:ascii="Times New Roman" w:hAnsi="Times New Roman" w:cs="Times New Roman"/>
                <w:sz w:val="28"/>
                <w:szCs w:val="28"/>
              </w:rPr>
            </w:pPr>
            <w:r>
              <w:rPr>
                <w:rFonts w:cs="Times New Roman" w:ascii="Times New Roman" w:hAnsi="Times New Roman"/>
                <w:sz w:val="28"/>
                <w:szCs w:val="28"/>
              </w:rPr>
              <w:t xml:space="preserve">Рост доходов городского бюджета, потребности муниципального образования в финансировании обеспечены в полном объеме. Предоставление финансовой поддержки из федерального бюджета в соответствии с законодательством о статусе курортов федерального значения.  </w:t>
            </w:r>
          </w:p>
        </w:tc>
      </w:tr>
      <w:tr>
        <w:trPr>
          <w:trHeight w:val="319" w:hRule="atLeast"/>
        </w:trPr>
        <w:tc>
          <w:tcPr>
            <w:tcW w:w="3792" w:type="dxa"/>
            <w:tcBorders>
              <w:left w:val="single" w:sz="4" w:space="0" w:color="00000A"/>
              <w:bottom w:val="single" w:sz="4" w:space="0" w:color="00000A"/>
              <w:insideH w:val="single" w:sz="4" w:space="0" w:color="00000A"/>
            </w:tcBorders>
            <w:shd w:color="auto" w:fill="auto" w:val="clear"/>
            <w:tcMar>
              <w:left w:w="108" w:type="dxa"/>
            </w:tcMar>
          </w:tcPr>
          <w:p>
            <w:pPr>
              <w:pStyle w:val="Normal"/>
              <w:jc w:val="both"/>
              <w:rPr>
                <w:rFonts w:ascii="Times New Roman" w:hAnsi="Times New Roman" w:cs="Times New Roman"/>
                <w:sz w:val="28"/>
                <w:szCs w:val="28"/>
              </w:rPr>
            </w:pPr>
            <w:r>
              <w:rPr>
                <w:rFonts w:cs="Times New Roman" w:ascii="Times New Roman" w:hAnsi="Times New Roman"/>
                <w:sz w:val="28"/>
                <w:szCs w:val="28"/>
              </w:rPr>
              <w:t xml:space="preserve">Недостаточно привлекательный имидж города-курорта Железноводска </w:t>
            </w:r>
          </w:p>
        </w:tc>
        <w:tc>
          <w:tcPr>
            <w:tcW w:w="5860"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Style22"/>
              <w:suppressAutoHyphens w:val="false"/>
              <w:rPr>
                <w:sz w:val="28"/>
                <w:szCs w:val="28"/>
              </w:rPr>
            </w:pPr>
            <w:r>
              <w:rPr>
                <w:sz w:val="28"/>
                <w:szCs w:val="28"/>
              </w:rPr>
              <w:t>Формирование позитивного имиджа города-курорта Железноводска в Ставропольском крае, внутри страны и за рубежом как территории благоприятной для туризма, создан современный и востребованный курорт мирового уровня</w:t>
            </w:r>
          </w:p>
        </w:tc>
      </w:tr>
      <w:tr>
        <w:trPr>
          <w:trHeight w:val="319" w:hRule="atLeast"/>
        </w:trPr>
        <w:tc>
          <w:tcPr>
            <w:tcW w:w="3792" w:type="dxa"/>
            <w:tcBorders>
              <w:top w:val="single" w:sz="4" w:space="0" w:color="00000A"/>
              <w:left w:val="single" w:sz="4" w:space="0" w:color="00000A"/>
              <w:bottom w:val="single" w:sz="4" w:space="0" w:color="00000A"/>
              <w:insideH w:val="single" w:sz="4" w:space="0" w:color="00000A"/>
            </w:tcBorders>
            <w:shd w:color="auto" w:fill="auto" w:val="clear"/>
            <w:tcMar>
              <w:left w:w="108" w:type="dxa"/>
            </w:tcMar>
          </w:tcPr>
          <w:p>
            <w:pPr>
              <w:pStyle w:val="Normal"/>
              <w:jc w:val="both"/>
              <w:rPr>
                <w:rFonts w:ascii="Times New Roman" w:hAnsi="Times New Roman" w:cs="Times New Roman"/>
                <w:sz w:val="28"/>
                <w:szCs w:val="28"/>
              </w:rPr>
            </w:pPr>
            <w:r>
              <w:rPr>
                <w:rFonts w:cs="Times New Roman" w:ascii="Times New Roman" w:hAnsi="Times New Roman"/>
                <w:sz w:val="28"/>
                <w:szCs w:val="28"/>
              </w:rPr>
              <w:t>Недостаточная инвестиционная привлекательность, низкая активность реальных инвесторов и субъектов предпринимательской деятельности</w:t>
            </w:r>
          </w:p>
        </w:tc>
        <w:tc>
          <w:tcPr>
            <w:tcW w:w="58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both"/>
              <w:rPr>
                <w:rFonts w:ascii="Times New Roman" w:hAnsi="Times New Roman" w:cs="Times New Roman"/>
                <w:sz w:val="28"/>
                <w:szCs w:val="28"/>
              </w:rPr>
            </w:pPr>
            <w:r>
              <w:rPr>
                <w:rFonts w:cs="Times New Roman" w:ascii="Times New Roman" w:hAnsi="Times New Roman"/>
                <w:sz w:val="28"/>
                <w:szCs w:val="28"/>
              </w:rPr>
              <w:t>Созданы   благоприятные условия для ведения предпринимательской и инвестиционной деятельности,   обеспечены комфортные  условия ведения предпринимательской деятельности, рост количества реальных инвесторов для реализации проектов на территории города, приток инвестиций</w:t>
            </w:r>
          </w:p>
        </w:tc>
      </w:tr>
      <w:tr>
        <w:trPr>
          <w:trHeight w:val="319" w:hRule="atLeast"/>
        </w:trPr>
        <w:tc>
          <w:tcPr>
            <w:tcW w:w="3792" w:type="dxa"/>
            <w:tcBorders>
              <w:top w:val="single" w:sz="4" w:space="0" w:color="00000A"/>
              <w:left w:val="single" w:sz="4" w:space="0" w:color="00000A"/>
              <w:bottom w:val="single" w:sz="4" w:space="0" w:color="00000A"/>
              <w:insideH w:val="single" w:sz="4" w:space="0" w:color="00000A"/>
            </w:tcBorders>
            <w:shd w:color="auto" w:fill="auto" w:val="clear"/>
            <w:tcMar>
              <w:left w:w="108" w:type="dxa"/>
            </w:tcMar>
          </w:tcPr>
          <w:p>
            <w:pPr>
              <w:pStyle w:val="Normal"/>
              <w:jc w:val="both"/>
              <w:rPr>
                <w:rFonts w:ascii="Times New Roman" w:hAnsi="Times New Roman" w:cs="Times New Roman"/>
                <w:sz w:val="28"/>
                <w:szCs w:val="28"/>
              </w:rPr>
            </w:pPr>
            <w:r>
              <w:rPr>
                <w:rFonts w:cs="Times New Roman" w:ascii="Times New Roman" w:hAnsi="Times New Roman"/>
                <w:sz w:val="28"/>
                <w:szCs w:val="28"/>
              </w:rPr>
              <w:t>Низкий уровень отраслей, обслуживающих курорт, недостаточный уровень развития инфраструктуры культурно-досуговых потребностей населения и отдыхающих на курорте</w:t>
            </w:r>
          </w:p>
        </w:tc>
        <w:tc>
          <w:tcPr>
            <w:tcW w:w="58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both"/>
              <w:rPr>
                <w:rFonts w:ascii="Times New Roman" w:hAnsi="Times New Roman" w:cs="Times New Roman"/>
                <w:sz w:val="28"/>
                <w:szCs w:val="28"/>
              </w:rPr>
            </w:pPr>
            <w:r>
              <w:rPr>
                <w:rFonts w:cs="Times New Roman" w:ascii="Times New Roman" w:hAnsi="Times New Roman"/>
                <w:sz w:val="28"/>
                <w:szCs w:val="28"/>
              </w:rPr>
              <w:t>Создана современная индустрия туризма и инфраструктура развлечений, высокий уровень сферы обслуживания населения и отдыхающих на курорте</w:t>
            </w:r>
          </w:p>
        </w:tc>
      </w:tr>
      <w:tr>
        <w:trPr>
          <w:trHeight w:val="1827" w:hRule="atLeast"/>
        </w:trPr>
        <w:tc>
          <w:tcPr>
            <w:tcW w:w="3792" w:type="dxa"/>
            <w:tcBorders>
              <w:top w:val="single" w:sz="4" w:space="0" w:color="00000A"/>
              <w:left w:val="single" w:sz="4" w:space="0" w:color="00000A"/>
              <w:bottom w:val="single" w:sz="4" w:space="0" w:color="00000A"/>
              <w:insideH w:val="single" w:sz="4" w:space="0" w:color="00000A"/>
            </w:tcBorders>
            <w:shd w:color="auto" w:fill="auto" w:val="clear"/>
            <w:tcMar>
              <w:left w:w="108" w:type="dxa"/>
            </w:tcMar>
          </w:tcPr>
          <w:p>
            <w:pPr>
              <w:pStyle w:val="Normal"/>
              <w:jc w:val="both"/>
              <w:rPr>
                <w:rFonts w:ascii="Times New Roman" w:hAnsi="Times New Roman" w:cs="Times New Roman"/>
                <w:sz w:val="28"/>
                <w:szCs w:val="28"/>
              </w:rPr>
            </w:pPr>
            <w:r>
              <w:rPr>
                <w:rFonts w:cs="Times New Roman" w:ascii="Times New Roman" w:hAnsi="Times New Roman"/>
                <w:sz w:val="28"/>
                <w:szCs w:val="28"/>
              </w:rPr>
              <w:t>Нехватка высококвалифицированных кадров, в том числе в туристско-рекреационном комплексе</w:t>
            </w:r>
          </w:p>
        </w:tc>
        <w:tc>
          <w:tcPr>
            <w:tcW w:w="58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both"/>
              <w:rPr>
                <w:rFonts w:ascii="Times New Roman" w:hAnsi="Times New Roman" w:cs="Times New Roman"/>
                <w:sz w:val="28"/>
                <w:szCs w:val="28"/>
              </w:rPr>
            </w:pPr>
            <w:r>
              <w:rPr>
                <w:rFonts w:cs="Times New Roman" w:ascii="Times New Roman" w:hAnsi="Times New Roman"/>
                <w:sz w:val="28"/>
                <w:szCs w:val="28"/>
              </w:rPr>
              <w:t>Условия труда и качество жизни привлекательны для притока высококвалифицированных кадров</w:t>
            </w:r>
          </w:p>
        </w:tc>
      </w:tr>
      <w:tr>
        <w:trPr>
          <w:trHeight w:val="319" w:hRule="atLeast"/>
        </w:trPr>
        <w:tc>
          <w:tcPr>
            <w:tcW w:w="3792" w:type="dxa"/>
            <w:tcBorders>
              <w:top w:val="single" w:sz="4" w:space="0" w:color="00000A"/>
              <w:left w:val="single" w:sz="4" w:space="0" w:color="00000A"/>
              <w:bottom w:val="single" w:sz="4" w:space="0" w:color="00000A"/>
              <w:insideH w:val="single" w:sz="4" w:space="0" w:color="00000A"/>
            </w:tcBorders>
            <w:shd w:color="auto" w:fill="auto" w:val="clear"/>
            <w:tcMar>
              <w:left w:w="108" w:type="dxa"/>
            </w:tcMar>
          </w:tcPr>
          <w:p>
            <w:pPr>
              <w:pStyle w:val="Normal"/>
              <w:jc w:val="both"/>
              <w:rPr>
                <w:rFonts w:ascii="Times New Roman" w:hAnsi="Times New Roman" w:cs="Times New Roman"/>
                <w:sz w:val="28"/>
                <w:szCs w:val="28"/>
              </w:rPr>
            </w:pPr>
            <w:r>
              <w:rPr>
                <w:rFonts w:cs="Times New Roman" w:ascii="Times New Roman" w:hAnsi="Times New Roman"/>
                <w:sz w:val="28"/>
                <w:szCs w:val="28"/>
              </w:rPr>
              <w:t>Высокий уровень износа  инженерной  и жилищно-коммунальной инфраструктуры.</w:t>
            </w:r>
          </w:p>
        </w:tc>
        <w:tc>
          <w:tcPr>
            <w:tcW w:w="58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both"/>
              <w:rPr>
                <w:rFonts w:ascii="Times New Roman" w:hAnsi="Times New Roman" w:cs="Times New Roman"/>
                <w:sz w:val="28"/>
                <w:szCs w:val="28"/>
              </w:rPr>
            </w:pPr>
            <w:r>
              <w:rPr>
                <w:rFonts w:cs="Times New Roman" w:ascii="Times New Roman" w:hAnsi="Times New Roman"/>
                <w:sz w:val="28"/>
                <w:szCs w:val="28"/>
              </w:rPr>
              <w:t>Существенное обновление основных средств в реальном секторе экономики и коммунальном хозяйстве. Большая часть жилого фонда реконструирована и отремонтирована, ведется жилищное строительство, отсутствует ветхое и аварийное жилье</w:t>
            </w:r>
          </w:p>
        </w:tc>
      </w:tr>
      <w:tr>
        <w:trPr>
          <w:trHeight w:val="334" w:hRule="atLeast"/>
        </w:trPr>
        <w:tc>
          <w:tcPr>
            <w:tcW w:w="3792" w:type="dxa"/>
            <w:tcBorders>
              <w:top w:val="single" w:sz="4" w:space="0" w:color="00000A"/>
              <w:left w:val="single" w:sz="4" w:space="0" w:color="00000A"/>
              <w:bottom w:val="single" w:sz="4" w:space="0" w:color="00000A"/>
              <w:insideH w:val="single" w:sz="4" w:space="0" w:color="00000A"/>
            </w:tcBorders>
            <w:shd w:color="auto" w:fill="auto" w:val="clear"/>
            <w:tcMar>
              <w:left w:w="108" w:type="dxa"/>
            </w:tcMar>
          </w:tcPr>
          <w:p>
            <w:pPr>
              <w:pStyle w:val="Normal"/>
              <w:jc w:val="both"/>
              <w:rPr>
                <w:rFonts w:ascii="Times New Roman" w:hAnsi="Times New Roman" w:cs="Times New Roman"/>
                <w:sz w:val="28"/>
                <w:szCs w:val="28"/>
              </w:rPr>
            </w:pPr>
            <w:r>
              <w:rPr>
                <w:rFonts w:cs="Times New Roman" w:ascii="Times New Roman" w:hAnsi="Times New Roman"/>
                <w:sz w:val="28"/>
                <w:szCs w:val="28"/>
              </w:rPr>
              <w:t>Низкий уровень доходов населения</w:t>
            </w:r>
          </w:p>
        </w:tc>
        <w:tc>
          <w:tcPr>
            <w:tcW w:w="58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both"/>
              <w:rPr>
                <w:rFonts w:ascii="Times New Roman" w:hAnsi="Times New Roman" w:cs="Times New Roman"/>
                <w:sz w:val="28"/>
                <w:szCs w:val="28"/>
              </w:rPr>
            </w:pPr>
            <w:r>
              <w:rPr>
                <w:rFonts w:cs="Times New Roman" w:ascii="Times New Roman" w:hAnsi="Times New Roman"/>
                <w:sz w:val="28"/>
                <w:szCs w:val="28"/>
              </w:rPr>
              <w:t>Рост доходов населения, уровень доходов не ниже среднекраевого и среднероссийского, рынок труда стабилен, созданы необходимые условия реализации человеческого потенциала</w:t>
            </w:r>
          </w:p>
        </w:tc>
      </w:tr>
    </w:tbl>
    <w:p>
      <w:pPr>
        <w:pStyle w:val="32"/>
        <w:spacing w:before="0" w:after="0"/>
        <w:ind w:firstLine="709"/>
        <w:jc w:val="both"/>
        <w:rPr>
          <w:rFonts w:ascii="Times New Roman" w:hAnsi="Times New Roman" w:cs="Times New Roman"/>
          <w:lang w:eastAsia="zh-CN"/>
        </w:rPr>
      </w:pPr>
      <w:r>
        <w:rPr>
          <w:rFonts w:cs="Times New Roman" w:ascii="Times New Roman" w:hAnsi="Times New Roman"/>
          <w:lang w:eastAsia="zh-CN"/>
        </w:rPr>
      </w:r>
    </w:p>
    <w:p>
      <w:pPr>
        <w:pStyle w:val="3"/>
        <w:rPr/>
      </w:pPr>
      <w:bookmarkStart w:id="32" w:name="_Toc11337764"/>
      <w:r>
        <w:rPr/>
        <w:t>6. МЕХАНИЗМЫ РЕАЛИЗАЦИИ И ФИНАНСОВОЕ ОБЕСПЕЧЕНИЕ СТРАТЕГИИ</w:t>
      </w:r>
      <w:bookmarkEnd w:id="32"/>
      <w:r>
        <w:rPr/>
        <w:t xml:space="preserve"> </w:t>
      </w:r>
    </w:p>
    <w:p>
      <w:pPr>
        <w:pStyle w:val="Normal"/>
        <w:spacing w:lineRule="auto" w:line="240" w:before="0" w:after="0"/>
        <w:ind w:firstLine="709"/>
        <w:rPr>
          <w:rFonts w:ascii="Times New Roman" w:hAnsi="Times New Roman" w:cs="Times New Roman"/>
          <w:sz w:val="28"/>
        </w:rPr>
      </w:pPr>
      <w:r>
        <w:rPr>
          <w:rFonts w:cs="Times New Roman" w:ascii="Times New Roman" w:hAnsi="Times New Roman"/>
          <w:sz w:val="28"/>
        </w:rPr>
      </w:r>
    </w:p>
    <w:p>
      <w:pPr>
        <w:pStyle w:val="Style30"/>
        <w:tabs>
          <w:tab w:val="left" w:pos="567" w:leader="none"/>
        </w:tabs>
        <w:spacing w:lineRule="auto" w:line="240" w:before="0" w:after="0"/>
        <w:ind w:left="0" w:firstLine="709"/>
        <w:jc w:val="both"/>
        <w:rPr>
          <w:rFonts w:ascii="Times New Roman" w:hAnsi="Times New Roman" w:cs="Times New Roman"/>
          <w:sz w:val="28"/>
          <w:szCs w:val="28"/>
        </w:rPr>
      </w:pPr>
      <w:r>
        <w:rPr>
          <w:rFonts w:cs="Times New Roman" w:ascii="Times New Roman" w:hAnsi="Times New Roman"/>
          <w:sz w:val="28"/>
          <w:szCs w:val="28"/>
        </w:rPr>
        <w:t>Стратегия развития города-курорта Железноводска закрепляет систему представлений об основных приоритетах, целях, задачах и социально-экономической политики органов местного самоуправления города, важнейших направлениях и средствах реализации указанных целей на долгосрочную перспективу. Реализация Стратегии заключается в скоординированной деятельности субъектов муниципального развития, представляющих различные сферы: власть, науку, образование, бизнес, некоммерческий сектор, население.  Успех ее реализации во многом зависит от того, насколько стратегическое видение будет переведено в управленческие действия органов местного самоуправления города, насколько действенным окажется механизм, обеспечивающий «баланс интересов» и скоординированные действия всех участников реализации Стратегии.</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Основными инструментами реализации Стратегии являются документы стратегического планирования, разрабатываемые в рамках планирования и программирования, следующие:</w:t>
      </w:r>
    </w:p>
    <w:p>
      <w:pPr>
        <w:pStyle w:val="ConsPlusNormal"/>
        <w:ind w:firstLine="709"/>
        <w:jc w:val="both"/>
        <w:rPr>
          <w:rFonts w:ascii="Times New Roman" w:hAnsi="Times New Roman" w:cs="Times New Roman"/>
          <w:sz w:val="28"/>
          <w:szCs w:val="28"/>
        </w:rPr>
      </w:pPr>
      <w:r>
        <w:rPr>
          <w:rFonts w:cs="Times New Roman" w:ascii="Times New Roman" w:hAnsi="Times New Roman"/>
          <w:sz w:val="28"/>
          <w:szCs w:val="28"/>
        </w:rPr>
        <w:t>1) План мероприятий по реализации Стратегии социально-экономического развития города-курорта Железноводска Ставропольского края на период до 2035 года (далее - План мероприятий);</w:t>
      </w:r>
    </w:p>
    <w:p>
      <w:pPr>
        <w:pStyle w:val="ConsPlusNormal"/>
        <w:tabs>
          <w:tab w:val="left" w:pos="567" w:leader="none"/>
        </w:tabs>
        <w:ind w:firstLine="709"/>
        <w:jc w:val="both"/>
        <w:rPr>
          <w:rFonts w:ascii="Times New Roman" w:hAnsi="Times New Roman" w:cs="Times New Roman"/>
          <w:color w:val="000000"/>
          <w:sz w:val="28"/>
          <w:szCs w:val="28"/>
        </w:rPr>
      </w:pPr>
      <w:r>
        <w:rPr>
          <w:rFonts w:cs="Times New Roman" w:ascii="Times New Roman" w:hAnsi="Times New Roman"/>
          <w:sz w:val="28"/>
          <w:szCs w:val="28"/>
        </w:rPr>
        <w:t>2) Генеральный план города-курорта Железноводска Ставропольского края.</w:t>
      </w:r>
    </w:p>
    <w:p>
      <w:pPr>
        <w:pStyle w:val="ConsPlusNormal"/>
        <w:ind w:firstLine="709"/>
        <w:jc w:val="both"/>
        <w:rPr>
          <w:rFonts w:ascii="Times New Roman" w:hAnsi="Times New Roman" w:cs="Times New Roman"/>
          <w:sz w:val="28"/>
          <w:szCs w:val="28"/>
        </w:rPr>
      </w:pPr>
      <w:r>
        <w:rPr>
          <w:rFonts w:cs="Times New Roman" w:ascii="Times New Roman" w:hAnsi="Times New Roman"/>
          <w:sz w:val="28"/>
          <w:szCs w:val="28"/>
        </w:rPr>
        <w:t>3) Муниципальные программы города-курорта Железноводска Ставропольского края;</w:t>
      </w:r>
    </w:p>
    <w:p>
      <w:pPr>
        <w:pStyle w:val="Normal"/>
        <w:tabs>
          <w:tab w:val="left" w:pos="567"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color w:val="000000"/>
          <w:sz w:val="28"/>
          <w:szCs w:val="28"/>
        </w:rPr>
        <w:t xml:space="preserve">Определение приоритетных мероприятий Стратегии и координация деятельности всех участников реализации Стратегии обеспечивается путем формирования плана мероприятий по реализации Стратегии (далее – План) с указанием ответственных исполнителей и ожидаемых результатов реализации. При выработке Плана необходимо учитывать динамику реализации Стратегии и изменение внешних факторов и условий. Мероприятия утвержденного Плана учитываются при формировании бюджета города на соответствующий финансовый год. </w:t>
      </w:r>
      <w:r>
        <w:rPr>
          <w:rFonts w:cs="Times New Roman" w:ascii="Times New Roman" w:hAnsi="Times New Roman"/>
          <w:sz w:val="28"/>
          <w:szCs w:val="28"/>
        </w:rPr>
        <w:t>В результате реализация Плана мероприятий и муниципальных программ положительно отразится на выполнении положений Стратегии. Вместе с тем, необходимо обеспечить устойчивую взаимосвязь и актуализацию Стратегии, Плана мероприятий и муниципальных программ.</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В целях повышения эффективности функционирования системы стратегического планирования, повышения эффективности деятельности участников разработки Стратегии ежегодно осуществляется мониторинг Стратегии и ее реализации в соответствии с Планом мероприятий по реализации Стратегии.</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Реализация Стратегии требует постоянного наблюдения за происходящими в социально-экономической системе города процессами. Эти функции выполняет мониторинг. Он включает:</w:t>
      </w:r>
    </w:p>
    <w:p>
      <w:pPr>
        <w:pStyle w:val="16"/>
        <w:tabs>
          <w:tab w:val="left" w:pos="1080" w:leader="none"/>
        </w:tabs>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 организацию наблюдения, получение достоверной и объективной информации о протекающих в городе Железноводске социально-экономических процессах;</w:t>
      </w:r>
    </w:p>
    <w:p>
      <w:pPr>
        <w:pStyle w:val="Normal"/>
        <w:tabs>
          <w:tab w:val="left" w:pos="1080" w:leader="none"/>
        </w:tabs>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 оценку и анализ тенденции в различных сферах экономики, определение степени достижения миссии и главной цели, решения основных задач Стратегии;</w:t>
      </w:r>
    </w:p>
    <w:p>
      <w:pPr>
        <w:pStyle w:val="Normal"/>
        <w:tabs>
          <w:tab w:val="left" w:pos="1080" w:leader="none"/>
        </w:tabs>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 подготовку рекомендаций, направленных на преодоление негативных и поддержание позитивных тенденций, корректировку Стратегии в соответствии с наблюдаемыми тенденциями.</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Ключевым при разработке модели мониторинга является выбор основного параметра, определяющего движение в нужном направлении, то есть принцип «главного звена». Необходима целенаправленная ориентация всей системы мониторинга на решение ключевых управленческих задач. Правильно выбранный приоритет позволит соединить в систему все разрозненные и важные цели и подцели. В Стратегии таковым является </w:t>
      </w:r>
      <w:r>
        <w:rPr>
          <w:rFonts w:cs="Times New Roman" w:ascii="Times New Roman" w:hAnsi="Times New Roman"/>
          <w:i/>
          <w:iCs/>
          <w:sz w:val="28"/>
          <w:szCs w:val="28"/>
        </w:rPr>
        <w:t>формирование высокого уровня качества жизни горожан</w:t>
      </w:r>
      <w:r>
        <w:rPr>
          <w:rFonts w:cs="Times New Roman" w:ascii="Times New Roman" w:hAnsi="Times New Roman"/>
          <w:b/>
          <w:i/>
          <w:sz w:val="28"/>
          <w:szCs w:val="28"/>
        </w:rPr>
        <w:t>.</w:t>
      </w:r>
      <w:r>
        <w:rPr>
          <w:rFonts w:cs="Times New Roman" w:ascii="Times New Roman" w:hAnsi="Times New Roman"/>
          <w:sz w:val="28"/>
          <w:szCs w:val="28"/>
        </w:rPr>
        <w:t xml:space="preserve"> Это по сути масштабная и комплексная задача, включающая не только закрепление имеющегося статуса города курорта, но и укоренение, и расширение возможностей его использования, создание комфортных и безопасных условий для жизни, отдыха и бизнеса. </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Основным видом отчетности по реализации Стратегии являются ежегодные отчеты отраслевых (функциональных) органов и структурных подразделений администрации города-курорта Железноводска Ставропольского края и ежегодный сводный отчет о реализации Стратегии, который размещается на официальном сайте Думы города-курорта Железноводска Ставропольского края и администрации города-курорта Железноводска Ставропольского края в информационно-телекоммуникационной сети «Интернет».</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Практическое достижение намеченных целей возможно при эффективном использовании финансовых механизмов</w:t>
      </w:r>
      <w:r>
        <w:rPr>
          <w:rFonts w:cs="Times New Roman" w:ascii="Times New Roman" w:hAnsi="Times New Roman"/>
          <w:b/>
          <w:sz w:val="28"/>
          <w:szCs w:val="28"/>
        </w:rPr>
        <w:t xml:space="preserve"> </w:t>
      </w:r>
      <w:r>
        <w:rPr>
          <w:rFonts w:cs="Times New Roman" w:ascii="Times New Roman" w:hAnsi="Times New Roman"/>
          <w:sz w:val="28"/>
          <w:szCs w:val="28"/>
        </w:rPr>
        <w:t>реализации Стратегии, направленных на концентрацию финансовых ресурсов на приоритетных направлениях развития, а также нацеленность на результат.</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Для максимально эффективного использования финансовых инструментов реализации Стратегии необходимо применение комплекса мер по развитию системы общественных финансов. </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В качестве финансового обеспечения реализации Стратегии выступают:</w:t>
      </w:r>
    </w:p>
    <w:p>
      <w:pPr>
        <w:pStyle w:val="Normal"/>
        <w:numPr>
          <w:ilvl w:val="0"/>
          <w:numId w:val="7"/>
        </w:numPr>
        <w:tabs>
          <w:tab w:val="left" w:pos="720" w:leader="none"/>
          <w:tab w:val="left" w:pos="900" w:leader="none"/>
          <w:tab w:val="left" w:pos="1080" w:leader="none"/>
        </w:tabs>
        <w:suppressAutoHyphens w:val="true"/>
        <w:spacing w:lineRule="auto" w:line="240" w:before="0" w:after="0"/>
        <w:ind w:left="0" w:firstLine="709"/>
        <w:jc w:val="both"/>
        <w:rPr>
          <w:rFonts w:ascii="Times New Roman" w:hAnsi="Times New Roman" w:cs="Times New Roman"/>
          <w:sz w:val="28"/>
          <w:szCs w:val="28"/>
        </w:rPr>
      </w:pPr>
      <w:r>
        <w:rPr>
          <w:rFonts w:cs="Times New Roman" w:ascii="Times New Roman" w:hAnsi="Times New Roman"/>
          <w:sz w:val="28"/>
          <w:szCs w:val="28"/>
        </w:rPr>
        <w:t xml:space="preserve">бюджет города </w:t>
      </w:r>
      <w:r>
        <w:rPr>
          <w:rFonts w:cs="Times New Roman" w:ascii="Times New Roman" w:hAnsi="Times New Roman"/>
          <w:color w:val="000000"/>
          <w:sz w:val="28"/>
          <w:szCs w:val="28"/>
        </w:rPr>
        <w:t>(в</w:t>
      </w:r>
      <w:r>
        <w:rPr>
          <w:rFonts w:cs="Times New Roman" w:ascii="Times New Roman" w:hAnsi="Times New Roman"/>
          <w:sz w:val="28"/>
          <w:szCs w:val="28"/>
        </w:rPr>
        <w:t>нутренний ресурс повышения эффективности социально-экономического развития города);</w:t>
      </w:r>
    </w:p>
    <w:p>
      <w:pPr>
        <w:pStyle w:val="Normal"/>
        <w:numPr>
          <w:ilvl w:val="0"/>
          <w:numId w:val="7"/>
        </w:numPr>
        <w:tabs>
          <w:tab w:val="left" w:pos="720" w:leader="none"/>
          <w:tab w:val="left" w:pos="900" w:leader="none"/>
          <w:tab w:val="left" w:pos="1080" w:leader="none"/>
        </w:tabs>
        <w:suppressAutoHyphens w:val="true"/>
        <w:spacing w:lineRule="auto" w:line="240" w:before="0" w:after="0"/>
        <w:ind w:left="0" w:firstLine="709"/>
        <w:jc w:val="both"/>
        <w:rPr>
          <w:rFonts w:ascii="Times New Roman" w:hAnsi="Times New Roman" w:cs="Times New Roman"/>
          <w:sz w:val="28"/>
          <w:szCs w:val="28"/>
        </w:rPr>
      </w:pPr>
      <w:r>
        <w:rPr>
          <w:rFonts w:cs="Times New Roman" w:ascii="Times New Roman" w:hAnsi="Times New Roman"/>
          <w:sz w:val="28"/>
          <w:szCs w:val="28"/>
        </w:rPr>
        <w:t>целевое софинансирование за счет средств федерального и регионального бюджетов путем активного участия города в реализации приоритетных национальных проектов, федеральных и региональных программам, федеральной и региональной адресных инвестиционных программ при неуклонном выполнении городом обязательств по софинансированию;</w:t>
      </w:r>
    </w:p>
    <w:p>
      <w:pPr>
        <w:pStyle w:val="Normal"/>
        <w:numPr>
          <w:ilvl w:val="0"/>
          <w:numId w:val="7"/>
        </w:numPr>
        <w:tabs>
          <w:tab w:val="left" w:pos="720" w:leader="none"/>
          <w:tab w:val="left" w:pos="900" w:leader="none"/>
          <w:tab w:val="left" w:pos="1080" w:leader="none"/>
        </w:tabs>
        <w:suppressAutoHyphens w:val="true"/>
        <w:spacing w:lineRule="auto" w:line="240" w:before="0" w:after="0"/>
        <w:ind w:left="0" w:firstLine="709"/>
        <w:jc w:val="both"/>
        <w:rPr>
          <w:rFonts w:ascii="Times New Roman" w:hAnsi="Times New Roman" w:cs="Times New Roman"/>
          <w:sz w:val="28"/>
          <w:szCs w:val="28"/>
        </w:rPr>
      </w:pPr>
      <w:r>
        <w:rPr>
          <w:rFonts w:cs="Times New Roman" w:ascii="Times New Roman" w:hAnsi="Times New Roman"/>
          <w:sz w:val="28"/>
          <w:szCs w:val="28"/>
        </w:rPr>
        <w:t xml:space="preserve">самофинансирование со стороны субъектов хозяйственной деятельности, осуществляющих реализацию инвестиционных проектов, прежде всего, за счет собственных средств и кредитов коммерческих банков. </w:t>
      </w:r>
    </w:p>
    <w:p>
      <w:pPr>
        <w:pStyle w:val="Normal"/>
        <w:tabs>
          <w:tab w:val="left" w:pos="0" w:leader="none"/>
          <w:tab w:val="left" w:pos="1080"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Финансирование мероприятий Стратегии за счет бюджета города будет производиться в рамках следующих муниципальных программ города-курорта Железноводска Ставропольского края:</w:t>
      </w:r>
    </w:p>
    <w:p>
      <w:pPr>
        <w:pStyle w:val="Style30"/>
        <w:tabs>
          <w:tab w:val="left" w:pos="567" w:leader="none"/>
        </w:tabs>
        <w:spacing w:lineRule="auto" w:line="240" w:before="0" w:after="0"/>
        <w:ind w:left="0" w:firstLine="709"/>
        <w:jc w:val="both"/>
        <w:rPr>
          <w:rFonts w:ascii="Times New Roman" w:hAnsi="Times New Roman" w:cs="Times New Roman"/>
          <w:sz w:val="28"/>
          <w:szCs w:val="28"/>
        </w:rPr>
      </w:pPr>
      <w:r>
        <w:rPr>
          <w:rFonts w:cs="Times New Roman" w:ascii="Times New Roman" w:hAnsi="Times New Roman"/>
          <w:sz w:val="28"/>
          <w:szCs w:val="28"/>
        </w:rPr>
        <w:t>«Развитие образования в городе-курорте Железноводске Ставропольского края»;</w:t>
      </w:r>
    </w:p>
    <w:p>
      <w:pPr>
        <w:pStyle w:val="Style30"/>
        <w:tabs>
          <w:tab w:val="left" w:pos="567" w:leader="none"/>
        </w:tabs>
        <w:spacing w:lineRule="auto" w:line="240" w:before="0" w:after="0"/>
        <w:ind w:left="0" w:firstLine="709"/>
        <w:jc w:val="both"/>
        <w:rPr>
          <w:rFonts w:ascii="Times New Roman" w:hAnsi="Times New Roman" w:cs="Times New Roman"/>
          <w:sz w:val="28"/>
          <w:szCs w:val="28"/>
        </w:rPr>
      </w:pPr>
      <w:r>
        <w:rPr>
          <w:rFonts w:cs="Times New Roman" w:ascii="Times New Roman" w:hAnsi="Times New Roman"/>
          <w:sz w:val="28"/>
          <w:szCs w:val="28"/>
        </w:rPr>
        <w:t>«Социальная поддержка населения города-курорта Железноводска Ставропольского края»;</w:t>
      </w:r>
    </w:p>
    <w:p>
      <w:pPr>
        <w:pStyle w:val="Style30"/>
        <w:tabs>
          <w:tab w:val="left" w:pos="567" w:leader="none"/>
        </w:tabs>
        <w:spacing w:lineRule="auto" w:line="240" w:before="0" w:after="0"/>
        <w:ind w:left="0" w:firstLine="709"/>
        <w:jc w:val="both"/>
        <w:rPr>
          <w:rFonts w:ascii="Times New Roman" w:hAnsi="Times New Roman" w:cs="Times New Roman"/>
          <w:sz w:val="28"/>
          <w:szCs w:val="28"/>
        </w:rPr>
      </w:pPr>
      <w:r>
        <w:rPr>
          <w:rFonts w:cs="Times New Roman" w:ascii="Times New Roman" w:hAnsi="Times New Roman"/>
          <w:sz w:val="28"/>
          <w:szCs w:val="28"/>
        </w:rPr>
        <w:t>«Управление имуществом города-курорта Железноводска Ставропольского края»;</w:t>
      </w:r>
    </w:p>
    <w:p>
      <w:pPr>
        <w:pStyle w:val="Style30"/>
        <w:tabs>
          <w:tab w:val="left" w:pos="567" w:leader="none"/>
        </w:tabs>
        <w:spacing w:lineRule="auto" w:line="240" w:before="0" w:after="0"/>
        <w:ind w:left="0" w:firstLine="709"/>
        <w:jc w:val="both"/>
        <w:rPr>
          <w:rFonts w:ascii="Times New Roman" w:hAnsi="Times New Roman" w:cs="Times New Roman"/>
          <w:sz w:val="28"/>
          <w:szCs w:val="28"/>
        </w:rPr>
      </w:pPr>
      <w:r>
        <w:rPr>
          <w:rFonts w:cs="Times New Roman" w:ascii="Times New Roman" w:hAnsi="Times New Roman"/>
          <w:sz w:val="28"/>
          <w:szCs w:val="28"/>
        </w:rPr>
        <w:t>«Культура города-курорта Железноводска Ставропольского края»;</w:t>
      </w:r>
    </w:p>
    <w:p>
      <w:pPr>
        <w:pStyle w:val="Style30"/>
        <w:tabs>
          <w:tab w:val="left" w:pos="567" w:leader="none"/>
        </w:tabs>
        <w:spacing w:lineRule="auto" w:line="240" w:before="0" w:after="0"/>
        <w:ind w:left="0" w:firstLine="709"/>
        <w:jc w:val="both"/>
        <w:rPr>
          <w:rFonts w:ascii="Times New Roman" w:hAnsi="Times New Roman" w:cs="Times New Roman"/>
          <w:sz w:val="28"/>
          <w:szCs w:val="28"/>
        </w:rPr>
      </w:pPr>
      <w:r>
        <w:rPr>
          <w:rFonts w:cs="Times New Roman" w:ascii="Times New Roman" w:hAnsi="Times New Roman"/>
          <w:sz w:val="28"/>
          <w:szCs w:val="28"/>
        </w:rPr>
        <w:t>«Развитие физической культуры и спорта в городе-курорте Железноводске Ставропольского края»</w:t>
      </w:r>
    </w:p>
    <w:p>
      <w:pPr>
        <w:pStyle w:val="Style30"/>
        <w:tabs>
          <w:tab w:val="left" w:pos="567" w:leader="none"/>
        </w:tabs>
        <w:spacing w:lineRule="auto" w:line="240" w:before="0" w:after="0"/>
        <w:ind w:left="0" w:firstLine="709"/>
        <w:jc w:val="both"/>
        <w:rPr>
          <w:rFonts w:ascii="Times New Roman" w:hAnsi="Times New Roman" w:cs="Times New Roman"/>
          <w:sz w:val="28"/>
          <w:szCs w:val="28"/>
        </w:rPr>
      </w:pPr>
      <w:r>
        <w:rPr>
          <w:rFonts w:cs="Times New Roman" w:ascii="Times New Roman" w:hAnsi="Times New Roman"/>
          <w:sz w:val="28"/>
          <w:szCs w:val="28"/>
        </w:rPr>
        <w:t>«Молодежь города-курорта Железноводска Ставропольского края»;</w:t>
      </w:r>
    </w:p>
    <w:p>
      <w:pPr>
        <w:pStyle w:val="Style30"/>
        <w:tabs>
          <w:tab w:val="left" w:pos="567" w:leader="none"/>
        </w:tabs>
        <w:spacing w:lineRule="auto" w:line="240" w:before="0" w:after="0"/>
        <w:ind w:left="0" w:firstLine="709"/>
        <w:jc w:val="both"/>
        <w:rPr>
          <w:rFonts w:ascii="Times New Roman" w:hAnsi="Times New Roman" w:cs="Times New Roman"/>
          <w:sz w:val="28"/>
          <w:szCs w:val="28"/>
        </w:rPr>
      </w:pPr>
      <w:r>
        <w:rPr>
          <w:rFonts w:cs="Times New Roman" w:ascii="Times New Roman" w:hAnsi="Times New Roman"/>
          <w:sz w:val="28"/>
          <w:szCs w:val="28"/>
        </w:rPr>
        <w:t>«Развитие экономики города-курорта Железноводска Ставропольского края»;</w:t>
      </w:r>
    </w:p>
    <w:p>
      <w:pPr>
        <w:pStyle w:val="Style30"/>
        <w:tabs>
          <w:tab w:val="left" w:pos="567" w:leader="none"/>
        </w:tabs>
        <w:spacing w:lineRule="auto" w:line="240" w:before="0" w:after="0"/>
        <w:ind w:left="0" w:firstLine="709"/>
        <w:jc w:val="both"/>
        <w:rPr>
          <w:rFonts w:ascii="Times New Roman" w:hAnsi="Times New Roman" w:cs="Times New Roman"/>
          <w:sz w:val="28"/>
          <w:szCs w:val="28"/>
        </w:rPr>
      </w:pPr>
      <w:r>
        <w:rPr>
          <w:rFonts w:cs="Times New Roman" w:ascii="Times New Roman" w:hAnsi="Times New Roman"/>
          <w:sz w:val="28"/>
          <w:szCs w:val="28"/>
        </w:rPr>
        <w:t>«Развитие жилищно-коммунального хозяйства в городе-курорте Железноводске Ставропольского края»;</w:t>
      </w:r>
    </w:p>
    <w:p>
      <w:pPr>
        <w:pStyle w:val="Style30"/>
        <w:tabs>
          <w:tab w:val="left" w:pos="567" w:leader="none"/>
        </w:tabs>
        <w:spacing w:lineRule="auto" w:line="240" w:before="0" w:after="0"/>
        <w:ind w:left="0" w:firstLine="709"/>
        <w:jc w:val="both"/>
        <w:rPr>
          <w:rFonts w:ascii="Times New Roman" w:hAnsi="Times New Roman" w:cs="Times New Roman"/>
          <w:sz w:val="28"/>
          <w:szCs w:val="28"/>
        </w:rPr>
      </w:pPr>
      <w:r>
        <w:rPr>
          <w:rFonts w:cs="Times New Roman" w:ascii="Times New Roman" w:hAnsi="Times New Roman"/>
          <w:sz w:val="28"/>
          <w:szCs w:val="28"/>
        </w:rPr>
        <w:t>«Развитие градостроительства и архитектуры в городе-курорте Железноводске Ставропольского края»;</w:t>
      </w:r>
    </w:p>
    <w:p>
      <w:pPr>
        <w:pStyle w:val="Style30"/>
        <w:tabs>
          <w:tab w:val="left" w:pos="567" w:leader="none"/>
        </w:tabs>
        <w:spacing w:lineRule="auto" w:line="240" w:before="0" w:after="0"/>
        <w:ind w:left="0" w:firstLine="709"/>
        <w:jc w:val="both"/>
        <w:rPr>
          <w:rFonts w:ascii="Times New Roman" w:hAnsi="Times New Roman" w:cs="Times New Roman"/>
          <w:sz w:val="28"/>
          <w:szCs w:val="28"/>
        </w:rPr>
      </w:pPr>
      <w:r>
        <w:rPr>
          <w:rFonts w:cs="Times New Roman" w:ascii="Times New Roman" w:hAnsi="Times New Roman"/>
          <w:sz w:val="28"/>
          <w:szCs w:val="28"/>
        </w:rPr>
        <w:t>«Создание условий безопасной жизни населения города-курорта Железноводска Ставропольского края»;</w:t>
      </w:r>
    </w:p>
    <w:p>
      <w:pPr>
        <w:pStyle w:val="Style30"/>
        <w:tabs>
          <w:tab w:val="left" w:pos="567" w:leader="none"/>
        </w:tabs>
        <w:spacing w:lineRule="auto" w:line="240" w:before="0" w:after="0"/>
        <w:ind w:left="0" w:firstLine="709"/>
        <w:jc w:val="both"/>
        <w:rPr>
          <w:rFonts w:ascii="Times New Roman" w:hAnsi="Times New Roman" w:cs="Times New Roman"/>
          <w:sz w:val="28"/>
          <w:szCs w:val="28"/>
        </w:rPr>
      </w:pPr>
      <w:r>
        <w:rPr>
          <w:rFonts w:cs="Times New Roman" w:ascii="Times New Roman" w:hAnsi="Times New Roman"/>
          <w:sz w:val="28"/>
          <w:szCs w:val="28"/>
        </w:rPr>
        <w:t>«Развитие транспортной системы и охрана окружающей среды в городе-курорте Железноводске Ставропольского края»;</w:t>
      </w:r>
    </w:p>
    <w:p>
      <w:pPr>
        <w:pStyle w:val="Style30"/>
        <w:tabs>
          <w:tab w:val="left" w:pos="567" w:leader="none"/>
        </w:tabs>
        <w:spacing w:lineRule="auto" w:line="240" w:before="0" w:after="0"/>
        <w:ind w:left="0" w:firstLine="709"/>
        <w:jc w:val="both"/>
        <w:rPr>
          <w:rFonts w:ascii="Times New Roman" w:hAnsi="Times New Roman" w:cs="Times New Roman"/>
          <w:sz w:val="28"/>
          <w:szCs w:val="28"/>
        </w:rPr>
      </w:pPr>
      <w:r>
        <w:rPr>
          <w:rFonts w:cs="Times New Roman" w:ascii="Times New Roman" w:hAnsi="Times New Roman"/>
          <w:sz w:val="28"/>
          <w:szCs w:val="28"/>
        </w:rPr>
        <w:t>«Открытость и эффективность работы администрации города-курорта Железноводска Ставропольского края»;</w:t>
      </w:r>
    </w:p>
    <w:p>
      <w:pPr>
        <w:pStyle w:val="Style30"/>
        <w:tabs>
          <w:tab w:val="left" w:pos="567" w:leader="none"/>
        </w:tabs>
        <w:spacing w:lineRule="auto" w:line="240" w:before="0" w:after="0"/>
        <w:ind w:left="0" w:firstLine="709"/>
        <w:jc w:val="both"/>
        <w:rPr>
          <w:rFonts w:ascii="Times New Roman" w:hAnsi="Times New Roman" w:cs="Times New Roman"/>
          <w:sz w:val="28"/>
          <w:szCs w:val="28"/>
        </w:rPr>
      </w:pPr>
      <w:r>
        <w:rPr>
          <w:rFonts w:cs="Times New Roman" w:ascii="Times New Roman" w:hAnsi="Times New Roman"/>
          <w:sz w:val="28"/>
          <w:szCs w:val="28"/>
        </w:rPr>
        <w:t>«Формирование современной городской среды».</w:t>
      </w:r>
    </w:p>
    <w:p>
      <w:pPr>
        <w:pStyle w:val="Normal"/>
        <w:tabs>
          <w:tab w:val="left" w:pos="1080"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left" w:pos="1080"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Источниками финансирования инвестиционных проектов будут являться бюджетные средства и внебюджетные источники финансирования: собственные средства и заимствования на финансовых рынках, в том числе частного капитала.  </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Перспективными инвестиционными проектами, реализация которых предполагает частные инвестиции:</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1. «Создание туристско-рекреационного комплекса Эко-курорта «Машук Аква-Терм». Проект включает осуществление реконструкции санаторно-курортного комплекса «Машук Аква-Терм» путем полной реконструкции корпусов А и Б, строительство поля для мини-футбола, поэтажную реконструкцию медицинского корпуса (создание Эко-курорта «Машук Аква-Терм») на 62 новых койко-мест;</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2. Строительство санатория на 120 мест. Площадка строительства расположена в центральной части города, рядом с курортным парком. </w:t>
      </w:r>
      <w:r>
        <w:rPr>
          <w:rFonts w:cs="Times New Roman" w:ascii="Times New Roman" w:hAnsi="Times New Roman"/>
          <w:bCs/>
          <w:sz w:val="28"/>
          <w:szCs w:val="28"/>
        </w:rPr>
        <w:t>Проектом предусматривается создание новых форм и направлений туристического продукта с более высоким современным уровнем сервисного обслуживания.</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Перспективные инвестиционные проекты социальной направленности, реализация которых предполагает финансирование из бюджетов различных уровней:</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1. Строительство общеобразовательной школы на 500 мест в жилом микрорайоне Капельница.</w:t>
      </w:r>
    </w:p>
    <w:p>
      <w:pPr>
        <w:pStyle w:val="Normal"/>
        <w:tabs>
          <w:tab w:val="left" w:pos="142"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2. Строительство детского сада-ясли на 150 мест в жилом микрорайоне Капельница. </w:t>
      </w:r>
    </w:p>
    <w:p>
      <w:pPr>
        <w:pStyle w:val="Normal"/>
        <w:tabs>
          <w:tab w:val="left" w:pos="0"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3. Газоснабжение хутора Р. Люксембург (4 км).</w:t>
      </w:r>
    </w:p>
    <w:p>
      <w:pPr>
        <w:pStyle w:val="Normal"/>
        <w:tabs>
          <w:tab w:val="left" w:pos="0"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4. Строительство инженерных сетей для многодетных семей в поселке Иноземцево и в жилом районе Капельница.</w:t>
      </w:r>
    </w:p>
    <w:p>
      <w:pPr>
        <w:pStyle w:val="Normal"/>
        <w:tabs>
          <w:tab w:val="left" w:pos="0"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В городе-курорте Железноводске перспективными инвестиционными площадками, которые предназначены для размещения объектов санаторно-курортной и туристско-рекреационной направленности, являются: </w:t>
      </w:r>
    </w:p>
    <w:p>
      <w:pPr>
        <w:pStyle w:val="ListParagraph"/>
        <w:numPr>
          <w:ilvl w:val="0"/>
          <w:numId w:val="9"/>
        </w:numPr>
        <w:tabs>
          <w:tab w:val="left" w:pos="0" w:leader="none"/>
        </w:tabs>
        <w:spacing w:lineRule="auto" w:line="240" w:before="0" w:after="0"/>
        <w:ind w:left="1134" w:hanging="360"/>
        <w:contextualSpacing/>
        <w:jc w:val="both"/>
        <w:rPr>
          <w:rFonts w:ascii="Times New Roman" w:hAnsi="Times New Roman" w:cs="Times New Roman"/>
          <w:sz w:val="28"/>
          <w:szCs w:val="28"/>
        </w:rPr>
      </w:pPr>
      <w:r>
        <w:rPr>
          <w:rFonts w:cs="Times New Roman" w:ascii="Times New Roman" w:hAnsi="Times New Roman"/>
          <w:sz w:val="28"/>
          <w:szCs w:val="28"/>
        </w:rPr>
        <w:t>инвестиционная площадка в северо-западной части города-курорта Железноводска (район горы Развалка) (площадь земельного участка 133,8 га);</w:t>
      </w:r>
    </w:p>
    <w:p>
      <w:pPr>
        <w:pStyle w:val="ListParagraph"/>
        <w:numPr>
          <w:ilvl w:val="0"/>
          <w:numId w:val="9"/>
        </w:numPr>
        <w:tabs>
          <w:tab w:val="left" w:pos="0" w:leader="none"/>
        </w:tabs>
        <w:spacing w:lineRule="auto" w:line="240" w:before="0" w:after="0"/>
        <w:ind w:left="1134" w:hanging="360"/>
        <w:contextualSpacing/>
        <w:jc w:val="both"/>
        <w:rPr>
          <w:rFonts w:ascii="Times New Roman" w:hAnsi="Times New Roman" w:cs="Times New Roman"/>
          <w:sz w:val="28"/>
          <w:szCs w:val="28"/>
        </w:rPr>
      </w:pPr>
      <w:r>
        <w:rPr>
          <w:rFonts w:cs="Times New Roman" w:ascii="Times New Roman" w:hAnsi="Times New Roman"/>
          <w:sz w:val="28"/>
          <w:szCs w:val="28"/>
        </w:rPr>
        <w:t>пять инвестиционных площадок площадью от 0,5 до 5 га, сформированных в рамках проекта «Нижняя каскадная лестница»;</w:t>
      </w:r>
    </w:p>
    <w:p>
      <w:pPr>
        <w:pStyle w:val="ListParagraph"/>
        <w:numPr>
          <w:ilvl w:val="0"/>
          <w:numId w:val="9"/>
        </w:numPr>
        <w:tabs>
          <w:tab w:val="left" w:pos="0" w:leader="none"/>
        </w:tabs>
        <w:spacing w:lineRule="auto" w:line="240" w:before="0" w:after="0"/>
        <w:ind w:left="1134" w:hanging="360"/>
        <w:contextualSpacing/>
        <w:jc w:val="both"/>
        <w:rPr>
          <w:rFonts w:ascii="Times New Roman" w:hAnsi="Times New Roman" w:cs="Times New Roman"/>
          <w:sz w:val="28"/>
          <w:szCs w:val="28"/>
        </w:rPr>
      </w:pPr>
      <w:r>
        <w:rPr>
          <w:rFonts w:cs="Times New Roman" w:ascii="Times New Roman" w:hAnsi="Times New Roman"/>
          <w:sz w:val="28"/>
          <w:szCs w:val="28"/>
        </w:rPr>
        <w:t>инвестиционная площадка, расположенная в курортной части города (ул. Семашко)</w:t>
      </w:r>
    </w:p>
    <w:p>
      <w:pPr>
        <w:pStyle w:val="ListParagraph"/>
        <w:numPr>
          <w:ilvl w:val="0"/>
          <w:numId w:val="9"/>
        </w:numPr>
        <w:tabs>
          <w:tab w:val="left" w:pos="0" w:leader="none"/>
        </w:tabs>
        <w:spacing w:lineRule="auto" w:line="240" w:before="0" w:after="0"/>
        <w:ind w:left="1134" w:hanging="360"/>
        <w:contextualSpacing/>
        <w:jc w:val="both"/>
        <w:rPr>
          <w:rFonts w:ascii="Times New Roman" w:hAnsi="Times New Roman" w:cs="Times New Roman"/>
          <w:sz w:val="28"/>
          <w:szCs w:val="28"/>
        </w:rPr>
      </w:pPr>
      <w:r>
        <w:rPr>
          <w:rFonts w:cs="Times New Roman" w:ascii="Times New Roman" w:hAnsi="Times New Roman"/>
          <w:sz w:val="28"/>
          <w:szCs w:val="28"/>
        </w:rPr>
        <w:t>инвестиционная площадка, расположенная в центральной части города (ул. Ленина,33)</w:t>
      </w:r>
    </w:p>
    <w:p>
      <w:pPr>
        <w:pStyle w:val="Normal"/>
        <w:tabs>
          <w:tab w:val="left" w:pos="0"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Для эффективной реализации стратегических инвестиционных проектов предполагается активное сотрудничество администрации города-курорта Железноводска Ставропольского края с органами исполнительной власти Ставропольского края, хозяйствующими субъектами и межмуниципальное сотрудничество с городами-курортами Кавказских Минеральных Вод.  </w:t>
      </w:r>
    </w:p>
    <w:p>
      <w:pPr>
        <w:pStyle w:val="32"/>
        <w:jc w:val="both"/>
        <w:rPr>
          <w:lang w:eastAsia="zh-CN"/>
        </w:rPr>
      </w:pPr>
      <w:r>
        <w:rPr>
          <w:lang w:eastAsia="zh-CN"/>
        </w:rPr>
      </w:r>
    </w:p>
    <w:p>
      <w:pPr>
        <w:pStyle w:val="Normal"/>
        <w:tabs>
          <w:tab w:val="left" w:pos="9360" w:leader="none"/>
        </w:tabs>
        <w:suppressAutoHyphens w:val="true"/>
        <w:spacing w:lineRule="exact" w:line="240" w:before="0" w:after="0"/>
        <w:ind w:left="6663" w:right="0" w:hanging="0"/>
        <w:rPr>
          <w:rFonts w:ascii="Times New Roman" w:hAnsi="Times New Roman" w:cs="Times New Roman"/>
          <w:sz w:val="26"/>
          <w:szCs w:val="26"/>
        </w:rPr>
      </w:pPr>
      <w:r>
        <w:rPr>
          <w:rFonts w:cs="Times New Roman" w:ascii="Times New Roman" w:hAnsi="Times New Roman"/>
          <w:sz w:val="26"/>
          <w:szCs w:val="26"/>
        </w:rPr>
      </w:r>
    </w:p>
    <w:p>
      <w:pPr>
        <w:pStyle w:val="Normal"/>
        <w:tabs>
          <w:tab w:val="left" w:pos="9360" w:leader="none"/>
        </w:tabs>
        <w:suppressAutoHyphens w:val="true"/>
        <w:spacing w:lineRule="exact" w:line="240" w:before="0" w:after="0"/>
        <w:ind w:left="6663" w:right="0" w:hanging="0"/>
        <w:rPr>
          <w:rFonts w:ascii="Times New Roman" w:hAnsi="Times New Roman" w:cs="Times New Roman"/>
          <w:sz w:val="26"/>
          <w:szCs w:val="26"/>
        </w:rPr>
      </w:pPr>
      <w:r>
        <w:rPr>
          <w:rFonts w:cs="Times New Roman" w:ascii="Times New Roman" w:hAnsi="Times New Roman"/>
          <w:sz w:val="26"/>
          <w:szCs w:val="26"/>
        </w:rPr>
      </w:r>
    </w:p>
    <w:p>
      <w:pPr>
        <w:pStyle w:val="Normal"/>
        <w:tabs>
          <w:tab w:val="left" w:pos="9360" w:leader="none"/>
        </w:tabs>
        <w:suppressAutoHyphens w:val="true"/>
        <w:spacing w:lineRule="exact" w:line="240" w:before="0" w:after="0"/>
        <w:ind w:left="6663" w:right="0" w:hanging="0"/>
        <w:rPr>
          <w:rFonts w:ascii="Times New Roman" w:hAnsi="Times New Roman" w:cs="Times New Roman"/>
          <w:sz w:val="26"/>
          <w:szCs w:val="26"/>
        </w:rPr>
      </w:pPr>
      <w:r>
        <w:rPr>
          <w:rFonts w:cs="Times New Roman" w:ascii="Times New Roman" w:hAnsi="Times New Roman"/>
          <w:sz w:val="26"/>
          <w:szCs w:val="26"/>
        </w:rPr>
      </w:r>
    </w:p>
    <w:p>
      <w:pPr>
        <w:pStyle w:val="Normal"/>
        <w:tabs>
          <w:tab w:val="left" w:pos="9360" w:leader="none"/>
        </w:tabs>
        <w:suppressAutoHyphens w:val="true"/>
        <w:spacing w:lineRule="exact" w:line="240" w:before="0" w:after="0"/>
        <w:ind w:left="6663" w:right="0" w:hanging="0"/>
        <w:rPr>
          <w:rFonts w:ascii="Times New Roman" w:hAnsi="Times New Roman" w:cs="Times New Roman"/>
          <w:sz w:val="26"/>
          <w:szCs w:val="26"/>
        </w:rPr>
      </w:pPr>
      <w:r>
        <w:rPr>
          <w:rFonts w:cs="Times New Roman" w:ascii="Times New Roman" w:hAnsi="Times New Roman"/>
          <w:sz w:val="26"/>
          <w:szCs w:val="26"/>
        </w:rPr>
      </w:r>
    </w:p>
    <w:p>
      <w:pPr>
        <w:pStyle w:val="Normal"/>
        <w:tabs>
          <w:tab w:val="left" w:pos="9360" w:leader="none"/>
        </w:tabs>
        <w:suppressAutoHyphens w:val="true"/>
        <w:spacing w:lineRule="exact" w:line="240" w:before="0" w:after="0"/>
        <w:ind w:left="6663" w:right="0" w:hanging="0"/>
        <w:rPr>
          <w:rFonts w:ascii="Times New Roman" w:hAnsi="Times New Roman" w:cs="Times New Roman"/>
          <w:sz w:val="26"/>
          <w:szCs w:val="26"/>
        </w:rPr>
      </w:pPr>
      <w:r>
        <w:rPr>
          <w:rFonts w:cs="Times New Roman" w:ascii="Times New Roman" w:hAnsi="Times New Roman"/>
          <w:sz w:val="26"/>
          <w:szCs w:val="26"/>
        </w:rPr>
      </w:r>
    </w:p>
    <w:p>
      <w:pPr>
        <w:pStyle w:val="Normal"/>
        <w:tabs>
          <w:tab w:val="left" w:pos="9360" w:leader="none"/>
        </w:tabs>
        <w:suppressAutoHyphens w:val="true"/>
        <w:spacing w:lineRule="exact" w:line="240" w:before="0" w:after="0"/>
        <w:ind w:left="6663" w:right="0" w:hanging="0"/>
        <w:rPr>
          <w:rFonts w:ascii="Times New Roman" w:hAnsi="Times New Roman" w:cs="Times New Roman"/>
          <w:sz w:val="26"/>
          <w:szCs w:val="26"/>
        </w:rPr>
      </w:pPr>
      <w:r>
        <w:rPr>
          <w:rFonts w:cs="Times New Roman" w:ascii="Times New Roman" w:hAnsi="Times New Roman"/>
          <w:sz w:val="26"/>
          <w:szCs w:val="26"/>
        </w:rPr>
      </w:r>
    </w:p>
    <w:p>
      <w:pPr>
        <w:pStyle w:val="Normal"/>
        <w:tabs>
          <w:tab w:val="left" w:pos="9360" w:leader="none"/>
        </w:tabs>
        <w:suppressAutoHyphens w:val="true"/>
        <w:spacing w:lineRule="exact" w:line="240" w:before="0" w:after="0"/>
        <w:ind w:left="6663" w:right="0" w:hanging="0"/>
        <w:rPr>
          <w:rFonts w:ascii="Times New Roman" w:hAnsi="Times New Roman" w:cs="Times New Roman"/>
          <w:sz w:val="26"/>
          <w:szCs w:val="26"/>
        </w:rPr>
      </w:pPr>
      <w:r>
        <w:rPr>
          <w:rFonts w:cs="Times New Roman" w:ascii="Times New Roman" w:hAnsi="Times New Roman"/>
          <w:sz w:val="26"/>
          <w:szCs w:val="26"/>
        </w:rPr>
      </w:r>
    </w:p>
    <w:p>
      <w:pPr>
        <w:pStyle w:val="Normal"/>
        <w:tabs>
          <w:tab w:val="left" w:pos="9360" w:leader="none"/>
        </w:tabs>
        <w:suppressAutoHyphens w:val="true"/>
        <w:spacing w:lineRule="exact" w:line="240" w:before="0" w:after="0"/>
        <w:ind w:left="6663" w:right="0" w:hanging="0"/>
        <w:rPr>
          <w:rFonts w:ascii="Times New Roman" w:hAnsi="Times New Roman" w:cs="Times New Roman"/>
          <w:sz w:val="26"/>
          <w:szCs w:val="26"/>
        </w:rPr>
      </w:pPr>
      <w:r>
        <w:rPr>
          <w:rFonts w:cs="Times New Roman" w:ascii="Times New Roman" w:hAnsi="Times New Roman"/>
          <w:sz w:val="26"/>
          <w:szCs w:val="26"/>
        </w:rPr>
      </w:r>
    </w:p>
    <w:p>
      <w:pPr>
        <w:pStyle w:val="Normal"/>
        <w:tabs>
          <w:tab w:val="left" w:pos="9360" w:leader="none"/>
        </w:tabs>
        <w:suppressAutoHyphens w:val="true"/>
        <w:spacing w:lineRule="exact" w:line="240" w:before="0" w:after="0"/>
        <w:ind w:left="6663" w:right="0" w:hanging="0"/>
        <w:rPr>
          <w:rFonts w:ascii="Times New Roman" w:hAnsi="Times New Roman" w:cs="Times New Roman"/>
          <w:sz w:val="26"/>
          <w:szCs w:val="26"/>
        </w:rPr>
      </w:pPr>
      <w:r>
        <w:rPr>
          <w:rFonts w:cs="Times New Roman" w:ascii="Times New Roman" w:hAnsi="Times New Roman"/>
          <w:sz w:val="26"/>
          <w:szCs w:val="26"/>
        </w:rPr>
      </w:r>
    </w:p>
    <w:p>
      <w:pPr>
        <w:pStyle w:val="Normal"/>
        <w:tabs>
          <w:tab w:val="left" w:pos="9360" w:leader="none"/>
        </w:tabs>
        <w:suppressAutoHyphens w:val="true"/>
        <w:spacing w:lineRule="exact" w:line="240" w:before="0" w:after="0"/>
        <w:ind w:left="6663" w:right="0" w:hanging="0"/>
        <w:rPr>
          <w:rFonts w:ascii="Times New Roman" w:hAnsi="Times New Roman" w:cs="Times New Roman"/>
          <w:sz w:val="26"/>
          <w:szCs w:val="26"/>
        </w:rPr>
      </w:pPr>
      <w:r>
        <w:rPr>
          <w:rFonts w:cs="Times New Roman" w:ascii="Times New Roman" w:hAnsi="Times New Roman"/>
          <w:sz w:val="26"/>
          <w:szCs w:val="26"/>
        </w:rPr>
      </w:r>
    </w:p>
    <w:p>
      <w:pPr>
        <w:pStyle w:val="Normal"/>
        <w:tabs>
          <w:tab w:val="left" w:pos="9360" w:leader="none"/>
        </w:tabs>
        <w:suppressAutoHyphens w:val="true"/>
        <w:spacing w:lineRule="exact" w:line="240" w:before="0" w:after="0"/>
        <w:ind w:left="6663" w:right="0" w:hanging="0"/>
        <w:rPr>
          <w:rFonts w:ascii="Times New Roman" w:hAnsi="Times New Roman" w:cs="Times New Roman"/>
          <w:sz w:val="26"/>
          <w:szCs w:val="26"/>
        </w:rPr>
      </w:pPr>
      <w:r>
        <w:rPr>
          <w:rFonts w:cs="Times New Roman" w:ascii="Times New Roman" w:hAnsi="Times New Roman"/>
          <w:sz w:val="26"/>
          <w:szCs w:val="26"/>
        </w:rPr>
      </w:r>
    </w:p>
    <w:p>
      <w:pPr>
        <w:pStyle w:val="Normal"/>
        <w:tabs>
          <w:tab w:val="left" w:pos="9360" w:leader="none"/>
        </w:tabs>
        <w:suppressAutoHyphens w:val="true"/>
        <w:spacing w:lineRule="exact" w:line="240" w:before="0" w:after="0"/>
        <w:ind w:left="6663" w:right="0" w:hanging="0"/>
        <w:rPr>
          <w:rFonts w:ascii="Times New Roman" w:hAnsi="Times New Roman" w:cs="Times New Roman"/>
          <w:sz w:val="26"/>
          <w:szCs w:val="26"/>
        </w:rPr>
      </w:pPr>
      <w:r>
        <w:rPr>
          <w:rFonts w:cs="Times New Roman" w:ascii="Times New Roman" w:hAnsi="Times New Roman"/>
          <w:sz w:val="26"/>
          <w:szCs w:val="26"/>
        </w:rPr>
        <w:t>ПРИЛОЖЕНИЕ 1</w:t>
      </w:r>
    </w:p>
    <w:p>
      <w:pPr>
        <w:pStyle w:val="Normal"/>
        <w:spacing w:lineRule="exact" w:line="240" w:before="0" w:after="0"/>
        <w:ind w:left="6663" w:right="0" w:hanging="0"/>
        <w:rPr>
          <w:rFonts w:ascii="Times New Roman" w:hAnsi="Times New Roman" w:cs="Times New Roman"/>
          <w:sz w:val="26"/>
          <w:szCs w:val="26"/>
        </w:rPr>
      </w:pPr>
      <w:r>
        <w:rPr>
          <w:rFonts w:cs="Times New Roman" w:ascii="Times New Roman" w:hAnsi="Times New Roman"/>
          <w:sz w:val="26"/>
          <w:szCs w:val="26"/>
        </w:rPr>
      </w:r>
    </w:p>
    <w:p>
      <w:pPr>
        <w:pStyle w:val="Normal"/>
        <w:suppressAutoHyphens w:val="true"/>
        <w:spacing w:lineRule="exact" w:line="220" w:before="0" w:after="0"/>
        <w:ind w:left="6662" w:right="57" w:hanging="0"/>
        <w:jc w:val="both"/>
        <w:rPr>
          <w:rFonts w:ascii="Times New Roman" w:hAnsi="Times New Roman" w:cs="Times New Roman"/>
          <w:sz w:val="26"/>
          <w:szCs w:val="26"/>
        </w:rPr>
      </w:pPr>
      <w:r>
        <w:rPr>
          <w:rFonts w:cs="Times New Roman" w:ascii="Times New Roman" w:hAnsi="Times New Roman"/>
          <w:sz w:val="26"/>
          <w:szCs w:val="26"/>
        </w:rPr>
        <w:t>к Стратегии социально-экономического развития города-курорта Железноводска Ставропольского края на период до 2035 года</w:t>
      </w:r>
    </w:p>
    <w:p>
      <w:pPr>
        <w:pStyle w:val="Normal"/>
        <w:spacing w:lineRule="exact" w:line="240"/>
        <w:ind w:right="0" w:hanging="0"/>
        <w:rPr>
          <w:rFonts w:ascii="Times New Roman" w:hAnsi="Times New Roman" w:cs="Times New Roman"/>
          <w:sz w:val="26"/>
          <w:szCs w:val="26"/>
        </w:rPr>
      </w:pPr>
      <w:r>
        <w:rPr>
          <w:rFonts w:cs="Times New Roman" w:ascii="Times New Roman" w:hAnsi="Times New Roman"/>
          <w:sz w:val="26"/>
          <w:szCs w:val="26"/>
        </w:rPr>
      </w:r>
    </w:p>
    <w:p>
      <w:pPr>
        <w:pStyle w:val="Normal"/>
        <w:spacing w:lineRule="auto" w:line="240" w:before="0" w:after="0"/>
        <w:ind w:right="0" w:hanging="0"/>
        <w:jc w:val="center"/>
        <w:rPr>
          <w:rFonts w:ascii="Times New Roman" w:hAnsi="Times New Roman" w:cs="Times New Roman"/>
          <w:sz w:val="26"/>
          <w:szCs w:val="26"/>
        </w:rPr>
      </w:pPr>
      <w:r>
        <w:rPr>
          <w:rFonts w:cs="Times New Roman" w:ascii="Times New Roman" w:hAnsi="Times New Roman"/>
          <w:sz w:val="26"/>
          <w:szCs w:val="26"/>
        </w:rPr>
        <w:t>ПЕРЕЧЕНЬ</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6"/>
          <w:szCs w:val="26"/>
        </w:rPr>
        <w:t>муниципальных программ города-курорта Железноводска Ставропольского края</w:t>
      </w:r>
    </w:p>
    <w:p>
      <w:pPr>
        <w:pStyle w:val="Normal"/>
        <w:spacing w:lineRule="exact" w:line="240"/>
        <w:jc w:val="center"/>
        <w:rPr>
          <w:rFonts w:ascii="Times New Roman" w:hAnsi="Times New Roman" w:cs="Times New Roman"/>
          <w:sz w:val="24"/>
          <w:szCs w:val="24"/>
        </w:rPr>
      </w:pPr>
      <w:r>
        <w:rPr>
          <w:rFonts w:cs="Times New Roman" w:ascii="Times New Roman" w:hAnsi="Times New Roman"/>
          <w:sz w:val="24"/>
          <w:szCs w:val="24"/>
        </w:rPr>
      </w:r>
    </w:p>
    <w:tbl>
      <w:tblPr>
        <w:tblW w:w="9659" w:type="dxa"/>
        <w:jc w:val="left"/>
        <w:tblInd w:w="-25" w:type="dxa"/>
        <w:tblBorders>
          <w:top w:val="single" w:sz="4" w:space="0" w:color="000001"/>
          <w:left w:val="single" w:sz="4" w:space="0" w:color="000001"/>
          <w:bottom w:val="single" w:sz="4" w:space="0" w:color="000001"/>
          <w:insideH w:val="single" w:sz="4" w:space="0" w:color="000001"/>
        </w:tblBorders>
        <w:tblCellMar>
          <w:top w:w="0" w:type="dxa"/>
          <w:left w:w="103" w:type="dxa"/>
          <w:bottom w:w="0" w:type="dxa"/>
          <w:right w:w="108" w:type="dxa"/>
        </w:tblCellMar>
        <w:tblLook w:noVBand="0" w:val="0000" w:noHBand="0" w:lastColumn="0" w:firstColumn="0" w:lastRow="0" w:firstRow="0"/>
      </w:tblPr>
      <w:tblGrid>
        <w:gridCol w:w="587"/>
        <w:gridCol w:w="4678"/>
        <w:gridCol w:w="2552"/>
        <w:gridCol w:w="1841"/>
      </w:tblGrid>
      <w:tr>
        <w:trPr/>
        <w:tc>
          <w:tcPr>
            <w:tcW w:w="587"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exact" w:line="240" w:before="0" w:after="0"/>
              <w:jc w:val="center"/>
              <w:rPr>
                <w:rFonts w:ascii="Times New Roman" w:hAnsi="Times New Roman" w:cs="Times New Roman"/>
                <w:sz w:val="24"/>
                <w:szCs w:val="24"/>
              </w:rPr>
            </w:pPr>
            <w:r>
              <w:rPr>
                <w:rFonts w:cs="Times New Roman" w:ascii="Times New Roman" w:hAnsi="Times New Roman"/>
                <w:sz w:val="24"/>
                <w:szCs w:val="24"/>
              </w:rPr>
              <w:t>№</w:t>
            </w:r>
          </w:p>
          <w:p>
            <w:pPr>
              <w:pStyle w:val="Normal"/>
              <w:spacing w:lineRule="exact" w:line="240" w:before="0" w:after="0"/>
              <w:jc w:val="center"/>
              <w:rPr>
                <w:rFonts w:ascii="Times New Roman" w:hAnsi="Times New Roman" w:cs="Times New Roman"/>
                <w:sz w:val="24"/>
                <w:szCs w:val="24"/>
              </w:rPr>
            </w:pPr>
            <w:r>
              <w:rPr>
                <w:rFonts w:cs="Times New Roman" w:ascii="Times New Roman" w:hAnsi="Times New Roman"/>
                <w:sz w:val="24"/>
                <w:szCs w:val="24"/>
              </w:rPr>
              <w:t>п/п</w:t>
            </w:r>
          </w:p>
        </w:tc>
        <w:tc>
          <w:tcPr>
            <w:tcW w:w="4678"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 xml:space="preserve">Наименование муниципальной программы </w:t>
            </w:r>
          </w:p>
          <w:p>
            <w:pPr>
              <w:pStyle w:val="Normal"/>
              <w:spacing w:lineRule="exact" w:line="240" w:before="0" w:after="0"/>
              <w:jc w:val="center"/>
              <w:rPr>
                <w:rFonts w:ascii="Times New Roman" w:hAnsi="Times New Roman" w:cs="Times New Roman"/>
                <w:sz w:val="24"/>
                <w:szCs w:val="24"/>
              </w:rPr>
            </w:pPr>
            <w:r>
              <w:rPr>
                <w:rFonts w:cs="Times New Roman" w:ascii="Times New Roman" w:hAnsi="Times New Roman"/>
                <w:sz w:val="24"/>
                <w:szCs w:val="24"/>
              </w:rPr>
              <w:t>города-курорта Железноводска Ставропольского края</w:t>
            </w:r>
          </w:p>
        </w:tc>
        <w:tc>
          <w:tcPr>
            <w:tcW w:w="25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 xml:space="preserve">Сроки реализации муниципальной программы </w:t>
            </w:r>
          </w:p>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города-курорта Железноводска Ставропольского края</w:t>
            </w:r>
          </w:p>
          <w:p>
            <w:pPr>
              <w:pStyle w:val="Normal"/>
              <w:spacing w:lineRule="exact" w:line="240" w:before="0" w:after="0"/>
              <w:jc w:val="center"/>
              <w:rPr>
                <w:rFonts w:ascii="Times New Roman" w:hAnsi="Times New Roman" w:cs="Times New Roman"/>
              </w:rPr>
            </w:pPr>
            <w:r>
              <w:rPr>
                <w:rFonts w:cs="Times New Roman" w:ascii="Times New Roman" w:hAnsi="Times New Roman"/>
                <w:sz w:val="24"/>
                <w:szCs w:val="24"/>
              </w:rPr>
              <w:t>(годы)</w:t>
            </w:r>
          </w:p>
        </w:tc>
        <w:tc>
          <w:tcPr>
            <w:tcW w:w="18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Объем финансового обеспечения муниципальной программы (тыс. руб.)</w:t>
            </w:r>
          </w:p>
        </w:tc>
      </w:tr>
      <w:tr>
        <w:trPr/>
        <w:tc>
          <w:tcPr>
            <w:tcW w:w="587"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exact" w:line="240"/>
              <w:jc w:val="center"/>
              <w:rPr>
                <w:rFonts w:ascii="Times New Roman" w:hAnsi="Times New Roman" w:cs="Times New Roman"/>
                <w:sz w:val="24"/>
                <w:szCs w:val="24"/>
              </w:rPr>
            </w:pPr>
            <w:r>
              <w:rPr>
                <w:rFonts w:cs="Times New Roman" w:ascii="Times New Roman" w:hAnsi="Times New Roman"/>
                <w:sz w:val="24"/>
                <w:szCs w:val="24"/>
              </w:rPr>
              <w:t>1.</w:t>
            </w:r>
          </w:p>
        </w:tc>
        <w:tc>
          <w:tcPr>
            <w:tcW w:w="4678"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exact" w:line="300" w:before="0" w:after="0"/>
              <w:contextualSpacing/>
              <w:jc w:val="both"/>
              <w:rPr>
                <w:rFonts w:ascii="Times New Roman" w:hAnsi="Times New Roman" w:cs="Times New Roman"/>
                <w:sz w:val="24"/>
                <w:szCs w:val="24"/>
              </w:rPr>
            </w:pPr>
            <w:r>
              <w:rPr>
                <w:rFonts w:cs="Times New Roman" w:ascii="Times New Roman" w:hAnsi="Times New Roman"/>
                <w:sz w:val="24"/>
                <w:szCs w:val="24"/>
              </w:rPr>
              <w:t>Муниципальная программа города-курорта Железноводска Ставропольского края</w:t>
            </w:r>
          </w:p>
          <w:p>
            <w:pPr>
              <w:pStyle w:val="Normal"/>
              <w:spacing w:lineRule="exact" w:line="300" w:before="0" w:after="0"/>
              <w:contextualSpacing/>
              <w:jc w:val="both"/>
              <w:rPr>
                <w:rFonts w:ascii="Times New Roman" w:hAnsi="Times New Roman" w:cs="Times New Roman"/>
                <w:sz w:val="24"/>
                <w:szCs w:val="24"/>
              </w:rPr>
            </w:pPr>
            <w:r>
              <w:rPr>
                <w:rFonts w:cs="Times New Roman" w:ascii="Times New Roman" w:hAnsi="Times New Roman"/>
                <w:sz w:val="24"/>
                <w:szCs w:val="24"/>
              </w:rPr>
              <w:t>«Развитие экономики города-курорта Железноводска Ставропольского края»</w:t>
            </w:r>
          </w:p>
        </w:tc>
        <w:tc>
          <w:tcPr>
            <w:tcW w:w="25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Normal"/>
              <w:spacing w:lineRule="exact" w:line="240"/>
              <w:jc w:val="center"/>
              <w:rPr>
                <w:rFonts w:ascii="Times New Roman" w:hAnsi="Times New Roman" w:cs="Times New Roman"/>
              </w:rPr>
            </w:pPr>
            <w:r>
              <w:rPr>
                <w:rFonts w:cs="Times New Roman" w:ascii="Times New Roman" w:hAnsi="Times New Roman"/>
                <w:sz w:val="24"/>
                <w:szCs w:val="24"/>
              </w:rPr>
              <w:t>2018–2021</w:t>
            </w:r>
          </w:p>
        </w:tc>
        <w:tc>
          <w:tcPr>
            <w:tcW w:w="18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exact" w:line="300" w:before="0" w:after="0"/>
              <w:contextualSpacing/>
              <w:jc w:val="center"/>
              <w:rPr>
                <w:rFonts w:ascii="Times New Roman" w:hAnsi="Times New Roman" w:cs="Times New Roman"/>
                <w:sz w:val="24"/>
                <w:szCs w:val="24"/>
              </w:rPr>
            </w:pPr>
            <w:r>
              <w:rPr>
                <w:rFonts w:cs="Times New Roman" w:ascii="Times New Roman" w:hAnsi="Times New Roman"/>
                <w:sz w:val="24"/>
                <w:szCs w:val="24"/>
              </w:rPr>
              <w:t>344 239,44</w:t>
            </w:r>
          </w:p>
        </w:tc>
      </w:tr>
      <w:tr>
        <w:trPr/>
        <w:tc>
          <w:tcPr>
            <w:tcW w:w="587"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exact" w:line="240"/>
              <w:jc w:val="center"/>
              <w:rPr>
                <w:rFonts w:ascii="Times New Roman" w:hAnsi="Times New Roman" w:cs="Times New Roman"/>
                <w:sz w:val="24"/>
                <w:szCs w:val="24"/>
              </w:rPr>
            </w:pPr>
            <w:r>
              <w:rPr>
                <w:rFonts w:cs="Times New Roman" w:ascii="Times New Roman" w:hAnsi="Times New Roman"/>
                <w:sz w:val="24"/>
                <w:szCs w:val="24"/>
              </w:rPr>
              <w:t>2.</w:t>
            </w:r>
          </w:p>
        </w:tc>
        <w:tc>
          <w:tcPr>
            <w:tcW w:w="4678"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exact" w:line="300" w:before="0" w:after="0"/>
              <w:contextualSpacing/>
              <w:jc w:val="both"/>
              <w:rPr>
                <w:rFonts w:ascii="Times New Roman" w:hAnsi="Times New Roman" w:cs="Times New Roman"/>
                <w:sz w:val="24"/>
                <w:szCs w:val="24"/>
              </w:rPr>
            </w:pPr>
            <w:r>
              <w:rPr>
                <w:rFonts w:cs="Times New Roman" w:ascii="Times New Roman" w:hAnsi="Times New Roman"/>
                <w:sz w:val="24"/>
                <w:szCs w:val="24"/>
              </w:rPr>
              <w:t>Муниципальная программа города-курорта Железноводска Ставропольского края                                                                                          «Управление имуществом города-курорта  Железноводска Ставропольского края»</w:t>
            </w:r>
          </w:p>
        </w:tc>
        <w:tc>
          <w:tcPr>
            <w:tcW w:w="25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Normal"/>
              <w:jc w:val="center"/>
              <w:rPr/>
            </w:pPr>
            <w:r>
              <w:rPr>
                <w:rFonts w:cs="Times New Roman" w:ascii="Times New Roman" w:hAnsi="Times New Roman"/>
                <w:sz w:val="24"/>
                <w:szCs w:val="24"/>
              </w:rPr>
              <w:t>2018–2021</w:t>
            </w:r>
          </w:p>
        </w:tc>
        <w:tc>
          <w:tcPr>
            <w:tcW w:w="18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exact" w:line="300" w:before="0" w:after="0"/>
              <w:contextualSpacing/>
              <w:jc w:val="center"/>
              <w:rPr>
                <w:rFonts w:ascii="Times New Roman" w:hAnsi="Times New Roman" w:cs="Times New Roman"/>
                <w:sz w:val="24"/>
                <w:szCs w:val="24"/>
              </w:rPr>
            </w:pPr>
            <w:r>
              <w:rPr>
                <w:rFonts w:cs="Times New Roman" w:ascii="Times New Roman" w:hAnsi="Times New Roman"/>
                <w:sz w:val="24"/>
                <w:szCs w:val="24"/>
              </w:rPr>
              <w:t>34 840,95</w:t>
            </w:r>
          </w:p>
        </w:tc>
      </w:tr>
      <w:tr>
        <w:trPr/>
        <w:tc>
          <w:tcPr>
            <w:tcW w:w="587"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exact" w:line="240"/>
              <w:jc w:val="center"/>
              <w:rPr>
                <w:rFonts w:ascii="Times New Roman" w:hAnsi="Times New Roman" w:eastAsia="Times New Roman" w:cs="Times New Roman"/>
                <w:sz w:val="24"/>
                <w:szCs w:val="24"/>
              </w:rPr>
            </w:pPr>
            <w:r>
              <w:rPr>
                <w:rFonts w:cs="Times New Roman" w:ascii="Times New Roman" w:hAnsi="Times New Roman"/>
                <w:sz w:val="24"/>
                <w:szCs w:val="24"/>
              </w:rPr>
              <w:t>3.</w:t>
            </w:r>
          </w:p>
        </w:tc>
        <w:tc>
          <w:tcPr>
            <w:tcW w:w="4678"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exact" w:line="300" w:before="0" w:after="0"/>
              <w:contextualSpacing/>
              <w:jc w:val="both"/>
              <w:rPr>
                <w:rFonts w:ascii="Times New Roman" w:hAnsi="Times New Roman" w:cs="Times New Roman"/>
                <w:sz w:val="24"/>
                <w:szCs w:val="24"/>
              </w:rPr>
            </w:pPr>
            <w:r>
              <w:rPr>
                <w:rFonts w:eastAsia="Times New Roman" w:cs="Times New Roman" w:ascii="Times New Roman" w:hAnsi="Times New Roman"/>
                <w:sz w:val="24"/>
                <w:szCs w:val="24"/>
              </w:rPr>
              <w:t>Муниципальная программа</w:t>
            </w:r>
            <w:r>
              <w:rPr>
                <w:rFonts w:eastAsia="Times New Roman" w:cs="Times New Roman" w:ascii="Times New Roman" w:hAnsi="Times New Roman"/>
                <w:bCs/>
                <w:sz w:val="24"/>
                <w:szCs w:val="24"/>
              </w:rPr>
              <w:t xml:space="preserve"> </w:t>
            </w:r>
            <w:r>
              <w:rPr>
                <w:rFonts w:eastAsia="Times New Roman" w:cs="Times New Roman" w:ascii="Times New Roman" w:hAnsi="Times New Roman"/>
                <w:sz w:val="24"/>
                <w:szCs w:val="24"/>
              </w:rPr>
              <w:t xml:space="preserve">города-курорта Железноводска Ставропольского края </w:t>
            </w:r>
            <w:r>
              <w:rPr>
                <w:rFonts w:eastAsia="Times New Roman" w:cs="Times New Roman" w:ascii="Times New Roman" w:hAnsi="Times New Roman"/>
                <w:b/>
                <w:bCs/>
                <w:sz w:val="24"/>
                <w:szCs w:val="24"/>
              </w:rPr>
              <w:t>«</w:t>
            </w:r>
            <w:r>
              <w:rPr>
                <w:rFonts w:eastAsia="Times New Roman" w:cs="Times New Roman" w:ascii="Times New Roman" w:hAnsi="Times New Roman"/>
                <w:bCs/>
                <w:sz w:val="24"/>
                <w:szCs w:val="24"/>
              </w:rPr>
              <w:t>Молодежь города-курорта Железноводска Ставропольского края»</w:t>
            </w:r>
          </w:p>
        </w:tc>
        <w:tc>
          <w:tcPr>
            <w:tcW w:w="25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Normal"/>
              <w:jc w:val="center"/>
              <w:rPr/>
            </w:pPr>
            <w:r>
              <w:rPr>
                <w:rFonts w:cs="Times New Roman" w:ascii="Times New Roman" w:hAnsi="Times New Roman"/>
                <w:sz w:val="24"/>
                <w:szCs w:val="24"/>
              </w:rPr>
              <w:t>2018–2021</w:t>
            </w:r>
          </w:p>
        </w:tc>
        <w:tc>
          <w:tcPr>
            <w:tcW w:w="18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exact" w:line="300" w:before="0" w:after="0"/>
              <w:contextualSpacing/>
              <w:jc w:val="center"/>
              <w:rPr>
                <w:rFonts w:ascii="Times New Roman" w:hAnsi="Times New Roman" w:cs="Times New Roman"/>
                <w:sz w:val="24"/>
                <w:szCs w:val="24"/>
              </w:rPr>
            </w:pPr>
            <w:r>
              <w:rPr>
                <w:rFonts w:cs="Times New Roman" w:ascii="Times New Roman" w:hAnsi="Times New Roman"/>
                <w:sz w:val="24"/>
                <w:szCs w:val="24"/>
              </w:rPr>
              <w:t>3 345,12</w:t>
            </w:r>
          </w:p>
        </w:tc>
      </w:tr>
      <w:tr>
        <w:trPr/>
        <w:tc>
          <w:tcPr>
            <w:tcW w:w="587"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exact" w:line="240"/>
              <w:jc w:val="center"/>
              <w:rPr>
                <w:rFonts w:ascii="Times New Roman" w:hAnsi="Times New Roman" w:cs="Times New Roman"/>
                <w:sz w:val="24"/>
                <w:szCs w:val="24"/>
              </w:rPr>
            </w:pPr>
            <w:r>
              <w:rPr>
                <w:rFonts w:cs="Times New Roman" w:ascii="Times New Roman" w:hAnsi="Times New Roman"/>
                <w:sz w:val="24"/>
                <w:szCs w:val="24"/>
              </w:rPr>
              <w:t>4.</w:t>
            </w:r>
          </w:p>
        </w:tc>
        <w:tc>
          <w:tcPr>
            <w:tcW w:w="4678"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exact" w:line="300" w:before="0" w:after="0"/>
              <w:contextualSpacing/>
              <w:jc w:val="both"/>
              <w:rPr>
                <w:rFonts w:ascii="Times New Roman" w:hAnsi="Times New Roman" w:cs="Times New Roman"/>
                <w:sz w:val="24"/>
                <w:szCs w:val="24"/>
              </w:rPr>
            </w:pPr>
            <w:r>
              <w:rPr>
                <w:rFonts w:cs="Times New Roman" w:ascii="Times New Roman" w:hAnsi="Times New Roman"/>
                <w:sz w:val="24"/>
                <w:szCs w:val="24"/>
              </w:rPr>
              <w:t>Муниципальная программа города-курорта Железноводска Ставропольского края  «Социальная поддержка населения города-курорта Железноводска Ставропольского края»</w:t>
            </w:r>
          </w:p>
        </w:tc>
        <w:tc>
          <w:tcPr>
            <w:tcW w:w="25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Normal"/>
              <w:jc w:val="center"/>
              <w:rPr/>
            </w:pPr>
            <w:r>
              <w:rPr>
                <w:rFonts w:cs="Times New Roman" w:ascii="Times New Roman" w:hAnsi="Times New Roman"/>
                <w:sz w:val="24"/>
                <w:szCs w:val="24"/>
              </w:rPr>
              <w:t>2018–2021</w:t>
            </w:r>
          </w:p>
        </w:tc>
        <w:tc>
          <w:tcPr>
            <w:tcW w:w="18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exact" w:line="300" w:before="0" w:after="0"/>
              <w:contextualSpacing/>
              <w:jc w:val="center"/>
              <w:rPr>
                <w:rFonts w:ascii="Times New Roman" w:hAnsi="Times New Roman" w:cs="Times New Roman"/>
                <w:sz w:val="24"/>
                <w:szCs w:val="24"/>
              </w:rPr>
            </w:pPr>
            <w:r>
              <w:rPr>
                <w:rFonts w:cs="Times New Roman" w:ascii="Times New Roman" w:hAnsi="Times New Roman"/>
                <w:sz w:val="24"/>
                <w:szCs w:val="24"/>
              </w:rPr>
              <w:t>1 028 239,23</w:t>
            </w:r>
          </w:p>
        </w:tc>
      </w:tr>
      <w:tr>
        <w:trPr/>
        <w:tc>
          <w:tcPr>
            <w:tcW w:w="587"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exact" w:line="240"/>
              <w:jc w:val="center"/>
              <w:rPr>
                <w:rFonts w:ascii="Times New Roman" w:hAnsi="Times New Roman" w:cs="Times New Roman"/>
                <w:sz w:val="24"/>
                <w:szCs w:val="24"/>
              </w:rPr>
            </w:pPr>
            <w:r>
              <w:rPr>
                <w:rFonts w:cs="Times New Roman" w:ascii="Times New Roman" w:hAnsi="Times New Roman"/>
                <w:sz w:val="24"/>
                <w:szCs w:val="24"/>
              </w:rPr>
              <w:t>5.</w:t>
            </w:r>
          </w:p>
        </w:tc>
        <w:tc>
          <w:tcPr>
            <w:tcW w:w="4678"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exact" w:line="300" w:before="0" w:after="0"/>
              <w:contextualSpacing/>
              <w:jc w:val="both"/>
              <w:rPr>
                <w:rFonts w:ascii="Times New Roman" w:hAnsi="Times New Roman" w:cs="Times New Roman"/>
                <w:sz w:val="24"/>
                <w:szCs w:val="24"/>
              </w:rPr>
            </w:pPr>
            <w:r>
              <w:rPr>
                <w:rFonts w:cs="Times New Roman" w:ascii="Times New Roman" w:hAnsi="Times New Roman"/>
                <w:sz w:val="24"/>
                <w:szCs w:val="24"/>
              </w:rPr>
              <w:t>Муниципальная программа города-курорта Железноводска Ставропольского края «Развитие жилищно-коммунального хозяйства в городе-курорте Железноводске Ставропольского края»</w:t>
            </w:r>
          </w:p>
        </w:tc>
        <w:tc>
          <w:tcPr>
            <w:tcW w:w="25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Normal"/>
              <w:jc w:val="center"/>
              <w:rPr/>
            </w:pPr>
            <w:r>
              <w:rPr>
                <w:rFonts w:cs="Times New Roman" w:ascii="Times New Roman" w:hAnsi="Times New Roman"/>
                <w:sz w:val="24"/>
                <w:szCs w:val="24"/>
              </w:rPr>
              <w:t>2018–2021</w:t>
            </w:r>
          </w:p>
        </w:tc>
        <w:tc>
          <w:tcPr>
            <w:tcW w:w="18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exact" w:line="300" w:before="0" w:after="0"/>
              <w:contextualSpacing/>
              <w:jc w:val="center"/>
              <w:rPr>
                <w:rFonts w:ascii="Times New Roman" w:hAnsi="Times New Roman" w:cs="Times New Roman"/>
                <w:sz w:val="24"/>
                <w:szCs w:val="24"/>
              </w:rPr>
            </w:pPr>
            <w:r>
              <w:rPr>
                <w:rFonts w:cs="Times New Roman" w:ascii="Times New Roman" w:hAnsi="Times New Roman"/>
                <w:sz w:val="24"/>
                <w:szCs w:val="24"/>
              </w:rPr>
              <w:t>288 702,37</w:t>
            </w:r>
          </w:p>
        </w:tc>
      </w:tr>
      <w:tr>
        <w:trPr/>
        <w:tc>
          <w:tcPr>
            <w:tcW w:w="587"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exact" w:line="240"/>
              <w:jc w:val="center"/>
              <w:rPr>
                <w:rFonts w:ascii="Times New Roman" w:hAnsi="Times New Roman" w:cs="Times New Roman"/>
                <w:sz w:val="24"/>
                <w:szCs w:val="24"/>
              </w:rPr>
            </w:pPr>
            <w:r>
              <w:rPr>
                <w:rFonts w:cs="Times New Roman" w:ascii="Times New Roman" w:hAnsi="Times New Roman"/>
                <w:sz w:val="24"/>
                <w:szCs w:val="24"/>
              </w:rPr>
              <w:t>6.</w:t>
            </w:r>
          </w:p>
        </w:tc>
        <w:tc>
          <w:tcPr>
            <w:tcW w:w="4678"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exact" w:line="300" w:before="0" w:after="0"/>
              <w:contextualSpacing/>
              <w:jc w:val="both"/>
              <w:rPr>
                <w:rFonts w:ascii="Times New Roman" w:hAnsi="Times New Roman" w:cs="Times New Roman"/>
                <w:sz w:val="24"/>
                <w:szCs w:val="24"/>
              </w:rPr>
            </w:pPr>
            <w:r>
              <w:rPr>
                <w:rFonts w:cs="Times New Roman" w:ascii="Times New Roman" w:hAnsi="Times New Roman"/>
                <w:sz w:val="24"/>
                <w:szCs w:val="24"/>
              </w:rPr>
              <w:t>Муниципальная программа города-курорта Железноводска Ставропольского края «Развитие транспортной системы и охрана окружающей среды в городе-курорте Железноводске Ставропольского края»</w:t>
            </w:r>
          </w:p>
        </w:tc>
        <w:tc>
          <w:tcPr>
            <w:tcW w:w="25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Normal"/>
              <w:jc w:val="center"/>
              <w:rPr/>
            </w:pPr>
            <w:r>
              <w:rPr>
                <w:rFonts w:cs="Times New Roman" w:ascii="Times New Roman" w:hAnsi="Times New Roman"/>
                <w:sz w:val="24"/>
                <w:szCs w:val="24"/>
              </w:rPr>
              <w:t>2018–2021</w:t>
            </w:r>
          </w:p>
        </w:tc>
        <w:tc>
          <w:tcPr>
            <w:tcW w:w="18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exact" w:line="300" w:before="0" w:after="0"/>
              <w:contextualSpacing/>
              <w:jc w:val="center"/>
              <w:rPr>
                <w:rFonts w:ascii="Times New Roman" w:hAnsi="Times New Roman" w:cs="Times New Roman"/>
                <w:sz w:val="24"/>
                <w:szCs w:val="24"/>
              </w:rPr>
            </w:pPr>
            <w:r>
              <w:rPr>
                <w:rFonts w:cs="Times New Roman" w:ascii="Times New Roman" w:hAnsi="Times New Roman"/>
                <w:sz w:val="24"/>
                <w:szCs w:val="24"/>
              </w:rPr>
              <w:t>161 874,33</w:t>
            </w:r>
          </w:p>
        </w:tc>
      </w:tr>
      <w:tr>
        <w:trPr/>
        <w:tc>
          <w:tcPr>
            <w:tcW w:w="587"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exact" w:line="240"/>
              <w:jc w:val="center"/>
              <w:rPr>
                <w:rFonts w:ascii="Times New Roman" w:hAnsi="Times New Roman" w:cs="Times New Roman"/>
                <w:sz w:val="24"/>
                <w:szCs w:val="24"/>
              </w:rPr>
            </w:pPr>
            <w:r>
              <w:rPr>
                <w:rFonts w:cs="Times New Roman" w:ascii="Times New Roman" w:hAnsi="Times New Roman"/>
                <w:sz w:val="24"/>
                <w:szCs w:val="24"/>
              </w:rPr>
              <w:t>7.</w:t>
            </w:r>
          </w:p>
        </w:tc>
        <w:tc>
          <w:tcPr>
            <w:tcW w:w="4678"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exact" w:line="300" w:before="0" w:after="0"/>
              <w:contextualSpacing/>
              <w:jc w:val="both"/>
              <w:rPr>
                <w:rFonts w:ascii="Times New Roman" w:hAnsi="Times New Roman" w:cs="Times New Roman"/>
                <w:sz w:val="24"/>
                <w:szCs w:val="24"/>
              </w:rPr>
            </w:pPr>
            <w:r>
              <w:rPr>
                <w:rFonts w:cs="Times New Roman" w:ascii="Times New Roman" w:hAnsi="Times New Roman"/>
                <w:sz w:val="24"/>
                <w:szCs w:val="24"/>
              </w:rPr>
              <w:t>Муниципальная программа города-курорта Железноводска Ставропольского края «Культура города-курорта Железноводска Ставропольского края»</w:t>
            </w:r>
          </w:p>
          <w:p>
            <w:pPr>
              <w:pStyle w:val="Normal"/>
              <w:spacing w:lineRule="exact" w:line="300" w:before="0" w:after="0"/>
              <w:contextualSpacing/>
              <w:jc w:val="both"/>
              <w:rPr>
                <w:rFonts w:ascii="Times New Roman" w:hAnsi="Times New Roman" w:cs="Times New Roman"/>
                <w:sz w:val="24"/>
                <w:szCs w:val="24"/>
              </w:rPr>
            </w:pPr>
            <w:r>
              <w:rPr>
                <w:rFonts w:cs="Times New Roman" w:ascii="Times New Roman" w:hAnsi="Times New Roman"/>
                <w:sz w:val="24"/>
                <w:szCs w:val="24"/>
              </w:rPr>
            </w:r>
          </w:p>
        </w:tc>
        <w:tc>
          <w:tcPr>
            <w:tcW w:w="25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Normal"/>
              <w:jc w:val="center"/>
              <w:rPr/>
            </w:pPr>
            <w:r>
              <w:rPr>
                <w:rFonts w:cs="Times New Roman" w:ascii="Times New Roman" w:hAnsi="Times New Roman"/>
                <w:sz w:val="24"/>
                <w:szCs w:val="24"/>
              </w:rPr>
              <w:t>2018–2021</w:t>
            </w:r>
          </w:p>
        </w:tc>
        <w:tc>
          <w:tcPr>
            <w:tcW w:w="18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exact" w:line="300" w:before="0" w:after="0"/>
              <w:contextualSpacing/>
              <w:jc w:val="center"/>
              <w:rPr>
                <w:rFonts w:ascii="Times New Roman" w:hAnsi="Times New Roman" w:cs="Times New Roman"/>
                <w:sz w:val="24"/>
                <w:szCs w:val="24"/>
              </w:rPr>
            </w:pPr>
            <w:r>
              <w:rPr>
                <w:rFonts w:cs="Times New Roman" w:ascii="Times New Roman" w:hAnsi="Times New Roman"/>
                <w:sz w:val="24"/>
                <w:szCs w:val="24"/>
              </w:rPr>
              <w:t>504 732,81</w:t>
            </w:r>
          </w:p>
        </w:tc>
      </w:tr>
      <w:tr>
        <w:trPr/>
        <w:tc>
          <w:tcPr>
            <w:tcW w:w="587"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exact" w:line="240"/>
              <w:jc w:val="center"/>
              <w:rPr>
                <w:rFonts w:ascii="Times New Roman" w:hAnsi="Times New Roman" w:cs="Times New Roman"/>
                <w:sz w:val="24"/>
                <w:szCs w:val="24"/>
              </w:rPr>
            </w:pPr>
            <w:r>
              <w:rPr>
                <w:rFonts w:cs="Times New Roman" w:ascii="Times New Roman" w:hAnsi="Times New Roman"/>
                <w:sz w:val="24"/>
                <w:szCs w:val="24"/>
              </w:rPr>
              <w:t>8.</w:t>
            </w:r>
          </w:p>
        </w:tc>
        <w:tc>
          <w:tcPr>
            <w:tcW w:w="4678"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exact" w:line="300" w:before="0" w:after="0"/>
              <w:contextualSpacing/>
              <w:jc w:val="both"/>
              <w:rPr>
                <w:rFonts w:ascii="Times New Roman" w:hAnsi="Times New Roman" w:cs="Times New Roman"/>
                <w:sz w:val="24"/>
                <w:szCs w:val="24"/>
              </w:rPr>
            </w:pPr>
            <w:r>
              <w:rPr>
                <w:rFonts w:cs="Times New Roman" w:ascii="Times New Roman" w:hAnsi="Times New Roman"/>
                <w:sz w:val="24"/>
                <w:szCs w:val="24"/>
              </w:rPr>
              <w:t>Муниципальная программа города-курорта Железноводска Ставропольского края «Создание условий безопасной жизни населения города-курорта Железноводска Ставропольского края</w:t>
            </w:r>
          </w:p>
        </w:tc>
        <w:tc>
          <w:tcPr>
            <w:tcW w:w="25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Normal"/>
              <w:jc w:val="center"/>
              <w:rPr/>
            </w:pPr>
            <w:r>
              <w:rPr>
                <w:rFonts w:cs="Times New Roman" w:ascii="Times New Roman" w:hAnsi="Times New Roman"/>
                <w:sz w:val="24"/>
                <w:szCs w:val="24"/>
              </w:rPr>
              <w:t>2018–2021</w:t>
            </w:r>
          </w:p>
        </w:tc>
        <w:tc>
          <w:tcPr>
            <w:tcW w:w="18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exact" w:line="300" w:before="0" w:after="0"/>
              <w:contextualSpacing/>
              <w:jc w:val="center"/>
              <w:rPr>
                <w:rFonts w:ascii="Times New Roman" w:hAnsi="Times New Roman" w:cs="Times New Roman"/>
                <w:sz w:val="24"/>
                <w:szCs w:val="24"/>
              </w:rPr>
            </w:pPr>
            <w:r>
              <w:rPr>
                <w:rFonts w:cs="Times New Roman" w:ascii="Times New Roman" w:hAnsi="Times New Roman"/>
                <w:sz w:val="24"/>
                <w:szCs w:val="24"/>
              </w:rPr>
              <w:t>30 260,51</w:t>
            </w:r>
          </w:p>
        </w:tc>
      </w:tr>
      <w:tr>
        <w:trPr/>
        <w:tc>
          <w:tcPr>
            <w:tcW w:w="587"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exact" w:line="240"/>
              <w:jc w:val="center"/>
              <w:rPr>
                <w:rFonts w:ascii="Times New Roman" w:hAnsi="Times New Roman" w:cs="Times New Roman"/>
                <w:sz w:val="24"/>
                <w:szCs w:val="24"/>
              </w:rPr>
            </w:pPr>
            <w:r>
              <w:rPr>
                <w:rFonts w:cs="Times New Roman" w:ascii="Times New Roman" w:hAnsi="Times New Roman"/>
                <w:sz w:val="24"/>
                <w:szCs w:val="24"/>
              </w:rPr>
              <w:t>9.</w:t>
            </w:r>
          </w:p>
        </w:tc>
        <w:tc>
          <w:tcPr>
            <w:tcW w:w="4678"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exact" w:line="300" w:before="0" w:after="0"/>
              <w:contextualSpacing/>
              <w:jc w:val="both"/>
              <w:rPr>
                <w:rFonts w:ascii="Times New Roman" w:hAnsi="Times New Roman" w:cs="Times New Roman"/>
                <w:sz w:val="24"/>
                <w:szCs w:val="24"/>
              </w:rPr>
            </w:pPr>
            <w:r>
              <w:rPr>
                <w:rFonts w:cs="Times New Roman" w:ascii="Times New Roman" w:hAnsi="Times New Roman"/>
                <w:sz w:val="24"/>
                <w:szCs w:val="24"/>
              </w:rPr>
              <w:t>Муниципальная программа города-курорта Железноводска Ставропольского края</w:t>
            </w:r>
          </w:p>
          <w:p>
            <w:pPr>
              <w:pStyle w:val="Normal"/>
              <w:spacing w:lineRule="exact" w:line="300" w:before="0" w:after="0"/>
              <w:contextualSpacing/>
              <w:jc w:val="both"/>
              <w:rPr>
                <w:rFonts w:ascii="Times New Roman" w:hAnsi="Times New Roman" w:cs="Times New Roman"/>
                <w:sz w:val="24"/>
                <w:szCs w:val="24"/>
              </w:rPr>
            </w:pPr>
            <w:r>
              <w:rPr>
                <w:rFonts w:cs="Times New Roman" w:ascii="Times New Roman" w:hAnsi="Times New Roman"/>
                <w:sz w:val="24"/>
                <w:szCs w:val="24"/>
              </w:rPr>
              <w:t>«Развитие градостроительства, строительства и архитектуры в городе-курорте Железноводске Ставропольского края»</w:t>
            </w:r>
          </w:p>
        </w:tc>
        <w:tc>
          <w:tcPr>
            <w:tcW w:w="25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Normal"/>
              <w:jc w:val="center"/>
              <w:rPr/>
            </w:pPr>
            <w:r>
              <w:rPr>
                <w:rFonts w:cs="Times New Roman" w:ascii="Times New Roman" w:hAnsi="Times New Roman"/>
                <w:sz w:val="24"/>
                <w:szCs w:val="24"/>
              </w:rPr>
              <w:t>2018–2021</w:t>
            </w:r>
          </w:p>
        </w:tc>
        <w:tc>
          <w:tcPr>
            <w:tcW w:w="18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exact" w:line="300" w:before="0" w:after="0"/>
              <w:contextualSpacing/>
              <w:jc w:val="center"/>
              <w:rPr>
                <w:rFonts w:ascii="Times New Roman" w:hAnsi="Times New Roman" w:cs="Times New Roman"/>
                <w:sz w:val="24"/>
                <w:szCs w:val="24"/>
              </w:rPr>
            </w:pPr>
            <w:r>
              <w:rPr>
                <w:rFonts w:cs="Times New Roman" w:ascii="Times New Roman" w:hAnsi="Times New Roman"/>
                <w:sz w:val="24"/>
                <w:szCs w:val="24"/>
              </w:rPr>
              <w:t xml:space="preserve">45 507,60 </w:t>
            </w:r>
          </w:p>
        </w:tc>
      </w:tr>
      <w:tr>
        <w:trPr/>
        <w:tc>
          <w:tcPr>
            <w:tcW w:w="587"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exact" w:line="240"/>
              <w:jc w:val="center"/>
              <w:rPr>
                <w:rFonts w:ascii="Times New Roman" w:hAnsi="Times New Roman" w:cs="Times New Roman"/>
                <w:sz w:val="24"/>
                <w:szCs w:val="24"/>
              </w:rPr>
            </w:pPr>
            <w:r>
              <w:rPr>
                <w:rFonts w:cs="Times New Roman" w:ascii="Times New Roman" w:hAnsi="Times New Roman"/>
                <w:sz w:val="24"/>
                <w:szCs w:val="24"/>
              </w:rPr>
              <w:t>10.</w:t>
            </w:r>
          </w:p>
        </w:tc>
        <w:tc>
          <w:tcPr>
            <w:tcW w:w="4678"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exact" w:line="300" w:before="0" w:after="0"/>
              <w:contextualSpacing/>
              <w:jc w:val="both"/>
              <w:rPr>
                <w:rFonts w:ascii="Times New Roman" w:hAnsi="Times New Roman" w:cs="Times New Roman"/>
                <w:sz w:val="24"/>
                <w:szCs w:val="24"/>
              </w:rPr>
            </w:pPr>
            <w:r>
              <w:rPr>
                <w:rFonts w:cs="Times New Roman" w:ascii="Times New Roman" w:hAnsi="Times New Roman"/>
                <w:sz w:val="24"/>
                <w:szCs w:val="24"/>
              </w:rPr>
              <w:t>Муниципальная программа города-курорта Железноводска Ставропольского края «Развитие физической культуры и спорта в городе-курорте Железноводске Ставропольского края»</w:t>
            </w:r>
          </w:p>
        </w:tc>
        <w:tc>
          <w:tcPr>
            <w:tcW w:w="25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Normal"/>
              <w:jc w:val="center"/>
              <w:rPr/>
            </w:pPr>
            <w:r>
              <w:rPr>
                <w:rFonts w:cs="Times New Roman" w:ascii="Times New Roman" w:hAnsi="Times New Roman"/>
                <w:sz w:val="24"/>
                <w:szCs w:val="24"/>
              </w:rPr>
              <w:t>2018–2021</w:t>
            </w:r>
          </w:p>
        </w:tc>
        <w:tc>
          <w:tcPr>
            <w:tcW w:w="18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exact" w:line="300" w:before="0" w:after="0"/>
              <w:contextualSpacing/>
              <w:jc w:val="center"/>
              <w:rPr>
                <w:rFonts w:ascii="Times New Roman" w:hAnsi="Times New Roman" w:cs="Times New Roman"/>
                <w:sz w:val="24"/>
                <w:szCs w:val="24"/>
              </w:rPr>
            </w:pPr>
            <w:r>
              <w:rPr>
                <w:rFonts w:cs="Times New Roman" w:ascii="Times New Roman" w:hAnsi="Times New Roman"/>
                <w:sz w:val="24"/>
                <w:szCs w:val="24"/>
              </w:rPr>
              <w:t>92 665,09</w:t>
            </w:r>
          </w:p>
        </w:tc>
      </w:tr>
      <w:tr>
        <w:trPr/>
        <w:tc>
          <w:tcPr>
            <w:tcW w:w="587"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exact" w:line="240"/>
              <w:jc w:val="center"/>
              <w:rPr>
                <w:rFonts w:ascii="Times New Roman" w:hAnsi="Times New Roman" w:cs="Times New Roman"/>
                <w:sz w:val="24"/>
                <w:szCs w:val="24"/>
              </w:rPr>
            </w:pPr>
            <w:r>
              <w:rPr>
                <w:rFonts w:cs="Times New Roman" w:ascii="Times New Roman" w:hAnsi="Times New Roman"/>
                <w:sz w:val="24"/>
                <w:szCs w:val="24"/>
              </w:rPr>
              <w:t>11.</w:t>
            </w:r>
          </w:p>
        </w:tc>
        <w:tc>
          <w:tcPr>
            <w:tcW w:w="4678"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exact" w:line="300" w:before="0" w:after="0"/>
              <w:contextualSpacing/>
              <w:jc w:val="both"/>
              <w:rPr>
                <w:rFonts w:ascii="Times New Roman" w:hAnsi="Times New Roman" w:cs="Times New Roman"/>
                <w:sz w:val="24"/>
                <w:szCs w:val="24"/>
              </w:rPr>
            </w:pPr>
            <w:r>
              <w:rPr>
                <w:rFonts w:cs="Times New Roman" w:ascii="Times New Roman" w:hAnsi="Times New Roman"/>
                <w:sz w:val="24"/>
                <w:szCs w:val="24"/>
              </w:rPr>
              <w:t xml:space="preserve">Муниципальная программа города-курорта Железноводска Ставропольского края «Развитие образования </w:t>
            </w:r>
            <w:r>
              <w:rPr>
                <w:rFonts w:cs="Times New Roman" w:ascii="Times New Roman" w:hAnsi="Times New Roman"/>
                <w:color w:val="000000"/>
                <w:sz w:val="24"/>
                <w:szCs w:val="24"/>
              </w:rPr>
              <w:t>в городе курорте Железноводске Ставропольского края</w:t>
            </w:r>
            <w:r>
              <w:rPr>
                <w:rFonts w:cs="Times New Roman" w:ascii="Times New Roman" w:hAnsi="Times New Roman"/>
                <w:sz w:val="24"/>
                <w:szCs w:val="24"/>
              </w:rPr>
              <w:t>»</w:t>
            </w:r>
          </w:p>
        </w:tc>
        <w:tc>
          <w:tcPr>
            <w:tcW w:w="25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Normal"/>
              <w:jc w:val="center"/>
              <w:rPr/>
            </w:pPr>
            <w:r>
              <w:rPr>
                <w:rFonts w:cs="Times New Roman" w:ascii="Times New Roman" w:hAnsi="Times New Roman"/>
                <w:sz w:val="24"/>
                <w:szCs w:val="24"/>
              </w:rPr>
              <w:t>2018–2021</w:t>
            </w:r>
          </w:p>
        </w:tc>
        <w:tc>
          <w:tcPr>
            <w:tcW w:w="18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exact" w:line="300" w:before="0" w:after="0"/>
              <w:contextualSpacing/>
              <w:jc w:val="center"/>
              <w:rPr>
                <w:rFonts w:ascii="Times New Roman" w:hAnsi="Times New Roman" w:cs="Times New Roman"/>
                <w:sz w:val="24"/>
                <w:szCs w:val="24"/>
              </w:rPr>
            </w:pPr>
            <w:r>
              <w:rPr>
                <w:rFonts w:cs="Times New Roman" w:ascii="Times New Roman" w:hAnsi="Times New Roman"/>
                <w:sz w:val="24"/>
                <w:szCs w:val="24"/>
              </w:rPr>
              <w:t>1 741 539,47</w:t>
            </w:r>
          </w:p>
        </w:tc>
      </w:tr>
      <w:tr>
        <w:trPr/>
        <w:tc>
          <w:tcPr>
            <w:tcW w:w="587"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exact" w:line="240"/>
              <w:jc w:val="center"/>
              <w:rPr>
                <w:rFonts w:ascii="Times New Roman" w:hAnsi="Times New Roman" w:cs="Times New Roman"/>
                <w:sz w:val="24"/>
                <w:szCs w:val="24"/>
              </w:rPr>
            </w:pPr>
            <w:r>
              <w:rPr>
                <w:rFonts w:cs="Times New Roman" w:ascii="Times New Roman" w:hAnsi="Times New Roman"/>
                <w:sz w:val="24"/>
                <w:szCs w:val="24"/>
              </w:rPr>
              <w:t>12.</w:t>
            </w:r>
          </w:p>
        </w:tc>
        <w:tc>
          <w:tcPr>
            <w:tcW w:w="4678"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exact" w:line="300" w:before="0" w:after="0"/>
              <w:contextualSpacing/>
              <w:jc w:val="both"/>
              <w:rPr>
                <w:rFonts w:ascii="Times New Roman" w:hAnsi="Times New Roman" w:cs="Times New Roman"/>
                <w:sz w:val="24"/>
                <w:szCs w:val="24"/>
              </w:rPr>
            </w:pPr>
            <w:r>
              <w:rPr>
                <w:rFonts w:cs="Times New Roman" w:ascii="Times New Roman" w:hAnsi="Times New Roman"/>
                <w:sz w:val="24"/>
                <w:szCs w:val="24"/>
              </w:rPr>
              <w:t>Муниципальная программа города-курорта Железноводска Ставропольского края «Открытость и эффективность работы администрации  города-курорта Железноводска Ставропольского края»</w:t>
            </w:r>
          </w:p>
        </w:tc>
        <w:tc>
          <w:tcPr>
            <w:tcW w:w="25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Normal"/>
              <w:jc w:val="center"/>
              <w:rPr/>
            </w:pPr>
            <w:r>
              <w:rPr>
                <w:rFonts w:cs="Times New Roman" w:ascii="Times New Roman" w:hAnsi="Times New Roman"/>
                <w:sz w:val="24"/>
                <w:szCs w:val="24"/>
              </w:rPr>
              <w:t>2018–2021</w:t>
            </w:r>
          </w:p>
        </w:tc>
        <w:tc>
          <w:tcPr>
            <w:tcW w:w="18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exact" w:line="300" w:before="0" w:after="0"/>
              <w:contextualSpacing/>
              <w:jc w:val="center"/>
              <w:rPr>
                <w:rFonts w:ascii="Times New Roman" w:hAnsi="Times New Roman" w:cs="Times New Roman"/>
                <w:sz w:val="24"/>
                <w:szCs w:val="24"/>
              </w:rPr>
            </w:pPr>
            <w:r>
              <w:rPr>
                <w:rFonts w:cs="Times New Roman" w:ascii="Times New Roman" w:hAnsi="Times New Roman"/>
                <w:sz w:val="24"/>
                <w:szCs w:val="24"/>
              </w:rPr>
              <w:t>50 798,69</w:t>
            </w:r>
          </w:p>
        </w:tc>
      </w:tr>
      <w:tr>
        <w:trPr/>
        <w:tc>
          <w:tcPr>
            <w:tcW w:w="587"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exact" w:line="240"/>
              <w:jc w:val="center"/>
              <w:rPr>
                <w:rFonts w:ascii="Times New Roman" w:hAnsi="Times New Roman" w:cs="Times New Roman"/>
                <w:sz w:val="24"/>
                <w:szCs w:val="24"/>
              </w:rPr>
            </w:pPr>
            <w:r>
              <w:rPr>
                <w:rFonts w:cs="Times New Roman" w:ascii="Times New Roman" w:hAnsi="Times New Roman"/>
                <w:sz w:val="24"/>
                <w:szCs w:val="24"/>
                <w:lang w:val="en-US"/>
              </w:rPr>
              <w:t>13</w:t>
            </w:r>
            <w:r>
              <w:rPr>
                <w:rFonts w:cs="Times New Roman" w:ascii="Times New Roman" w:hAnsi="Times New Roman"/>
                <w:sz w:val="24"/>
                <w:szCs w:val="24"/>
              </w:rPr>
              <w:t>.</w:t>
            </w:r>
          </w:p>
        </w:tc>
        <w:tc>
          <w:tcPr>
            <w:tcW w:w="4678"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Normal"/>
              <w:spacing w:lineRule="exact" w:line="300" w:before="0" w:after="0"/>
              <w:contextualSpacing/>
              <w:jc w:val="both"/>
              <w:rPr>
                <w:rFonts w:ascii="Times New Roman" w:hAnsi="Times New Roman" w:cs="Times New Roman"/>
                <w:sz w:val="24"/>
                <w:szCs w:val="24"/>
              </w:rPr>
            </w:pPr>
            <w:r>
              <w:rPr>
                <w:rFonts w:cs="Times New Roman" w:ascii="Times New Roman" w:hAnsi="Times New Roman"/>
                <w:sz w:val="24"/>
                <w:szCs w:val="24"/>
              </w:rPr>
              <w:t>Муниципальная программа города-курорта Железноводска Ставропольского края «Формирование современной городской среды»</w:t>
            </w:r>
          </w:p>
        </w:tc>
        <w:tc>
          <w:tcPr>
            <w:tcW w:w="25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Normal"/>
              <w:jc w:val="center"/>
              <w:rPr/>
            </w:pPr>
            <w:r>
              <w:rPr>
                <w:rFonts w:cs="Times New Roman" w:ascii="Times New Roman" w:hAnsi="Times New Roman"/>
                <w:sz w:val="24"/>
                <w:szCs w:val="24"/>
              </w:rPr>
              <w:t>2018–2021</w:t>
            </w:r>
          </w:p>
        </w:tc>
        <w:tc>
          <w:tcPr>
            <w:tcW w:w="18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exact" w:line="300" w:before="0" w:after="0"/>
              <w:contextualSpacing/>
              <w:jc w:val="center"/>
              <w:rPr>
                <w:rFonts w:ascii="Times New Roman" w:hAnsi="Times New Roman" w:cs="Times New Roman"/>
                <w:sz w:val="24"/>
                <w:szCs w:val="24"/>
              </w:rPr>
            </w:pPr>
            <w:r>
              <w:rPr>
                <w:rFonts w:cs="Times New Roman" w:ascii="Times New Roman" w:hAnsi="Times New Roman"/>
                <w:sz w:val="24"/>
                <w:szCs w:val="24"/>
              </w:rPr>
              <w:t>1 315 138,12</w:t>
            </w:r>
          </w:p>
        </w:tc>
      </w:tr>
    </w:tbl>
    <w:p>
      <w:pPr>
        <w:pStyle w:val="32"/>
        <w:jc w:val="both"/>
        <w:rPr/>
      </w:pPr>
      <w:r>
        <w:rPr/>
      </w:r>
    </w:p>
    <w:sectPr>
      <w:headerReference w:type="default" r:id="rId24"/>
      <w:type w:val="nextPage"/>
      <w:pgSz w:w="11906" w:h="16838"/>
      <w:pgMar w:left="1701" w:right="566" w:header="708" w:top="1134" w:footer="0" w:bottom="1134"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Times New Roman">
    <w:charset w:val="01"/>
    <w:family w:val="swiss"/>
    <w:pitch w:val="variable"/>
  </w:font>
  <w:font w:name="Times New Roman">
    <w:charset w:val="01"/>
    <w:family w:val="roman"/>
    <w:pitch w:val="variable"/>
  </w:font>
  <w:font w:name="Tahoma">
    <w:charset w:val="01"/>
    <w:family w:val="roman"/>
    <w:pitch w:val="variable"/>
  </w:font>
  <w:font w:name="Liberation Sans">
    <w:altName w:val="Arial"/>
    <w:charset w:val="01"/>
    <w:family w:val="swiss"/>
    <w:pitch w:val="variable"/>
  </w:font>
  <w:font w:name="Courier New">
    <w:charset w:val="01"/>
    <w:family w:val="roman"/>
    <w:pitch w:val="variable"/>
  </w:font>
  <w:font w:name="Arial">
    <w:charset w:val="01"/>
    <w:family w:val="roman"/>
    <w:pitch w:val="variable"/>
  </w:font>
  <w:font w:name="Cambria">
    <w:charset w:val="01"/>
    <w:family w:val="roman"/>
    <w:pitch w:val="variable"/>
  </w:font>
  <w:font w:name="yandex-sans">
    <w:charset w:val="01"/>
    <w:family w:val="roman"/>
    <w:pitch w:val="variable"/>
  </w:font>
  <w:font w:name="Segoe UI">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
      </w:docPartObj>
      <w:id w:val="969534934"/>
    </w:sdtPr>
    <w:sdtContent>
      <w:p>
        <w:pPr>
          <w:pStyle w:val="Style31"/>
          <w:jc w:val="center"/>
          <w:rPr/>
        </w:pPr>
        <w:r>
          <w:rPr>
            <w:rFonts w:cs="Times New Roman" w:ascii="Times New Roman" w:hAnsi="Times New Roman"/>
            <w:sz w:val="28"/>
          </w:rPr>
          <w:fldChar w:fldCharType="begin"/>
        </w:r>
        <w:r>
          <w:instrText> PAGE </w:instrText>
        </w:r>
        <w:r>
          <w:fldChar w:fldCharType="separate"/>
        </w:r>
        <w:r>
          <w:t>111</w:t>
        </w:r>
        <w:r>
          <w:fldChar w:fldCharType="end"/>
        </w:r>
      </w:p>
      <w:p>
        <w:pPr>
          <w:pStyle w:val="Style31"/>
          <w:rPr/>
        </w:pPr>
        <w:r>
          <w:rPr/>
        </w:r>
      </w:p>
    </w:sdtContent>
  </w:sdt>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sz w:val="28"/>
        <w:szCs w:val="22"/>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bullet"/>
      <w:lvlText w:val=""/>
      <w:lvlJc w:val="left"/>
      <w:pPr>
        <w:tabs>
          <w:tab w:val="num" w:pos="720"/>
        </w:tabs>
        <w:ind w:left="720" w:hanging="360"/>
      </w:pPr>
      <w:rPr>
        <w:rFonts w:ascii="Symbol" w:hAnsi="Symbol" w:cs="Symbol" w:hint="default"/>
        <w:sz w:val="28"/>
        <w:spacing w:val="0"/>
        <w:szCs w:val="22"/>
        <w:rFonts w:cs="Symbol"/>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bullet"/>
      <w:lvlText w:val=""/>
      <w:lvlJc w:val="left"/>
      <w:pPr>
        <w:tabs>
          <w:tab w:val="num" w:pos="720"/>
        </w:tabs>
        <w:ind w:left="720" w:hanging="360"/>
      </w:pPr>
      <w:rPr>
        <w:rFonts w:ascii="Symbol" w:hAnsi="Symbol" w:cs="Symbol" w:hint="default"/>
        <w:sz w:val="28"/>
        <w:b/>
        <w:szCs w:val="22"/>
        <w:rFonts w:cs="Symbol"/>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bullet"/>
      <w:lvlText w:val=""/>
      <w:lvlJc w:val="left"/>
      <w:pPr>
        <w:tabs>
          <w:tab w:val="num" w:pos="720"/>
        </w:tabs>
        <w:ind w:left="720" w:hanging="360"/>
      </w:pPr>
      <w:rPr>
        <w:rFonts w:ascii="Symbol" w:hAnsi="Symbol" w:cs="Symbol" w:hint="default"/>
        <w:sz w:val="28"/>
        <w:szCs w:val="22"/>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none"/>
      <w:suff w:val="nothing"/>
      <w:lvlText w:val=""/>
      <w:lvlJc w:val="left"/>
      <w:pPr>
        <w:ind w:left="432" w:hanging="432"/>
      </w:pPr>
      <w:rPr>
        <w:sz w:val="28"/>
        <w:b w:val="false"/>
        <w:szCs w:val="28"/>
        <w:rFonts w:ascii="Times New Roman" w:hAnsi="Times New Roman" w:cs="Times New Roman"/>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6">
    <w:lvl w:ilvl="0">
      <w:start w:val="1"/>
      <w:numFmt w:val="decimal"/>
      <w:lvlText w:val="%1."/>
      <w:lvlJc w:val="left"/>
      <w:pPr>
        <w:tabs>
          <w:tab w:val="num" w:pos="899"/>
        </w:tabs>
        <w:ind w:left="899" w:hanging="360"/>
      </w:pPr>
      <w:rPr>
        <w:sz w:val="28"/>
        <w:szCs w:val="28"/>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bullet"/>
      <w:lvlText w:val=""/>
      <w:lvlJc w:val="left"/>
      <w:pPr>
        <w:tabs>
          <w:tab w:val="num" w:pos="1440"/>
        </w:tabs>
        <w:ind w:left="1440" w:hanging="360"/>
      </w:pPr>
      <w:rPr>
        <w:rFonts w:ascii="Symbol" w:hAnsi="Symbol" w:cs="Symbol" w:hint="default"/>
        <w:sz w:val="28"/>
        <w:szCs w:val="28"/>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9">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Pr>
    </w:lvl>
  </w:abstractNum>
  <w:abstractNum w:abstractNumId="1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pacing w:lineRule="auto" w:line="259"/>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63e3c"/>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sz w:val="22"/>
      <w:szCs w:val="22"/>
      <w:lang w:val="ru-RU" w:eastAsia="en-US" w:bidi="ar-SA"/>
    </w:rPr>
  </w:style>
  <w:style w:type="paragraph" w:styleId="1">
    <w:name w:val="Заголовок 1"/>
    <w:basedOn w:val="Normal"/>
    <w:link w:val="10"/>
    <w:uiPriority w:val="9"/>
    <w:qFormat/>
    <w:rsid w:val="002503ad"/>
    <w:pPr>
      <w:keepNext/>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paragraph" w:styleId="2">
    <w:name w:val="Заголовок 2"/>
    <w:basedOn w:val="Style21"/>
    <w:pPr/>
    <w:rPr/>
  </w:style>
  <w:style w:type="paragraph" w:styleId="3">
    <w:name w:val="Заголовок 3"/>
    <w:basedOn w:val="Style21"/>
    <w:link w:val="31"/>
    <w:qFormat/>
    <w:rsid w:val="00026ec6"/>
    <w:pPr>
      <w:keepNext/>
      <w:widowControl/>
      <w:suppressAutoHyphens w:val="true"/>
      <w:bidi w:val="0"/>
      <w:spacing w:lineRule="auto" w:line="240" w:before="240" w:after="0"/>
      <w:jc w:val="center"/>
      <w:outlineLvl w:val="2"/>
    </w:pPr>
    <w:rPr>
      <w:rFonts w:ascii="Times New Roman" w:hAnsi="Times New Roman" w:eastAsia="Times New Roman" w:cs="Arial"/>
      <w:b/>
      <w:bCs/>
      <w:sz w:val="28"/>
      <w:szCs w:val="26"/>
      <w:lang w:eastAsia="zh-CN"/>
    </w:rPr>
  </w:style>
  <w:style w:type="character" w:styleId="DefaultParagraphFont" w:default="1">
    <w:name w:val="Default Paragraph Font"/>
    <w:uiPriority w:val="1"/>
    <w:semiHidden/>
    <w:unhideWhenUsed/>
    <w:qFormat/>
    <w:rPr/>
  </w:style>
  <w:style w:type="character" w:styleId="31" w:customStyle="1">
    <w:name w:val="Заголовок 3 Знак"/>
    <w:basedOn w:val="DefaultParagraphFont"/>
    <w:link w:val="3"/>
    <w:qFormat/>
    <w:rsid w:val="00026ec6"/>
    <w:rPr>
      <w:rFonts w:ascii="Times New Roman" w:hAnsi="Times New Roman" w:eastAsia="Times New Roman" w:cs="Arial"/>
      <w:b/>
      <w:bCs/>
      <w:sz w:val="28"/>
      <w:szCs w:val="26"/>
      <w:lang w:eastAsia="zh-CN"/>
    </w:rPr>
  </w:style>
  <w:style w:type="character" w:styleId="Style11" w:customStyle="1">
    <w:name w:val="Основной текст Знак"/>
    <w:basedOn w:val="DefaultParagraphFont"/>
    <w:link w:val="a5"/>
    <w:qFormat/>
    <w:rsid w:val="00b76f00"/>
    <w:rPr>
      <w:rFonts w:ascii="Times New Roman" w:hAnsi="Times New Roman" w:eastAsia="Times New Roman" w:cs="Times New Roman"/>
      <w:sz w:val="20"/>
      <w:szCs w:val="24"/>
      <w:lang w:eastAsia="zh-CN"/>
    </w:rPr>
  </w:style>
  <w:style w:type="character" w:styleId="Style12" w:customStyle="1">
    <w:name w:val="Основной текст с отступом Знак"/>
    <w:basedOn w:val="DefaultParagraphFont"/>
    <w:link w:val="ae"/>
    <w:uiPriority w:val="99"/>
    <w:qFormat/>
    <w:rsid w:val="00897a98"/>
    <w:rPr/>
  </w:style>
  <w:style w:type="character" w:styleId="Normaltextrun" w:customStyle="1">
    <w:name w:val="normaltextrun"/>
    <w:basedOn w:val="DefaultParagraphFont"/>
    <w:qFormat/>
    <w:rsid w:val="00441350"/>
    <w:rPr/>
  </w:style>
  <w:style w:type="character" w:styleId="Eop" w:customStyle="1">
    <w:name w:val="eop"/>
    <w:basedOn w:val="DefaultParagraphFont"/>
    <w:qFormat/>
    <w:rsid w:val="00441350"/>
    <w:rPr/>
  </w:style>
  <w:style w:type="character" w:styleId="Scxw76956133" w:customStyle="1">
    <w:name w:val="scxw76956133"/>
    <w:basedOn w:val="DefaultParagraphFont"/>
    <w:qFormat/>
    <w:rsid w:val="00441350"/>
    <w:rPr/>
  </w:style>
  <w:style w:type="character" w:styleId="Contextualspellingandgrammarerror" w:customStyle="1">
    <w:name w:val="contextualspellingandgrammarerror"/>
    <w:basedOn w:val="DefaultParagraphFont"/>
    <w:qFormat/>
    <w:rsid w:val="00441350"/>
    <w:rPr/>
  </w:style>
  <w:style w:type="character" w:styleId="Spellingerror" w:customStyle="1">
    <w:name w:val="spellingerror"/>
    <w:basedOn w:val="DefaultParagraphFont"/>
    <w:qFormat/>
    <w:rsid w:val="00441350"/>
    <w:rPr/>
  </w:style>
  <w:style w:type="character" w:styleId="Scxw240135162" w:customStyle="1">
    <w:name w:val="scxw240135162"/>
    <w:basedOn w:val="DefaultParagraphFont"/>
    <w:qFormat/>
    <w:rsid w:val="00441350"/>
    <w:rPr/>
  </w:style>
  <w:style w:type="character" w:styleId="WW8Num1z6" w:customStyle="1">
    <w:name w:val="WW8Num1z6"/>
    <w:qFormat/>
    <w:rsid w:val="00c0001a"/>
    <w:rPr/>
  </w:style>
  <w:style w:type="character" w:styleId="Strong">
    <w:name w:val="Strong"/>
    <w:qFormat/>
    <w:rsid w:val="00c0001a"/>
    <w:rPr>
      <w:b/>
      <w:bCs/>
    </w:rPr>
  </w:style>
  <w:style w:type="character" w:styleId="Style13" w:customStyle="1">
    <w:name w:val="Гипертекстовая ссылка"/>
    <w:qFormat/>
    <w:rsid w:val="00c0001a"/>
    <w:rPr>
      <w:rFonts w:cs="Times New Roman"/>
      <w:b w:val="false"/>
      <w:color w:val="106BBE"/>
      <w:sz w:val="26"/>
    </w:rPr>
  </w:style>
  <w:style w:type="character" w:styleId="FontStyle12" w:customStyle="1">
    <w:name w:val="Font Style12"/>
    <w:qFormat/>
    <w:rsid w:val="00c0001a"/>
    <w:rPr>
      <w:rFonts w:ascii="Times New Roman" w:hAnsi="Times New Roman" w:cs="Times New Roman"/>
      <w:sz w:val="26"/>
      <w:szCs w:val="26"/>
    </w:rPr>
  </w:style>
  <w:style w:type="character" w:styleId="11" w:customStyle="1">
    <w:name w:val="Заголовок 1 Знак"/>
    <w:basedOn w:val="DefaultParagraphFont"/>
    <w:link w:val="1"/>
    <w:uiPriority w:val="9"/>
    <w:qFormat/>
    <w:rsid w:val="002503ad"/>
    <w:rPr>
      <w:rFonts w:ascii="Calibri Light" w:hAnsi="Calibri Light" w:eastAsia="" w:cs="" w:asciiTheme="majorHAnsi" w:cstheme="majorBidi" w:eastAsiaTheme="majorEastAsia" w:hAnsiTheme="majorHAnsi"/>
      <w:color w:val="2F5496" w:themeColor="accent1" w:themeShade="bf"/>
      <w:sz w:val="32"/>
      <w:szCs w:val="32"/>
    </w:rPr>
  </w:style>
  <w:style w:type="character" w:styleId="FontStyle11" w:customStyle="1">
    <w:name w:val="Font Style11"/>
    <w:qFormat/>
    <w:rsid w:val="00ab2595"/>
    <w:rPr>
      <w:rFonts w:ascii="Times New Roman" w:hAnsi="Times New Roman" w:cs="Times New Roman"/>
      <w:sz w:val="26"/>
      <w:szCs w:val="26"/>
    </w:rPr>
  </w:style>
  <w:style w:type="character" w:styleId="Style14" w:customStyle="1">
    <w:name w:val="Верхний колонтитул Знак"/>
    <w:basedOn w:val="DefaultParagraphFont"/>
    <w:link w:val="af4"/>
    <w:uiPriority w:val="99"/>
    <w:qFormat/>
    <w:rsid w:val="00026ec6"/>
    <w:rPr/>
  </w:style>
  <w:style w:type="character" w:styleId="Style15" w:customStyle="1">
    <w:name w:val="Нижний колонтитул Знак"/>
    <w:basedOn w:val="DefaultParagraphFont"/>
    <w:link w:val="af6"/>
    <w:uiPriority w:val="99"/>
    <w:qFormat/>
    <w:rsid w:val="00026ec6"/>
    <w:rPr/>
  </w:style>
  <w:style w:type="character" w:styleId="Style16">
    <w:name w:val="Интернет-ссылка"/>
    <w:basedOn w:val="DefaultParagraphFont"/>
    <w:uiPriority w:val="99"/>
    <w:unhideWhenUsed/>
    <w:rsid w:val="00026ec6"/>
    <w:rPr>
      <w:color w:val="0563C1" w:themeColor="hyperlink"/>
      <w:u w:val="single"/>
    </w:rPr>
  </w:style>
  <w:style w:type="character" w:styleId="Style17" w:customStyle="1">
    <w:name w:val="_Обычный Знак"/>
    <w:link w:val="aa"/>
    <w:qFormat/>
    <w:rsid w:val="008161c7"/>
    <w:rPr>
      <w:rFonts w:ascii="Times New Roman" w:hAnsi="Times New Roman" w:eastAsia="Calibri" w:cs="Times New Roman"/>
      <w:sz w:val="28"/>
      <w:szCs w:val="28"/>
    </w:rPr>
  </w:style>
  <w:style w:type="character" w:styleId="Style18" w:customStyle="1">
    <w:name w:val="_Список тире Знак"/>
    <w:link w:val="a"/>
    <w:uiPriority w:val="99"/>
    <w:qFormat/>
    <w:rsid w:val="008161c7"/>
    <w:rPr>
      <w:rFonts w:ascii="Times New Roman" w:hAnsi="Times New Roman" w:eastAsia="Calibri" w:cs="Times New Roman"/>
      <w:sz w:val="24"/>
      <w:szCs w:val="28"/>
    </w:rPr>
  </w:style>
  <w:style w:type="character" w:styleId="St" w:customStyle="1">
    <w:name w:val="st"/>
    <w:basedOn w:val="DefaultParagraphFont"/>
    <w:qFormat/>
    <w:rsid w:val="008161c7"/>
    <w:rPr/>
  </w:style>
  <w:style w:type="character" w:styleId="Style19" w:customStyle="1">
    <w:name w:val="Текст выноски Знак"/>
    <w:basedOn w:val="DefaultParagraphFont"/>
    <w:link w:val="afb"/>
    <w:uiPriority w:val="99"/>
    <w:semiHidden/>
    <w:qFormat/>
    <w:rsid w:val="002b356e"/>
    <w:rPr>
      <w:rFonts w:ascii="Tahoma" w:hAnsi="Tahoma" w:cs="Tahoma"/>
      <w:sz w:val="16"/>
      <w:szCs w:val="16"/>
    </w:rPr>
  </w:style>
  <w:style w:type="character" w:styleId="21" w:customStyle="1">
    <w:name w:val="Основной текст с отступом 2 Знак"/>
    <w:basedOn w:val="DefaultParagraphFont"/>
    <w:link w:val="24"/>
    <w:uiPriority w:val="99"/>
    <w:qFormat/>
    <w:rsid w:val="00381975"/>
    <w:rPr/>
  </w:style>
  <w:style w:type="character" w:styleId="ListLabel1">
    <w:name w:val="ListLabel 1"/>
    <w:qFormat/>
    <w:rPr>
      <w:rFonts w:ascii="Times New Roman" w:hAnsi="Times New Roman" w:cs="Symbol"/>
      <w:sz w:val="28"/>
      <w:szCs w:val="22"/>
    </w:rPr>
  </w:style>
  <w:style w:type="character" w:styleId="ListLabel2">
    <w:name w:val="ListLabel 2"/>
    <w:qFormat/>
    <w:rPr>
      <w:rFonts w:ascii="Times New Roman" w:hAnsi="Times New Roman" w:cs="Symbol"/>
      <w:color w:val="000000"/>
      <w:spacing w:val="0"/>
      <w:sz w:val="28"/>
      <w:szCs w:val="22"/>
    </w:rPr>
  </w:style>
  <w:style w:type="character" w:styleId="ListLabel3">
    <w:name w:val="ListLabel 3"/>
    <w:qFormat/>
    <w:rPr>
      <w:rFonts w:ascii="Times New Roman" w:hAnsi="Times New Roman" w:cs="Symbol"/>
      <w:b/>
      <w:color w:val="000000"/>
      <w:sz w:val="28"/>
      <w:szCs w:val="22"/>
    </w:rPr>
  </w:style>
  <w:style w:type="character" w:styleId="ListLabel4">
    <w:name w:val="ListLabel 4"/>
    <w:qFormat/>
    <w:rPr>
      <w:rFonts w:ascii="Times New Roman" w:hAnsi="Times New Roman" w:cs="Times New Roman"/>
      <w:b w:val="false"/>
      <w:sz w:val="28"/>
      <w:szCs w:val="28"/>
    </w:rPr>
  </w:style>
  <w:style w:type="character" w:styleId="ListLabel5">
    <w:name w:val="ListLabel 5"/>
    <w:qFormat/>
    <w:rPr>
      <w:rFonts w:ascii="Times New Roman" w:hAnsi="Times New Roman"/>
      <w:sz w:val="28"/>
      <w:szCs w:val="28"/>
    </w:rPr>
  </w:style>
  <w:style w:type="character" w:styleId="ListLabel6">
    <w:name w:val="ListLabel 6"/>
    <w:qFormat/>
    <w:rPr>
      <w:rFonts w:ascii="Times New Roman" w:hAnsi="Times New Roman" w:cs="Symbol"/>
      <w:sz w:val="28"/>
      <w:szCs w:val="28"/>
    </w:rPr>
  </w:style>
  <w:style w:type="character" w:styleId="ListLabel7">
    <w:name w:val="ListLabel 7"/>
    <w:qFormat/>
    <w:rPr>
      <w:rFonts w:cs="Courier New"/>
    </w:rPr>
  </w:style>
  <w:style w:type="character" w:styleId="ListLabel8">
    <w:name w:val="ListLabel 8"/>
    <w:qFormat/>
    <w:rPr>
      <w:rFonts w:eastAsia="Calibri" w:cs="Times New Roman"/>
    </w:rPr>
  </w:style>
  <w:style w:type="character" w:styleId="Style20">
    <w:name w:val="Ссылка указателя"/>
    <w:qFormat/>
    <w:rPr/>
  </w:style>
  <w:style w:type="paragraph" w:styleId="Style21">
    <w:name w:val="Заголовок"/>
    <w:basedOn w:val="Normal"/>
    <w:next w:val="Style22"/>
    <w:qFormat/>
    <w:pPr>
      <w:keepNext/>
      <w:spacing w:before="240" w:after="120"/>
    </w:pPr>
    <w:rPr>
      <w:rFonts w:ascii="Liberation Sans" w:hAnsi="Liberation Sans" w:eastAsia="Droid Sans Fallback" w:cs="DejaVu Sans"/>
      <w:sz w:val="28"/>
      <w:szCs w:val="28"/>
    </w:rPr>
  </w:style>
  <w:style w:type="paragraph" w:styleId="Style22">
    <w:name w:val="Основной текст"/>
    <w:basedOn w:val="Normal"/>
    <w:link w:val="a6"/>
    <w:rsid w:val="00b76f00"/>
    <w:pPr>
      <w:suppressAutoHyphens w:val="true"/>
      <w:spacing w:lineRule="auto" w:line="240" w:before="0" w:after="0"/>
      <w:jc w:val="both"/>
    </w:pPr>
    <w:rPr>
      <w:rFonts w:ascii="Times New Roman" w:hAnsi="Times New Roman" w:eastAsia="Times New Roman" w:cs="Times New Roman"/>
      <w:sz w:val="20"/>
      <w:szCs w:val="24"/>
      <w:lang w:eastAsia="zh-CN"/>
    </w:rPr>
  </w:style>
  <w:style w:type="paragraph" w:styleId="Style23">
    <w:name w:val="Список"/>
    <w:basedOn w:val="Style22"/>
    <w:pPr/>
    <w:rPr>
      <w:rFonts w:cs="DejaVu Sans"/>
    </w:rPr>
  </w:style>
  <w:style w:type="paragraph" w:styleId="Style24">
    <w:name w:val="Название"/>
    <w:basedOn w:val="Normal"/>
    <w:pPr>
      <w:suppressLineNumbers/>
      <w:spacing w:before="120" w:after="120"/>
    </w:pPr>
    <w:rPr>
      <w:rFonts w:cs="DejaVu Sans"/>
      <w:i/>
      <w:iCs/>
      <w:sz w:val="24"/>
      <w:szCs w:val="24"/>
    </w:rPr>
  </w:style>
  <w:style w:type="paragraph" w:styleId="Style25" w:customStyle="1">
    <w:name w:val="Указатель"/>
    <w:basedOn w:val="Standard"/>
    <w:qFormat/>
    <w:rsid w:val="009a0e15"/>
    <w:pPr>
      <w:suppressLineNumbers/>
    </w:pPr>
    <w:rPr>
      <w:rFonts w:cs="DejaVu Sans"/>
    </w:rPr>
  </w:style>
  <w:style w:type="paragraph" w:styleId="NormalWeb">
    <w:name w:val="Normal (Web)"/>
    <w:basedOn w:val="Normal"/>
    <w:qFormat/>
    <w:rsid w:val="006a7a9d"/>
    <w:pPr>
      <w:suppressAutoHyphens w:val="true"/>
      <w:spacing w:lineRule="auto" w:line="240" w:before="280" w:after="280"/>
    </w:pPr>
    <w:rPr>
      <w:rFonts w:ascii="Times New Roman" w:hAnsi="Times New Roman" w:eastAsia="Calibri" w:cs="Times New Roman"/>
      <w:sz w:val="24"/>
      <w:szCs w:val="24"/>
      <w:lang w:eastAsia="zh-CN"/>
    </w:rPr>
  </w:style>
  <w:style w:type="paragraph" w:styleId="NormalWeb1" w:customStyle="1">
    <w:name w:val="Normal (Web)1"/>
    <w:basedOn w:val="Normal"/>
    <w:qFormat/>
    <w:rsid w:val="006a7a9d"/>
    <w:pPr>
      <w:suppressAutoHyphens w:val="true"/>
      <w:spacing w:lineRule="atLeast" w:line="100" w:before="28" w:after="100"/>
    </w:pPr>
    <w:rPr>
      <w:rFonts w:ascii="Times New Roman" w:hAnsi="Times New Roman" w:eastAsia="Times New Roman" w:cs="Times New Roman"/>
      <w:sz w:val="24"/>
      <w:szCs w:val="24"/>
      <w:lang w:eastAsia="zh-CN"/>
    </w:rPr>
  </w:style>
  <w:style w:type="paragraph" w:styleId="Style26" w:customStyle="1">
    <w:name w:val="Содержимое таблицы"/>
    <w:basedOn w:val="Normal"/>
    <w:qFormat/>
    <w:rsid w:val="00b76f00"/>
    <w:pPr>
      <w:suppressLineNumbers/>
      <w:suppressAutoHyphens w:val="true"/>
      <w:spacing w:lineRule="auto" w:line="240" w:before="0" w:after="0"/>
    </w:pPr>
    <w:rPr>
      <w:rFonts w:ascii="Times New Roman" w:hAnsi="Times New Roman" w:eastAsia="Times New Roman" w:cs="Times New Roman"/>
      <w:sz w:val="24"/>
      <w:szCs w:val="24"/>
      <w:lang w:eastAsia="zh-CN"/>
    </w:rPr>
  </w:style>
  <w:style w:type="paragraph" w:styleId="Standard" w:customStyle="1">
    <w:name w:val="Standard"/>
    <w:qFormat/>
    <w:rsid w:val="000a354e"/>
    <w:pPr>
      <w:widowControl/>
      <w:suppressAutoHyphens w:val="true"/>
      <w:bidi w:val="0"/>
      <w:spacing w:lineRule="auto" w:line="240" w:before="0" w:after="0"/>
      <w:ind w:firstLine="709"/>
      <w:jc w:val="both"/>
      <w:textAlignment w:val="baseline"/>
    </w:pPr>
    <w:rPr>
      <w:rFonts w:ascii="Times New Roman" w:hAnsi="Times New Roman" w:eastAsia="Times New Roman" w:cs="Times New Roman"/>
      <w:color w:val="auto"/>
      <w:sz w:val="24"/>
      <w:szCs w:val="24"/>
      <w:lang w:val="ru-RU" w:eastAsia="en-US" w:bidi="ar-SA"/>
    </w:rPr>
  </w:style>
  <w:style w:type="paragraph" w:styleId="Caption">
    <w:name w:val="caption"/>
    <w:basedOn w:val="Standard"/>
    <w:qFormat/>
    <w:rsid w:val="000a354e"/>
    <w:pPr>
      <w:spacing w:before="0" w:after="200"/>
    </w:pPr>
    <w:rPr>
      <w:bCs/>
      <w:sz w:val="28"/>
      <w:szCs w:val="18"/>
    </w:rPr>
  </w:style>
  <w:style w:type="paragraph" w:styleId="32" w:customStyle="1">
    <w:name w:val="_Заголовок_3"/>
    <w:basedOn w:val="Normal"/>
    <w:qFormat/>
    <w:rsid w:val="000a354e"/>
    <w:pPr>
      <w:widowControl w:val="false"/>
      <w:tabs>
        <w:tab w:val="left" w:pos="0" w:leader="none"/>
        <w:tab w:val="left" w:pos="360" w:leader="none"/>
      </w:tabs>
      <w:suppressAutoHyphens w:val="true"/>
      <w:spacing w:lineRule="auto" w:line="240"/>
      <w:textAlignment w:val="baseline"/>
      <w:outlineLvl w:val="1"/>
    </w:pPr>
    <w:rPr>
      <w:rFonts w:ascii="Calibri" w:hAnsi="Calibri" w:eastAsia="Times New Roman" w:cs="F"/>
      <w:sz w:val="24"/>
    </w:rPr>
  </w:style>
  <w:style w:type="paragraph" w:styleId="12" w:customStyle="1">
    <w:name w:val="Обычный (веб)1"/>
    <w:basedOn w:val="Normal"/>
    <w:qFormat/>
    <w:rsid w:val="00905778"/>
    <w:pPr>
      <w:suppressAutoHyphens w:val="true"/>
      <w:spacing w:lineRule="auto" w:line="240" w:before="280" w:after="280"/>
    </w:pPr>
    <w:rPr>
      <w:rFonts w:ascii="Times New Roman" w:hAnsi="Times New Roman" w:eastAsia="Times New Roman" w:cs="Times New Roman"/>
      <w:sz w:val="24"/>
      <w:szCs w:val="24"/>
      <w:lang w:eastAsia="ru-RU"/>
    </w:rPr>
  </w:style>
  <w:style w:type="paragraph" w:styleId="TableParagraph" w:customStyle="1">
    <w:name w:val="Table Paragraph"/>
    <w:basedOn w:val="Normal"/>
    <w:uiPriority w:val="1"/>
    <w:qFormat/>
    <w:rsid w:val="00e07d86"/>
    <w:pPr>
      <w:widowControl w:val="false"/>
      <w:spacing w:lineRule="auto" w:line="240" w:before="0" w:after="0"/>
    </w:pPr>
    <w:rPr>
      <w:rFonts w:ascii="Times New Roman" w:hAnsi="Times New Roman" w:eastAsia="Times New Roman" w:cs="Times New Roman"/>
      <w:lang w:eastAsia="ru-RU" w:bidi="ru-RU"/>
    </w:rPr>
  </w:style>
  <w:style w:type="paragraph" w:styleId="Style27" w:customStyle="1">
    <w:name w:val="_Обычный"/>
    <w:link w:val="ab"/>
    <w:qFormat/>
    <w:rsid w:val="009a0e15"/>
    <w:pPr>
      <w:widowControl/>
      <w:suppressAutoHyphens w:val="true"/>
      <w:bidi w:val="0"/>
      <w:spacing w:lineRule="auto" w:line="360" w:before="0" w:after="0"/>
      <w:ind w:firstLine="709"/>
      <w:jc w:val="both"/>
      <w:textAlignment w:val="baseline"/>
    </w:pPr>
    <w:rPr>
      <w:rFonts w:ascii="Times New Roman" w:hAnsi="Times New Roman" w:eastAsia="Calibri" w:cs="Times New Roman" w:eastAsiaTheme="minorHAnsi"/>
      <w:color w:val="auto"/>
      <w:sz w:val="28"/>
      <w:szCs w:val="28"/>
      <w:lang w:val="ru-RU" w:eastAsia="en-US" w:bidi="ar-SA"/>
    </w:rPr>
  </w:style>
  <w:style w:type="paragraph" w:styleId="Style28" w:customStyle="1">
    <w:name w:val="Список данных"/>
    <w:basedOn w:val="Normal"/>
    <w:uiPriority w:val="99"/>
    <w:qFormat/>
    <w:rsid w:val="003f4d80"/>
    <w:pPr>
      <w:suppressAutoHyphens w:val="true"/>
      <w:spacing w:lineRule="auto" w:line="240" w:before="0" w:after="0"/>
      <w:ind w:firstLine="720"/>
      <w:jc w:val="both"/>
    </w:pPr>
    <w:rPr>
      <w:rFonts w:ascii="Times New Roman" w:hAnsi="Times New Roman" w:eastAsia="Times New Roman" w:cs="Times New Roman"/>
      <w:color w:val="000000"/>
      <w:sz w:val="28"/>
      <w:szCs w:val="28"/>
      <w:lang w:eastAsia="zh-CN"/>
    </w:rPr>
  </w:style>
  <w:style w:type="paragraph" w:styleId="Style29" w:customStyle="1">
    <w:name w:val="название таблицы"/>
    <w:basedOn w:val="Normal"/>
    <w:uiPriority w:val="99"/>
    <w:qFormat/>
    <w:rsid w:val="002c4131"/>
    <w:pPr>
      <w:suppressAutoHyphens w:val="true"/>
      <w:spacing w:lineRule="auto" w:line="240" w:before="0" w:after="0"/>
      <w:jc w:val="center"/>
    </w:pPr>
    <w:rPr>
      <w:rFonts w:ascii="Times New Roman" w:hAnsi="Times New Roman" w:eastAsia="Times New Roman" w:cs="Times New Roman"/>
      <w:b/>
      <w:bCs/>
      <w:sz w:val="24"/>
      <w:szCs w:val="24"/>
      <w:lang w:eastAsia="zh-CN"/>
    </w:rPr>
  </w:style>
  <w:style w:type="paragraph" w:styleId="13" w:customStyle="1">
    <w:name w:val="Текст1"/>
    <w:basedOn w:val="Normal"/>
    <w:qFormat/>
    <w:rsid w:val="00aa5fda"/>
    <w:pPr>
      <w:widowControl w:val="false"/>
      <w:suppressAutoHyphens w:val="true"/>
      <w:spacing w:lineRule="auto" w:line="240" w:before="0" w:after="0"/>
    </w:pPr>
    <w:rPr>
      <w:rFonts w:ascii="Courier New" w:hAnsi="Courier New" w:eastAsia="Times New Roman" w:cs="Courier New"/>
      <w:sz w:val="20"/>
      <w:szCs w:val="20"/>
      <w:lang w:eastAsia="zh-CN"/>
    </w:rPr>
  </w:style>
  <w:style w:type="paragraph" w:styleId="Style30">
    <w:name w:val="Основной текст с отступом"/>
    <w:basedOn w:val="Normal"/>
    <w:link w:val="af"/>
    <w:uiPriority w:val="99"/>
    <w:unhideWhenUsed/>
    <w:rsid w:val="00897a98"/>
    <w:pPr>
      <w:spacing w:before="0" w:after="120"/>
      <w:ind w:left="283" w:hanging="0"/>
    </w:pPr>
    <w:rPr/>
  </w:style>
  <w:style w:type="paragraph" w:styleId="22" w:customStyle="1">
    <w:name w:val="Стиль2"/>
    <w:basedOn w:val="Normal"/>
    <w:qFormat/>
    <w:rsid w:val="00897a98"/>
    <w:pPr>
      <w:widowControl w:val="false"/>
      <w:suppressAutoHyphens w:val="true"/>
      <w:spacing w:lineRule="auto" w:line="240" w:before="0" w:after="0"/>
      <w:ind w:firstLine="709"/>
      <w:jc w:val="both"/>
    </w:pPr>
    <w:rPr>
      <w:rFonts w:ascii="Times New Roman" w:hAnsi="Times New Roman" w:eastAsia="Times New Roman" w:cs="Times New Roman"/>
      <w:bCs/>
      <w:color w:val="0000FF"/>
      <w:sz w:val="28"/>
      <w:szCs w:val="28"/>
      <w:lang w:eastAsia="ar-SA"/>
    </w:rPr>
  </w:style>
  <w:style w:type="paragraph" w:styleId="Paragraph" w:customStyle="1">
    <w:name w:val="paragraph"/>
    <w:basedOn w:val="Normal"/>
    <w:qFormat/>
    <w:rsid w:val="00441350"/>
    <w:pPr>
      <w:spacing w:lineRule="auto" w:line="240" w:beforeAutospacing="1" w:afterAutospacing="1"/>
    </w:pPr>
    <w:rPr>
      <w:rFonts w:ascii="Times New Roman" w:hAnsi="Times New Roman" w:eastAsia="Times New Roman" w:cs="Times New Roman"/>
      <w:sz w:val="24"/>
      <w:szCs w:val="24"/>
      <w:lang w:eastAsia="ru-RU"/>
    </w:rPr>
  </w:style>
  <w:style w:type="paragraph" w:styleId="ConsPlusNormal" w:customStyle="1">
    <w:name w:val="ConsPlusNormal"/>
    <w:uiPriority w:val="99"/>
    <w:qFormat/>
    <w:rsid w:val="00cd463f"/>
    <w:pPr>
      <w:widowControl w:val="false"/>
      <w:suppressAutoHyphens w:val="true"/>
      <w:bidi w:val="0"/>
      <w:spacing w:lineRule="auto" w:line="240" w:before="0" w:after="0"/>
      <w:ind w:firstLine="720"/>
      <w:jc w:val="left"/>
    </w:pPr>
    <w:rPr>
      <w:rFonts w:ascii="Arial" w:hAnsi="Arial" w:eastAsia="Times New Roman" w:cs="Arial"/>
      <w:color w:val="auto"/>
      <w:sz w:val="20"/>
      <w:szCs w:val="20"/>
      <w:lang w:eastAsia="zh-CN" w:val="ru-RU" w:bidi="ar-SA"/>
    </w:rPr>
  </w:style>
  <w:style w:type="paragraph" w:styleId="23" w:customStyle="1">
    <w:name w:val="Обычный2"/>
    <w:basedOn w:val="Normal"/>
    <w:qFormat/>
    <w:rsid w:val="000c434a"/>
    <w:pPr>
      <w:suppressAutoHyphens w:val="true"/>
      <w:spacing w:lineRule="auto" w:line="240" w:before="0" w:after="0"/>
      <w:ind w:firstLine="720"/>
    </w:pPr>
    <w:rPr>
      <w:rFonts w:ascii="Arial" w:hAnsi="Arial" w:eastAsia="Times New Roman" w:cs="Arial"/>
      <w:b/>
      <w:szCs w:val="24"/>
      <w:lang w:eastAsia="zh-CN"/>
    </w:rPr>
  </w:style>
  <w:style w:type="paragraph" w:styleId="ListParagraph">
    <w:name w:val="List Paragraph"/>
    <w:basedOn w:val="Normal"/>
    <w:uiPriority w:val="34"/>
    <w:qFormat/>
    <w:rsid w:val="008b42c5"/>
    <w:pPr>
      <w:spacing w:before="0" w:after="160"/>
      <w:ind w:left="720" w:hanging="0"/>
      <w:contextualSpacing/>
    </w:pPr>
    <w:rPr/>
  </w:style>
  <w:style w:type="paragraph" w:styleId="ConsPlusCell" w:customStyle="1">
    <w:name w:val="ConsPlusCell"/>
    <w:qFormat/>
    <w:rsid w:val="00ee3dda"/>
    <w:pPr>
      <w:widowControl w:val="false"/>
      <w:suppressAutoHyphens w:val="true"/>
      <w:bidi w:val="0"/>
      <w:spacing w:lineRule="auto" w:line="240" w:before="0" w:after="0"/>
      <w:jc w:val="left"/>
    </w:pPr>
    <w:rPr>
      <w:rFonts w:ascii="Courier New" w:hAnsi="Courier New" w:eastAsia="Times New Roman" w:cs="Courier New"/>
      <w:color w:val="auto"/>
      <w:sz w:val="24"/>
      <w:szCs w:val="20"/>
      <w:lang w:eastAsia="zh-CN" w:val="ru-RU" w:bidi="ar-SA"/>
    </w:rPr>
  </w:style>
  <w:style w:type="paragraph" w:styleId="ListParagraph1" w:customStyle="1">
    <w:name w:val="List Paragraph1"/>
    <w:basedOn w:val="Normal"/>
    <w:qFormat/>
    <w:rsid w:val="00c0001a"/>
    <w:pPr>
      <w:spacing w:lineRule="auto" w:line="240" w:before="0" w:after="0"/>
      <w:ind w:left="720" w:hanging="0"/>
      <w:contextualSpacing/>
    </w:pPr>
    <w:rPr>
      <w:rFonts w:ascii="Cambria" w:hAnsi="Cambria" w:eastAsia="MS ??" w:cs="Cambria"/>
      <w:sz w:val="24"/>
      <w:szCs w:val="24"/>
      <w:lang w:eastAsia="zh-CN"/>
    </w:rPr>
  </w:style>
  <w:style w:type="paragraph" w:styleId="14" w:customStyle="1">
    <w:name w:val="Стиль1"/>
    <w:basedOn w:val="1"/>
    <w:qFormat/>
    <w:rsid w:val="002503ad"/>
    <w:pPr>
      <w:keepLines w:val="false"/>
      <w:suppressAutoHyphens w:val="true"/>
      <w:spacing w:lineRule="auto" w:line="240" w:before="240" w:after="60"/>
      <w:jc w:val="center"/>
    </w:pPr>
    <w:rPr>
      <w:rFonts w:ascii="Times New Roman" w:hAnsi="Times New Roman" w:eastAsia="Times New Roman" w:cs="Times New Roman"/>
      <w:bCs/>
      <w:color w:val="00000A"/>
      <w:lang w:eastAsia="zh-CN"/>
    </w:rPr>
  </w:style>
  <w:style w:type="paragraph" w:styleId="ConsPlusTitle" w:customStyle="1">
    <w:name w:val="ConsPlusTitle"/>
    <w:qFormat/>
    <w:rsid w:val="002503ad"/>
    <w:pPr>
      <w:widowControl w:val="false"/>
      <w:suppressAutoHyphens w:val="true"/>
      <w:bidi w:val="0"/>
      <w:spacing w:lineRule="auto" w:line="240" w:before="0" w:after="0"/>
      <w:jc w:val="left"/>
    </w:pPr>
    <w:rPr>
      <w:rFonts w:ascii="Times New Roman" w:hAnsi="Times New Roman" w:eastAsia="Times New Roman" w:cs="Times New Roman"/>
      <w:b/>
      <w:bCs/>
      <w:color w:val="auto"/>
      <w:sz w:val="24"/>
      <w:szCs w:val="24"/>
      <w:lang w:eastAsia="zh-CN" w:val="ru-RU" w:bidi="ar-SA"/>
    </w:rPr>
  </w:style>
  <w:style w:type="paragraph" w:styleId="Default" w:customStyle="1">
    <w:name w:val="Default"/>
    <w:qFormat/>
    <w:rsid w:val="002503ad"/>
    <w:pPr>
      <w:widowControl/>
      <w:suppressAutoHyphens w:val="true"/>
      <w:bidi w:val="0"/>
      <w:spacing w:lineRule="auto" w:line="240" w:before="0" w:after="0"/>
      <w:jc w:val="left"/>
    </w:pPr>
    <w:rPr>
      <w:rFonts w:ascii="Arial" w:hAnsi="Arial" w:eastAsia="Times New Roman" w:cs="Arial"/>
      <w:color w:val="000000"/>
      <w:sz w:val="24"/>
      <w:szCs w:val="24"/>
      <w:lang w:eastAsia="zh-CN" w:val="ru-RU" w:bidi="ar-SA"/>
    </w:rPr>
  </w:style>
  <w:style w:type="paragraph" w:styleId="Style210" w:customStyle="1">
    <w:name w:val="Style2"/>
    <w:basedOn w:val="Normal"/>
    <w:qFormat/>
    <w:rsid w:val="002503ad"/>
    <w:pPr>
      <w:widowControl w:val="false"/>
      <w:suppressAutoHyphens w:val="true"/>
      <w:spacing w:lineRule="exact" w:line="323" w:before="0" w:after="0"/>
      <w:ind w:firstLine="562"/>
      <w:jc w:val="both"/>
    </w:pPr>
    <w:rPr>
      <w:rFonts w:ascii="Times New Roman" w:hAnsi="Times New Roman" w:eastAsia="Times New Roman" w:cs="Times New Roman"/>
      <w:sz w:val="24"/>
      <w:szCs w:val="24"/>
      <w:lang w:eastAsia="zh-CN"/>
    </w:rPr>
  </w:style>
  <w:style w:type="paragraph" w:styleId="NoSpacing">
    <w:name w:val="No Spacing"/>
    <w:qFormat/>
    <w:rsid w:val="00ab2595"/>
    <w:pPr>
      <w:widowControl/>
      <w:suppressAutoHyphens w:val="true"/>
      <w:bidi w:val="0"/>
      <w:spacing w:lineRule="auto" w:line="240" w:before="0" w:after="0"/>
      <w:jc w:val="left"/>
    </w:pPr>
    <w:rPr>
      <w:rFonts w:ascii="Calibri" w:hAnsi="Calibri" w:eastAsia="Times New Roman" w:cs="Calibri" w:asciiTheme="minorHAnsi" w:hAnsiTheme="minorHAnsi"/>
      <w:color w:val="auto"/>
      <w:sz w:val="22"/>
      <w:szCs w:val="22"/>
      <w:lang w:eastAsia="zh-CN" w:val="ru-RU" w:bidi="ar-SA"/>
    </w:rPr>
  </w:style>
  <w:style w:type="paragraph" w:styleId="Style31">
    <w:name w:val="Верхний колонтитул"/>
    <w:basedOn w:val="Normal"/>
    <w:link w:val="af5"/>
    <w:uiPriority w:val="99"/>
    <w:unhideWhenUsed/>
    <w:rsid w:val="00026ec6"/>
    <w:pPr>
      <w:tabs>
        <w:tab w:val="center" w:pos="4677" w:leader="none"/>
        <w:tab w:val="right" w:pos="9355" w:leader="none"/>
      </w:tabs>
      <w:spacing w:lineRule="auto" w:line="240" w:before="0" w:after="0"/>
    </w:pPr>
    <w:rPr/>
  </w:style>
  <w:style w:type="paragraph" w:styleId="Style32">
    <w:name w:val="Нижний колонтитул"/>
    <w:basedOn w:val="Normal"/>
    <w:link w:val="af7"/>
    <w:uiPriority w:val="99"/>
    <w:unhideWhenUsed/>
    <w:rsid w:val="00026ec6"/>
    <w:pPr>
      <w:tabs>
        <w:tab w:val="center" w:pos="4677" w:leader="none"/>
        <w:tab w:val="right" w:pos="9355" w:leader="none"/>
      </w:tabs>
      <w:spacing w:lineRule="auto" w:line="240" w:before="0" w:after="0"/>
    </w:pPr>
    <w:rPr/>
  </w:style>
  <w:style w:type="paragraph" w:styleId="Style33">
    <w:name w:val="Заголовок оглавления"/>
    <w:basedOn w:val="1"/>
    <w:uiPriority w:val="39"/>
    <w:unhideWhenUsed/>
    <w:qFormat/>
    <w:rsid w:val="00026ec6"/>
    <w:pPr/>
    <w:rPr>
      <w:lang w:eastAsia="ru-RU"/>
    </w:rPr>
  </w:style>
  <w:style w:type="paragraph" w:styleId="33">
    <w:name w:val="Оглавление 3"/>
    <w:basedOn w:val="Normal"/>
    <w:autoRedefine/>
    <w:uiPriority w:val="39"/>
    <w:unhideWhenUsed/>
    <w:rsid w:val="00345e6f"/>
    <w:pPr>
      <w:tabs>
        <w:tab w:val="right" w:pos="9629" w:leader="dot"/>
      </w:tabs>
      <w:spacing w:before="0" w:after="100"/>
      <w:ind w:left="440" w:hanging="0"/>
    </w:pPr>
    <w:rPr>
      <w:rFonts w:ascii="Times New Roman" w:hAnsi="Times New Roman" w:cs="Times New Roman"/>
      <w:sz w:val="28"/>
      <w:szCs w:val="28"/>
    </w:rPr>
  </w:style>
  <w:style w:type="paragraph" w:styleId="15">
    <w:name w:val="Оглавление 1"/>
    <w:basedOn w:val="Normal"/>
    <w:autoRedefine/>
    <w:uiPriority w:val="39"/>
    <w:unhideWhenUsed/>
    <w:rsid w:val="00026ec6"/>
    <w:pPr>
      <w:spacing w:before="0" w:after="100"/>
    </w:pPr>
    <w:rPr/>
  </w:style>
  <w:style w:type="paragraph" w:styleId="24" w:customStyle="1">
    <w:name w:val="Обычный (веб)2"/>
    <w:basedOn w:val="Normal"/>
    <w:qFormat/>
    <w:rsid w:val="00597ace"/>
    <w:pPr>
      <w:suppressAutoHyphens w:val="true"/>
      <w:spacing w:lineRule="auto" w:line="240" w:before="85" w:after="85"/>
      <w:ind w:left="85" w:right="85" w:hanging="0"/>
    </w:pPr>
    <w:rPr>
      <w:rFonts w:ascii="Times New Roman" w:hAnsi="Times New Roman" w:eastAsia="Times New Roman" w:cs="Times New Roman"/>
      <w:sz w:val="24"/>
      <w:szCs w:val="24"/>
      <w:lang w:eastAsia="zh-CN"/>
    </w:rPr>
  </w:style>
  <w:style w:type="paragraph" w:styleId="16" w:customStyle="1">
    <w:name w:val="Абзац списка1"/>
    <w:basedOn w:val="Normal"/>
    <w:qFormat/>
    <w:rsid w:val="00916d29"/>
    <w:pPr>
      <w:suppressAutoHyphens w:val="true"/>
      <w:spacing w:lineRule="auto" w:line="276" w:before="0" w:after="200"/>
      <w:ind w:left="720" w:hanging="0"/>
      <w:contextualSpacing/>
    </w:pPr>
    <w:rPr>
      <w:rFonts w:ascii="Calibri" w:hAnsi="Calibri" w:eastAsia="Times New Roman" w:cs="Calibri"/>
      <w:lang w:eastAsia="zh-CN"/>
    </w:rPr>
  </w:style>
  <w:style w:type="paragraph" w:styleId="25">
    <w:name w:val="Оглавление 2"/>
    <w:basedOn w:val="Normal"/>
    <w:autoRedefine/>
    <w:uiPriority w:val="39"/>
    <w:unhideWhenUsed/>
    <w:rsid w:val="008b1a7e"/>
    <w:pPr>
      <w:spacing w:before="0" w:after="100"/>
      <w:ind w:left="220" w:hanging="0"/>
    </w:pPr>
    <w:rPr/>
  </w:style>
  <w:style w:type="paragraph" w:styleId="26" w:customStyle="1">
    <w:name w:val="Обычный 2 таблица"/>
    <w:basedOn w:val="Normal"/>
    <w:qFormat/>
    <w:rsid w:val="00905d41"/>
    <w:pPr>
      <w:suppressAutoHyphens w:val="true"/>
      <w:spacing w:lineRule="auto" w:line="360"/>
    </w:pPr>
    <w:rPr>
      <w:rFonts w:ascii="Calibri" w:hAnsi="Calibri" w:eastAsia="Calibri" w:cs="font284"/>
      <w:sz w:val="28"/>
      <w:szCs w:val="28"/>
    </w:rPr>
  </w:style>
  <w:style w:type="paragraph" w:styleId="34" w:customStyle="1">
    <w:name w:val="Обычный (веб)3"/>
    <w:basedOn w:val="Normal"/>
    <w:qFormat/>
    <w:rsid w:val="00b50eb2"/>
    <w:pPr>
      <w:suppressAutoHyphens w:val="true"/>
      <w:spacing w:lineRule="auto" w:line="240" w:before="280" w:after="280"/>
    </w:pPr>
    <w:rPr>
      <w:rFonts w:ascii="Times New Roman" w:hAnsi="Times New Roman" w:eastAsia="Calibri" w:cs="Times New Roman"/>
      <w:sz w:val="24"/>
      <w:szCs w:val="24"/>
      <w:lang w:eastAsia="zh-CN"/>
    </w:rPr>
  </w:style>
  <w:style w:type="paragraph" w:styleId="Style34" w:customStyle="1">
    <w:name w:val="_Список тире"/>
    <w:basedOn w:val="Normal"/>
    <w:link w:val="afa"/>
    <w:uiPriority w:val="99"/>
    <w:qFormat/>
    <w:rsid w:val="008161c7"/>
    <w:pPr>
      <w:spacing w:lineRule="auto" w:line="360" w:before="0" w:after="0"/>
      <w:contextualSpacing/>
      <w:jc w:val="both"/>
    </w:pPr>
    <w:rPr>
      <w:rFonts w:ascii="Times New Roman" w:hAnsi="Times New Roman" w:eastAsia="Calibri" w:cs="Times New Roman"/>
      <w:sz w:val="24"/>
      <w:szCs w:val="28"/>
    </w:rPr>
  </w:style>
  <w:style w:type="paragraph" w:styleId="BalloonText">
    <w:name w:val="Balloon Text"/>
    <w:basedOn w:val="Normal"/>
    <w:link w:val="afc"/>
    <w:uiPriority w:val="99"/>
    <w:semiHidden/>
    <w:unhideWhenUsed/>
    <w:qFormat/>
    <w:rsid w:val="002b356e"/>
    <w:pPr>
      <w:spacing w:lineRule="auto" w:line="240" w:before="0" w:after="0"/>
    </w:pPr>
    <w:rPr>
      <w:rFonts w:ascii="Tahoma" w:hAnsi="Tahoma" w:cs="Tahoma"/>
      <w:sz w:val="16"/>
      <w:szCs w:val="16"/>
    </w:rPr>
  </w:style>
  <w:style w:type="paragraph" w:styleId="BodyTextIndent2">
    <w:name w:val="Body Text Indent 2"/>
    <w:basedOn w:val="Normal"/>
    <w:link w:val="25"/>
    <w:uiPriority w:val="99"/>
    <w:unhideWhenUsed/>
    <w:qFormat/>
    <w:rsid w:val="00381975"/>
    <w:pPr>
      <w:spacing w:lineRule="auto" w:line="480" w:before="0" w:after="120"/>
      <w:ind w:left="283" w:hanging="0"/>
    </w:pPr>
    <w:rPr/>
  </w:style>
  <w:style w:type="paragraph" w:styleId="Style110" w:customStyle="1">
    <w:name w:val="Style1"/>
    <w:basedOn w:val="Normal"/>
    <w:qFormat/>
    <w:rsid w:val="00381975"/>
    <w:pPr>
      <w:widowControl w:val="false"/>
      <w:suppressAutoHyphens w:val="true"/>
      <w:spacing w:lineRule="exact" w:line="322" w:before="0" w:after="0"/>
      <w:ind w:firstLine="696"/>
      <w:jc w:val="both"/>
    </w:pPr>
    <w:rPr>
      <w:color w:val="00000A"/>
    </w:rPr>
  </w:style>
  <w:style w:type="paragraph" w:styleId="Style51" w:customStyle="1">
    <w:name w:val="Style5"/>
    <w:basedOn w:val="Normal"/>
    <w:qFormat/>
    <w:rsid w:val="00381975"/>
    <w:pPr>
      <w:widowControl w:val="false"/>
      <w:suppressAutoHyphens w:val="true"/>
      <w:spacing w:lineRule="exact" w:line="322" w:before="0" w:after="0"/>
      <w:ind w:firstLine="763"/>
    </w:pPr>
    <w:rPr>
      <w:color w:val="00000A"/>
    </w:rPr>
  </w:style>
  <w:style w:type="paragraph" w:styleId="S1" w:customStyle="1">
    <w:name w:val="s_1"/>
    <w:basedOn w:val="Normal"/>
    <w:qFormat/>
    <w:rsid w:val="00d90bd3"/>
    <w:pPr>
      <w:spacing w:lineRule="auto" w:line="240" w:beforeAutospacing="1" w:afterAutospacing="1"/>
    </w:pPr>
    <w:rPr>
      <w:rFonts w:ascii="Times New Roman" w:hAnsi="Times New Roman" w:eastAsia="Times New Roman" w:cs="Times New Roman"/>
      <w:sz w:val="24"/>
      <w:szCs w:val="24"/>
      <w:lang w:eastAsia="ru-RU"/>
    </w:rPr>
  </w:style>
  <w:style w:type="paragraph" w:styleId="Style35">
    <w:name w:val="Блочная цитата"/>
    <w:basedOn w:val="Normal"/>
    <w:qFormat/>
    <w:pPr/>
    <w:rPr/>
  </w:style>
  <w:style w:type="paragraph" w:styleId="Style36">
    <w:name w:val="Заглавие"/>
    <w:basedOn w:val="Style21"/>
    <w:pPr/>
    <w:rPr/>
  </w:style>
  <w:style w:type="paragraph" w:styleId="Style37">
    <w:name w:val="Подзаголовок"/>
    <w:basedOn w:val="Style21"/>
    <w:pPr/>
    <w:rPr/>
  </w:style>
  <w:style w:type="paragraph" w:styleId="Style38">
    <w:name w:val="Заголовок таблицы"/>
    <w:basedOn w:val="Style26"/>
    <w:qFormat/>
    <w:pPr/>
    <w:rPr/>
  </w:style>
  <w:style w:type="numbering" w:styleId="NoList" w:default="1">
    <w:name w:val="No List"/>
    <w:uiPriority w:val="99"/>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table" w:styleId="a9">
    <w:name w:val="Table Grid"/>
    <w:basedOn w:val="a2"/>
    <w:uiPriority w:val="39"/>
    <w:rsid w:val="00e07d8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Normal">
    <w:name w:val="Table Normal"/>
    <w:uiPriority w:val="2"/>
    <w:semiHidden/>
    <w:unhideWhenUsed/>
    <w:qFormat/>
    <w:rsid w:val="00fc39d2"/>
    <w:pPr>
      <w:spacing w:after="0" w:line="240" w:lineRule="auto"/>
    </w:pPr>
    <w:rPr>
      <w:lang w:val="en-US"/>
    </w:rPr>
    <w:tblPr>
      <w:tblInd w:w="0" w:type="dxa"/>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chart" Target="charts/chart16.xml"/><Relationship Id="rId4" Type="http://schemas.openxmlformats.org/officeDocument/2006/relationships/chart" Target="charts/chart17.xml"/><Relationship Id="rId5" Type="http://schemas.openxmlformats.org/officeDocument/2006/relationships/chart" Target="charts/chart18.xml"/><Relationship Id="rId6" Type="http://schemas.openxmlformats.org/officeDocument/2006/relationships/chart" Target="charts/chart19.xml"/><Relationship Id="rId7" Type="http://schemas.openxmlformats.org/officeDocument/2006/relationships/chart" Target="charts/chart20.xml"/><Relationship Id="rId8" Type="http://schemas.openxmlformats.org/officeDocument/2006/relationships/chart" Target="charts/chart21.xml"/><Relationship Id="rId9" Type="http://schemas.openxmlformats.org/officeDocument/2006/relationships/chart" Target="charts/chart22.xml"/><Relationship Id="rId10" Type="http://schemas.openxmlformats.org/officeDocument/2006/relationships/chart" Target="charts/chart23.xml"/><Relationship Id="rId11" Type="http://schemas.openxmlformats.org/officeDocument/2006/relationships/chart" Target="charts/chart24.xml"/><Relationship Id="rId12" Type="http://schemas.openxmlformats.org/officeDocument/2006/relationships/chart" Target="charts/chart25.xml"/><Relationship Id="rId13" Type="http://schemas.openxmlformats.org/officeDocument/2006/relationships/chart" Target="charts/chart26.xml"/><Relationship Id="rId14" Type="http://schemas.openxmlformats.org/officeDocument/2006/relationships/chart" Target="charts/chart27.xml"/><Relationship Id="rId15" Type="http://schemas.openxmlformats.org/officeDocument/2006/relationships/chart" Target="charts/chart28.xml"/><Relationship Id="rId16" Type="http://schemas.openxmlformats.org/officeDocument/2006/relationships/chart" Target="charts/chart29.xml"/><Relationship Id="rId17" Type="http://schemas.openxmlformats.org/officeDocument/2006/relationships/chart" Target="charts/chart30.xml"/><Relationship Id="rId18" Type="http://schemas.openxmlformats.org/officeDocument/2006/relationships/hyperlink" Target="garantf1://12077515.0" TargetMode="External"/><Relationship Id="rId19" Type="http://schemas.openxmlformats.org/officeDocument/2006/relationships/hyperlink" Target="garantf1://12077515.0" TargetMode="External"/><Relationship Id="rId20" Type="http://schemas.openxmlformats.org/officeDocument/2006/relationships/hyperlink" Target="garantf1://86367.0" TargetMode="External"/><Relationship Id="rId21" Type="http://schemas.openxmlformats.org/officeDocument/2006/relationships/image" Target="media/image2.jpeg"/><Relationship Id="rId22" Type="http://schemas.openxmlformats.org/officeDocument/2006/relationships/image" Target="media/image3.jpeg"/><Relationship Id="rId23" Type="http://schemas.openxmlformats.org/officeDocument/2006/relationships/image" Target="media/image4.jpeg"/><Relationship Id="rId24" Type="http://schemas.openxmlformats.org/officeDocument/2006/relationships/header" Target="header1.xml"/><Relationship Id="rId25" Type="http://schemas.openxmlformats.org/officeDocument/2006/relationships/numbering" Target="numbering.xml"/><Relationship Id="rId26" Type="http://schemas.openxmlformats.org/officeDocument/2006/relationships/fontTable" Target="fontTable.xml"/><Relationship Id="rId27" Type="http://schemas.openxmlformats.org/officeDocument/2006/relationships/settings" Target="settings.xml"/><Relationship Id="rId28" Type="http://schemas.openxmlformats.org/officeDocument/2006/relationships/theme" Target="theme/theme1.xml"/><Relationship Id="rId29" Type="http://schemas.openxmlformats.org/officeDocument/2006/relationships/customXml" Target="../customXml/item1.xml"/>
</Relationships>
</file>

<file path=word/charts/_rels/chart16.xml.rels><?xml version="1.0" encoding="UTF-8"?>
<Relationships xmlns="http://schemas.openxmlformats.org/package/2006/relationships"><Relationship Id="rId1" Type="http://schemas.openxmlformats.org/officeDocument/2006/relationships/package" Target="../embeddings/_____Microsoft_Excel.xlsx"/>
</Relationships>
</file>

<file path=word/charts/_rels/chart17.xml.rels><?xml version="1.0" encoding="UTF-8"?>
<Relationships xmlns="http://schemas.openxmlformats.org/package/2006/relationships"><Relationship Id="rId1" Type="http://schemas.openxmlformats.org/officeDocument/2006/relationships/package" Target="../embeddings/_____Microsoft_Excel1.xlsx"/>
</Relationships>
</file>

<file path=word/charts/_rels/chart18.xml.rels><?xml version="1.0" encoding="UTF-8"?>
<Relationships xmlns="http://schemas.openxmlformats.org/package/2006/relationships"><Relationship Id="rId1" Type="http://schemas.openxmlformats.org/officeDocument/2006/relationships/package" Target="../embeddings/_____Microsoft_Excel2.xlsx"/>
</Relationships>
</file>

<file path=word/charts/_rels/chart19.xml.rels><?xml version="1.0" encoding="UTF-8"?>
<Relationships xmlns="http://schemas.openxmlformats.org/package/2006/relationships"><Relationship Id="rId1" Type="http://schemas.openxmlformats.org/officeDocument/2006/relationships/package" Target="../embeddings/_____Microsoft_Excel3.xlsx"/>
</Relationships>
</file>

<file path=word/charts/_rels/chart21.xml.rels><?xml version="1.0" encoding="UTF-8"?>
<Relationships xmlns="http://schemas.openxmlformats.org/package/2006/relationships"><Relationship Id="rId1" Type="http://schemas.openxmlformats.org/officeDocument/2006/relationships/package" Target="../embeddings/_____Microsoft_Excel4.xlsx"/>
</Relationships>
</file>

<file path=word/charts/_rels/chart22.xml.rels><?xml version="1.0" encoding="UTF-8"?>
<Relationships xmlns="http://schemas.openxmlformats.org/package/2006/relationships"><Relationship Id="rId1" Type="http://schemas.openxmlformats.org/officeDocument/2006/relationships/package" Target="../embeddings/_____Microsoft_Excel5.xlsx"/>
</Relationships>
</file>

<file path=word/charts/_rels/chart23.xml.rels><?xml version="1.0" encoding="UTF-8"?>
<Relationships xmlns="http://schemas.openxmlformats.org/package/2006/relationships"><Relationship Id="rId1" Type="http://schemas.openxmlformats.org/officeDocument/2006/relationships/package" Target="../embeddings/_____Microsoft_Excel6.xlsx"/>
</Relationships>
</file>

<file path=word/charts/_rels/chart24.xml.rels><?xml version="1.0" encoding="UTF-8"?>
<Relationships xmlns="http://schemas.openxmlformats.org/package/2006/relationships"><Relationship Id="rId1" Type="http://schemas.openxmlformats.org/officeDocument/2006/relationships/package" Target="../embeddings/_____Microsoft_Excel7.xlsx"/>
</Relationships>
</file>

<file path=word/charts/_rels/chart25.xml.rels><?xml version="1.0" encoding="UTF-8"?>
<Relationships xmlns="http://schemas.openxmlformats.org/package/2006/relationships"><Relationship Id="rId1" Type="http://schemas.openxmlformats.org/officeDocument/2006/relationships/package" Target="../embeddings/_____Microsoft_Excel8.xlsx"/>
</Relationships>
</file>

<file path=word/charts/_rels/chart26.xml.rels><?xml version="1.0" encoding="UTF-8"?>
<Relationships xmlns="http://schemas.openxmlformats.org/package/2006/relationships"><Relationship Id="rId1" Type="http://schemas.openxmlformats.org/officeDocument/2006/relationships/package" Target="../embeddings/_____Microsoft_Excel9.xlsx"/>
</Relationships>
</file>

<file path=word/charts/_rels/chart27.xml.rels><?xml version="1.0" encoding="UTF-8"?>
<Relationships xmlns="http://schemas.openxmlformats.org/package/2006/relationships"><Relationship Id="rId1" Type="http://schemas.openxmlformats.org/officeDocument/2006/relationships/package" Target="../embeddings/_____Microsoft_Excel10.xlsx"/>
</Relationships>
</file>

<file path=word/charts/_rels/chart29.xml.rels><?xml version="1.0" encoding="UTF-8"?>
<Relationships xmlns="http://schemas.openxmlformats.org/package/2006/relationships"><Relationship Id="rId1" Type="http://schemas.openxmlformats.org/officeDocument/2006/relationships/package" Target="../embeddings/_____Microsoft_Excel11.xlsx"/>
</Relationships>
</file>

<file path=word/charts/_rels/chart30.xml.rels><?xml version="1.0" encoding="UTF-8"?>
<Relationships xmlns="http://schemas.openxmlformats.org/package/2006/relationships"><Relationship Id="rId1" Type="http://schemas.openxmlformats.org/officeDocument/2006/relationships/package" Target="../embeddings/_____Microsoft_Excel12.xlsx"/>
</Relationships>
</file>

<file path=word/charts/chart16.xml><?xml version="1.0" encoding="utf-8"?>
<c:chartSpace xmlns:c="http://schemas.openxmlformats.org/drawingml/2006/chart" xmlns:a="http://schemas.openxmlformats.org/drawingml/2006/main" xmlns:r="http://schemas.openxmlformats.org/officeDocument/2006/relationships">
  <c:lang val="en-US"/>
  <c:chart>
    <c:plotArea>
      <c:layout/>
      <c:pieChart>
        <c:varyColors val="1"/>
        <c:ser>
          <c:idx val="0"/>
          <c:order val="0"/>
          <c:tx>
            <c:strRef>
              <c:f>label 0</c:f>
              <c:strCache>
                <c:ptCount val="1"/>
                <c:pt idx="0">
                  <c:v>%</c:v>
                </c:pt>
              </c:strCache>
            </c:strRef>
          </c:tx>
          <c:spPr>
            <a:solidFill>
              <a:srgbClr val="4472c4"/>
            </a:solidFill>
            <a:ln>
              <a:noFill/>
            </a:ln>
          </c:spPr>
          <c:explosion val="9"/>
          <c:dPt>
            <c:idx val="0"/>
            <c:spPr>
              <a:ln>
                <a:noFill/>
              </a:ln>
            </c:spPr>
          </c:dPt>
          <c:dPt>
            <c:idx val="1"/>
            <c:spPr>
              <a:ln>
                <a:noFill/>
              </a:ln>
            </c:spPr>
          </c:dPt>
          <c:dPt>
            <c:idx val="2"/>
            <c:spPr>
              <a:ln>
                <a:noFill/>
              </a:ln>
            </c:spPr>
          </c:dPt>
          <c:dPt>
            <c:idx val="3"/>
            <c:spPr>
              <a:ln>
                <a:noFill/>
              </a:ln>
            </c:spPr>
          </c:dPt>
          <c:dPt>
            <c:idx val="4"/>
            <c:spPr>
              <a:ln>
                <a:noFill/>
              </a:ln>
            </c:spPr>
          </c:dPt>
          <c:dPt>
            <c:idx val="5"/>
            <c:spPr>
              <a:ln>
                <a:noFill/>
              </a:ln>
            </c:spPr>
          </c:dPt>
          <c:dPt>
            <c:idx val="6"/>
            <c:spPr>
              <a:ln>
                <a:noFill/>
              </a:ln>
            </c:spPr>
          </c:dPt>
          <c:dPt>
            <c:idx val="7"/>
            <c:spPr>
              <a:ln>
                <a:noFill/>
              </a:ln>
            </c:spPr>
          </c:dPt>
          <c:dLbls>
            <c:dLbl>
              <c:idx val="0"/>
              <c:dLblPos val="bestFit"/>
              <c:showLegendKey val="0"/>
              <c:showVal val="1"/>
              <c:showCatName val="0"/>
              <c:showSerName val="0"/>
              <c:showPercent val="0"/>
            </c:dLbl>
            <c:dLbl>
              <c:idx val="1"/>
              <c:dLblPos val="bestFit"/>
              <c:showLegendKey val="0"/>
              <c:showVal val="1"/>
              <c:showCatName val="0"/>
              <c:showSerName val="0"/>
              <c:showPercent val="0"/>
            </c:dLbl>
            <c:dLbl>
              <c:idx val="2"/>
              <c:dLblPos val="bestFit"/>
              <c:showLegendKey val="0"/>
              <c:showVal val="1"/>
              <c:showCatName val="0"/>
              <c:showSerName val="0"/>
              <c:showPercent val="0"/>
            </c:dLbl>
            <c:dLbl>
              <c:idx val="3"/>
              <c:dLblPos val="bestFit"/>
              <c:showLegendKey val="0"/>
              <c:showVal val="1"/>
              <c:showCatName val="0"/>
              <c:showSerName val="0"/>
              <c:showPercent val="0"/>
            </c:dLbl>
            <c:dLbl>
              <c:idx val="4"/>
              <c:dLblPos val="bestFit"/>
              <c:showLegendKey val="0"/>
              <c:showVal val="1"/>
              <c:showCatName val="0"/>
              <c:showSerName val="0"/>
              <c:showPercent val="0"/>
            </c:dLbl>
            <c:dLbl>
              <c:idx val="5"/>
              <c:dLblPos val="bestFit"/>
              <c:showLegendKey val="0"/>
              <c:showVal val="1"/>
              <c:showCatName val="0"/>
              <c:showSerName val="0"/>
              <c:showPercent val="0"/>
            </c:dLbl>
            <c:dLbl>
              <c:idx val="6"/>
              <c:dLblPos val="bestFit"/>
              <c:showLegendKey val="0"/>
              <c:showVal val="1"/>
              <c:showCatName val="0"/>
              <c:showSerName val="0"/>
              <c:showPercent val="0"/>
            </c:dLbl>
            <c:dLbl>
              <c:idx val="7"/>
              <c:dLblPos val="bestFit"/>
              <c:showLegendKey val="0"/>
              <c:showVal val="1"/>
              <c:showCatName val="0"/>
              <c:showSerName val="0"/>
              <c:showPercent val="0"/>
            </c:dLbl>
            <c:dLblPos val="outEnd"/>
            <c:showLegendKey val="0"/>
            <c:showVal val="1"/>
            <c:showCatName val="0"/>
            <c:showSerName val="0"/>
            <c:showPercent val="0"/>
          </c:dLbls>
          <c:cat>
            <c:strRef>
              <c:f>categories</c:f>
              <c:strCache>
                <c:ptCount val="8"/>
                <c:pt idx="0">
                  <c:v>Розничная торговля и общественное питание</c:v>
                </c:pt>
                <c:pt idx="1">
                  <c:v>Здравоохронение и предосталение социальных услуг</c:v>
                </c:pt>
                <c:pt idx="2">
                  <c:v>Строительство</c:v>
                </c:pt>
                <c:pt idx="3">
                  <c:v>Производство, передача и распределение электроэнергии, газа, воды</c:v>
                </c:pt>
                <c:pt idx="4">
                  <c:v>Обрабатывающие производства</c:v>
                </c:pt>
                <c:pt idx="5">
                  <c:v>Транспорт и связь</c:v>
                </c:pt>
                <c:pt idx="6">
                  <c:v>Образование</c:v>
                </c:pt>
                <c:pt idx="7">
                  <c:v>Прочее</c:v>
                </c:pt>
              </c:strCache>
            </c:strRef>
          </c:cat>
          <c:val>
            <c:numRef>
              <c:f>0</c:f>
              <c:numCache>
                <c:formatCode>General</c:formatCode>
                <c:ptCount val="8"/>
                <c:pt idx="0">
                  <c:v>37.47</c:v>
                </c:pt>
                <c:pt idx="1">
                  <c:v>26.62</c:v>
                </c:pt>
                <c:pt idx="2">
                  <c:v>18.36</c:v>
                </c:pt>
                <c:pt idx="3">
                  <c:v>4.25</c:v>
                </c:pt>
                <c:pt idx="4">
                  <c:v>0.89</c:v>
                </c:pt>
                <c:pt idx="5">
                  <c:v>0.85</c:v>
                </c:pt>
                <c:pt idx="6">
                  <c:v>0.56</c:v>
                </c:pt>
                <c:pt idx="7">
                  <c:v>11.01</c:v>
                </c:pt>
              </c:numCache>
            </c:numRef>
          </c:val>
        </c:ser>
        <c:firstSliceAng val="0"/>
      </c:pieChart>
      <c:spPr>
        <a:noFill/>
        <a:ln>
          <a:noFill/>
        </a:ln>
      </c:spPr>
    </c:plotArea>
    <c:legend>
      <c:spPr>
        <a:noFill/>
        <a:ln>
          <a:noFill/>
        </a:ln>
      </c:spPr>
    </c:legend>
    <c:plotVisOnly val="1"/>
  </c:chart>
  <c:spPr>
    <a:solidFill>
      <a:srgbClr val="ffffff"/>
    </a:solidFill>
    <a:ln w="9360">
      <a:solidFill>
        <a:srgbClr val="d9d9d9"/>
      </a:solidFill>
      <a:round/>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clustered"/>
        <c:ser>
          <c:idx val="0"/>
          <c:order val="0"/>
          <c:tx>
            <c:strRef>
              <c:f>label 0</c:f>
              <c:strCache>
                <c:ptCount val="1"/>
                <c:pt idx="0">
                  <c:v>Ряд 1</c:v>
                </c:pt>
              </c:strCache>
            </c:strRef>
          </c:tx>
          <c:spPr>
            <a:ln>
              <a:noFill/>
            </a:ln>
          </c:spPr>
          <c:dLbls>
            <c:dLblPos val="ctr"/>
            <c:showLegendKey val="0"/>
            <c:showVal val="0"/>
            <c:showCatName val="0"/>
            <c:showSerName val="0"/>
            <c:showPercent val="0"/>
          </c:dLbls>
          <c:cat>
            <c:strRef>
              <c:f>categories</c:f>
              <c:strCache>
                <c:ptCount val="5"/>
                <c:pt idx="0">
                  <c:v>2014</c:v>
                </c:pt>
                <c:pt idx="1">
                  <c:v>2015</c:v>
                </c:pt>
                <c:pt idx="2">
                  <c:v>2016</c:v>
                </c:pt>
                <c:pt idx="3">
                  <c:v>2017</c:v>
                </c:pt>
                <c:pt idx="4">
                  <c:v>2018</c:v>
                </c:pt>
              </c:strCache>
            </c:strRef>
          </c:cat>
          <c:val>
            <c:numRef>
              <c:f>0</c:f>
              <c:numCache>
                <c:formatCode>General</c:formatCode>
                <c:ptCount val="5"/>
                <c:pt idx="0">
                  <c:v>106931</c:v>
                </c:pt>
                <c:pt idx="1">
                  <c:v>107959</c:v>
                </c:pt>
                <c:pt idx="2">
                  <c:v>110411</c:v>
                </c:pt>
                <c:pt idx="3">
                  <c:v>116490</c:v>
                </c:pt>
                <c:pt idx="4">
                  <c:v>121777</c:v>
                </c:pt>
              </c:numCache>
            </c:numRef>
          </c:val>
        </c:ser>
        <c:gapWidth val="100"/>
        <c:overlap val="-24"/>
        <c:axId val="79574784"/>
        <c:axId val="63251355"/>
      </c:barChart>
      <c:catAx>
        <c:axId val="79574784"/>
        <c:scaling>
          <c:orientation val="minMax"/>
        </c:scaling>
        <c:delete val="0"/>
        <c:axPos val="b"/>
        <c:majorTickMark val="none"/>
        <c:minorTickMark val="none"/>
        <c:tickLblPos val="nextTo"/>
        <c:spPr>
          <a:ln w="12600">
            <a:solidFill>
              <a:srgbClr val="d9d9d9"/>
            </a:solidFill>
            <a:round/>
          </a:ln>
        </c:spPr>
        <c:crossAx val="63251355"/>
        <c:crosses val="autoZero"/>
        <c:auto val="1"/>
        <c:lblAlgn val="ctr"/>
        <c:lblOffset val="100"/>
      </c:catAx>
      <c:valAx>
        <c:axId val="63251355"/>
        <c:scaling>
          <c:orientation val="minMax"/>
        </c:scaling>
        <c:delete val="0"/>
        <c:axPos val="l"/>
        <c:majorGridlines>
          <c:spPr>
            <a:ln w="9360">
              <a:solidFill>
                <a:srgbClr val="d9d9d9"/>
              </a:solidFill>
              <a:round/>
            </a:ln>
          </c:spPr>
        </c:majorGridlines>
        <c:majorTickMark val="none"/>
        <c:minorTickMark val="none"/>
        <c:tickLblPos val="nextTo"/>
        <c:spPr>
          <a:ln w="6480">
            <a:noFill/>
          </a:ln>
        </c:spPr>
        <c:crossAx val="79574784"/>
        <c:crosses val="autoZero"/>
      </c:valAx>
      <c:spPr>
        <a:noFill/>
        <a:ln>
          <a:noFill/>
        </a:ln>
      </c:spPr>
    </c:plotArea>
    <c:plotVisOnly val="1"/>
  </c:chart>
  <c:spPr>
    <a:solidFill>
      <a:srgbClr val="ffffff"/>
    </a:solidFill>
    <a:ln w="9360">
      <a:solidFill>
        <a:srgbClr val="d9d9d9"/>
      </a:solidFill>
      <a:round/>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en-US"/>
  <c:chart>
    <c:view3D>
      <c:rotX val="15"/>
      <c:rotY val="20"/>
      <c:rAngAx val="1"/>
      <c:perspective val="30"/>
    </c:view3D>
    <c:floor>
      <c:spPr>
        <a:noFill/>
        <a:ln w="6480">
          <a:noFill/>
        </a:ln>
      </c:spPr>
    </c:floor>
    <c:backWall>
      <c:spPr>
        <a:noFill/>
        <a:ln w="6480">
          <a:noFill/>
        </a:ln>
      </c:spPr>
    </c:backWall>
    <c:plotArea>
      <c:layout/>
      <c:bar3DChart>
        <c:barDir val="col"/>
        <c:grouping val="clustered"/>
        <c:ser>
          <c:idx val="0"/>
          <c:order val="0"/>
          <c:tx>
            <c:strRef>
              <c:f>label 0</c:f>
              <c:strCache>
                <c:ptCount val="1"/>
                <c:pt idx="0">
                  <c:v>Ряд 1</c:v>
                </c:pt>
              </c:strCache>
            </c:strRef>
          </c:tx>
          <c:spPr>
            <a:ln>
              <a:noFill/>
            </a:ln>
          </c:spPr>
          <c:dLbls>
            <c:showLegendKey val="0"/>
            <c:showVal val="1"/>
            <c:showCatName val="0"/>
            <c:showSerName val="0"/>
            <c:showPercent val="0"/>
          </c:dLbls>
          <c:cat>
            <c:strRef>
              <c:f>categories</c:f>
              <c:strCache>
                <c:ptCount val="9"/>
                <c:pt idx="0">
                  <c:v>2010</c:v>
                </c:pt>
                <c:pt idx="1">
                  <c:v>2011</c:v>
                </c:pt>
                <c:pt idx="2">
                  <c:v>2012</c:v>
                </c:pt>
                <c:pt idx="3">
                  <c:v>2013</c:v>
                </c:pt>
                <c:pt idx="4">
                  <c:v>2014</c:v>
                </c:pt>
                <c:pt idx="5">
                  <c:v>2015</c:v>
                </c:pt>
                <c:pt idx="6">
                  <c:v>2016</c:v>
                </c:pt>
                <c:pt idx="7">
                  <c:v>2017</c:v>
                </c:pt>
                <c:pt idx="8">
                  <c:v>2018</c:v>
                </c:pt>
              </c:strCache>
            </c:strRef>
          </c:cat>
          <c:val>
            <c:numRef>
              <c:f>0</c:f>
              <c:numCache>
                <c:formatCode>General</c:formatCode>
                <c:ptCount val="9"/>
                <c:pt idx="0">
                  <c:v>774.164133738602</c:v>
                </c:pt>
                <c:pt idx="1">
                  <c:v>1018.8</c:v>
                </c:pt>
                <c:pt idx="2">
                  <c:v>1037.9</c:v>
                </c:pt>
                <c:pt idx="3">
                  <c:v>1059.8</c:v>
                </c:pt>
                <c:pt idx="4">
                  <c:v>795.7</c:v>
                </c:pt>
                <c:pt idx="5">
                  <c:v>560.7</c:v>
                </c:pt>
                <c:pt idx="6">
                  <c:v>345.1</c:v>
                </c:pt>
                <c:pt idx="7">
                  <c:v>331.9</c:v>
                </c:pt>
                <c:pt idx="8">
                  <c:v>121.6</c:v>
                </c:pt>
              </c:numCache>
            </c:numRef>
          </c:val>
        </c:ser>
        <c:gapWidth val="150"/>
        <c:shape val="box"/>
        <c:axId val="98087129"/>
        <c:axId val="91031847"/>
        <c:axId val="0"/>
      </c:bar3DChart>
      <c:catAx>
        <c:axId val="98087129"/>
        <c:scaling>
          <c:orientation val="minMax"/>
        </c:scaling>
        <c:delete val="0"/>
        <c:axPos val="b"/>
        <c:majorTickMark val="none"/>
        <c:minorTickMark val="none"/>
        <c:tickLblPos val="nextTo"/>
        <c:spPr>
          <a:ln w="12600">
            <a:solidFill>
              <a:srgbClr val="d9d9d9"/>
            </a:solidFill>
            <a:round/>
          </a:ln>
        </c:spPr>
        <c:crossAx val="91031847"/>
        <c:crosses val="autoZero"/>
        <c:auto val="1"/>
        <c:lblAlgn val="ctr"/>
        <c:lblOffset val="100"/>
      </c:catAx>
      <c:valAx>
        <c:axId val="91031847"/>
        <c:scaling>
          <c:orientation val="minMax"/>
        </c:scaling>
        <c:delete val="0"/>
        <c:axPos val="l"/>
        <c:majorGridlines>
          <c:spPr>
            <a:ln w="9360">
              <a:solidFill>
                <a:srgbClr val="d9d9d9"/>
              </a:solidFill>
              <a:round/>
            </a:ln>
          </c:spPr>
        </c:majorGridlines>
        <c:majorTickMark val="none"/>
        <c:minorTickMark val="none"/>
        <c:tickLblPos val="nextTo"/>
        <c:spPr>
          <a:ln w="6480">
            <a:noFill/>
          </a:ln>
        </c:spPr>
        <c:crossAx val="98087129"/>
        <c:crosses val="autoZero"/>
      </c:valAx>
      <c:spPr>
        <a:noFill/>
        <a:ln w="6480">
          <a:noFill/>
        </a:ln>
      </c:spPr>
    </c:plotArea>
    <c:plotVisOnly val="1"/>
  </c:chart>
  <c:spPr>
    <a:solidFill>
      <a:srgbClr val="ffffff"/>
    </a:solidFill>
    <a:ln w="9360">
      <a:solidFill>
        <a:srgbClr val="d9d9d9"/>
      </a:solidFill>
      <a:round/>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en-US"/>
  <c:chart>
    <c:view3D>
      <c:rotX val="15"/>
      <c:rotY val="20"/>
      <c:rAngAx val="1"/>
      <c:perspective val="30"/>
    </c:view3D>
    <c:floor>
      <c:spPr>
        <a:noFill/>
        <a:ln w="6480">
          <a:noFill/>
        </a:ln>
      </c:spPr>
    </c:floor>
    <c:backWall>
      <c:spPr>
        <a:noFill/>
        <a:ln w="6480">
          <a:noFill/>
        </a:ln>
      </c:spPr>
    </c:backWall>
    <c:plotArea>
      <c:layout/>
      <c:bar3DChart>
        <c:barDir val="col"/>
        <c:grouping val="clustered"/>
        <c:ser>
          <c:idx val="0"/>
          <c:order val="0"/>
          <c:tx>
            <c:strRef>
              <c:f>label 0</c:f>
              <c:strCache>
                <c:ptCount val="1"/>
                <c:pt idx="0">
                  <c:v>Инвестиции в основной капитал</c:v>
                </c:pt>
              </c:strCache>
            </c:strRef>
          </c:tx>
          <c:spPr>
            <a:ln>
              <a:noFill/>
            </a:ln>
          </c:spPr>
          <c:dLbls>
            <c:showLegendKey val="0"/>
            <c:showVal val="1"/>
            <c:showCatName val="0"/>
            <c:showSerName val="0"/>
            <c:showPercent val="0"/>
          </c:dLbls>
          <c:cat>
            <c:strRef>
              <c:f>categories</c:f>
              <c:strCache>
                <c:ptCount val="9"/>
                <c:pt idx="0">
                  <c:v>2010</c:v>
                </c:pt>
                <c:pt idx="1">
                  <c:v>2011</c:v>
                </c:pt>
                <c:pt idx="2">
                  <c:v>2012</c:v>
                </c:pt>
                <c:pt idx="3">
                  <c:v>2013</c:v>
                </c:pt>
                <c:pt idx="4">
                  <c:v>2014</c:v>
                </c:pt>
                <c:pt idx="5">
                  <c:v>2015</c:v>
                </c:pt>
                <c:pt idx="6">
                  <c:v>2016</c:v>
                </c:pt>
                <c:pt idx="7">
                  <c:v>2017</c:v>
                </c:pt>
                <c:pt idx="8">
                  <c:v>2018</c:v>
                </c:pt>
              </c:strCache>
            </c:strRef>
          </c:cat>
          <c:val>
            <c:numRef>
              <c:f>0</c:f>
              <c:numCache>
                <c:formatCode>General</c:formatCode>
                <c:ptCount val="9"/>
                <c:pt idx="0">
                  <c:v>920.1</c:v>
                </c:pt>
                <c:pt idx="1">
                  <c:v>1201.3</c:v>
                </c:pt>
                <c:pt idx="2">
                  <c:v>1050</c:v>
                </c:pt>
                <c:pt idx="3">
                  <c:v>2111</c:v>
                </c:pt>
                <c:pt idx="4">
                  <c:v>2726.9</c:v>
                </c:pt>
                <c:pt idx="5">
                  <c:v>1527.8</c:v>
                </c:pt>
                <c:pt idx="6">
                  <c:v>878.9</c:v>
                </c:pt>
                <c:pt idx="7">
                  <c:v>1098.6</c:v>
                </c:pt>
                <c:pt idx="8">
                  <c:v>765.2</c:v>
                </c:pt>
              </c:numCache>
            </c:numRef>
          </c:val>
        </c:ser>
        <c:gapWidth val="150"/>
        <c:shape val="box"/>
        <c:axId val="7455991"/>
        <c:axId val="86084044"/>
        <c:axId val="0"/>
      </c:bar3DChart>
      <c:catAx>
        <c:axId val="7455991"/>
        <c:scaling>
          <c:orientation val="minMax"/>
        </c:scaling>
        <c:delete val="0"/>
        <c:axPos val="b"/>
        <c:majorTickMark val="none"/>
        <c:minorTickMark val="none"/>
        <c:tickLblPos val="nextTo"/>
        <c:spPr>
          <a:ln w="12600">
            <a:solidFill>
              <a:srgbClr val="d9d9d9"/>
            </a:solidFill>
            <a:round/>
          </a:ln>
        </c:spPr>
        <c:crossAx val="86084044"/>
        <c:crosses val="autoZero"/>
        <c:auto val="1"/>
        <c:lblAlgn val="ctr"/>
        <c:lblOffset val="100"/>
      </c:catAx>
      <c:valAx>
        <c:axId val="86084044"/>
        <c:scaling>
          <c:orientation val="minMax"/>
        </c:scaling>
        <c:delete val="0"/>
        <c:axPos val="l"/>
        <c:majorGridlines>
          <c:spPr>
            <a:ln w="9360">
              <a:solidFill>
                <a:srgbClr val="d9d9d9"/>
              </a:solidFill>
              <a:round/>
            </a:ln>
          </c:spPr>
        </c:majorGridlines>
        <c:majorTickMark val="none"/>
        <c:minorTickMark val="none"/>
        <c:tickLblPos val="nextTo"/>
        <c:spPr>
          <a:ln w="6480">
            <a:noFill/>
          </a:ln>
        </c:spPr>
        <c:crossAx val="7455991"/>
        <c:crosses val="autoZero"/>
      </c:valAx>
      <c:spPr>
        <a:noFill/>
        <a:ln w="6480">
          <a:noFill/>
        </a:ln>
      </c:spPr>
    </c:plotArea>
    <c:legend>
      <c:legendPos val="b"/>
      <c:overlay val="0"/>
      <c:spPr>
        <a:noFill/>
        <a:ln>
          <a:noFill/>
        </a:ln>
      </c:spPr>
    </c:legend>
    <c:plotVisOnly val="1"/>
  </c:chart>
  <c:spPr>
    <a:solidFill>
      <a:srgbClr val="ffffff"/>
    </a:solidFill>
    <a:ln w="9360">
      <a:solidFill>
        <a:srgbClr val="d9d9d9"/>
      </a:solidFill>
      <a:round/>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en-US"/>
  <c:chart>
    <c:plotArea>
      <c:layout/>
      <c:pieChart>
        <c:varyColors val="1"/>
        <c:ser>
          <c:idx val="0"/>
          <c:order val="0"/>
          <c:tx>
            <c:strRef>
              <c:f>label 0</c:f>
              <c:strCache>
                <c:ptCount val="1"/>
                <c:pt idx="0">
                  <c:v>Продажи</c:v>
                </c:pt>
              </c:strCache>
            </c:strRef>
          </c:tx>
          <c:spPr>
            <a:solidFill>
              <a:srgbClr val="4472c4"/>
            </a:solidFill>
            <a:ln>
              <a:noFill/>
            </a:ln>
          </c:spPr>
          <c:explosion val="0"/>
          <c:dPt>
            <c:idx val="0"/>
            <c:spPr>
              <a:ln>
                <a:noFill/>
              </a:ln>
            </c:spPr>
          </c:dPt>
          <c:dPt>
            <c:idx val="1"/>
            <c:spPr>
              <a:ln>
                <a:noFill/>
              </a:ln>
            </c:spPr>
          </c:dPt>
          <c:dLbls>
            <c:dLbl>
              <c:idx val="0"/>
              <c:dLblPos val="outEnd"/>
              <c:showLegendKey val="0"/>
              <c:showVal val="0"/>
              <c:showCatName val="0"/>
              <c:showSerName val="0"/>
              <c:showPercent val="1"/>
            </c:dLbl>
            <c:dLbl>
              <c:idx val="1"/>
              <c:dLblPos val="outEnd"/>
              <c:showLegendKey val="0"/>
              <c:showVal val="0"/>
              <c:showCatName val="0"/>
              <c:showSerName val="0"/>
              <c:showPercent val="1"/>
            </c:dLbl>
            <c:dLblPos val="outEnd"/>
            <c:showLegendKey val="0"/>
            <c:showVal val="0"/>
            <c:showCatName val="0"/>
            <c:showSerName val="0"/>
            <c:showPercent val="1"/>
          </c:dLbls>
          <c:cat>
            <c:strRef>
              <c:f>categories</c:f>
              <c:strCache>
                <c:ptCount val="2"/>
                <c:pt idx="0">
                  <c:v>Бюджетные инвестиции</c:v>
                </c:pt>
                <c:pt idx="1">
                  <c:v>Частные инвестиции</c:v>
                </c:pt>
              </c:strCache>
            </c:strRef>
          </c:cat>
          <c:val>
            <c:numRef>
              <c:f>0</c:f>
              <c:numCache>
                <c:formatCode>General</c:formatCode>
                <c:ptCount val="2"/>
                <c:pt idx="0">
                  <c:v>0.6663</c:v>
                </c:pt>
                <c:pt idx="1">
                  <c:v>0.3336</c:v>
                </c:pt>
              </c:numCache>
            </c:numRef>
          </c:val>
        </c:ser>
        <c:firstSliceAng val="0"/>
      </c:pieChart>
      <c:spPr>
        <a:noFill/>
        <a:ln>
          <a:noFill/>
        </a:ln>
      </c:spPr>
    </c:plotArea>
    <c:legend>
      <c:legendPos val="b"/>
      <c:overlay val="0"/>
      <c:spPr>
        <a:noFill/>
        <a:ln>
          <a:noFill/>
        </a:ln>
      </c:spPr>
    </c:legend>
    <c:plotVisOnly val="1"/>
  </c:chart>
  <c:spPr>
    <a:solidFill>
      <a:srgbClr val="ffffff"/>
    </a:solidFill>
    <a:ln w="9360">
      <a:solidFill>
        <a:srgbClr val="d9d9d9"/>
      </a:solidFill>
      <a:round/>
    </a:ln>
  </c:spPr>
</c:chartSpace>
</file>

<file path=word/charts/chart21.xml><?xml version="1.0" encoding="utf-8"?>
<c:chartSpace xmlns:c="http://schemas.openxmlformats.org/drawingml/2006/chart" xmlns:a="http://schemas.openxmlformats.org/drawingml/2006/main" xmlns:r="http://schemas.openxmlformats.org/officeDocument/2006/relationships">
  <c:lang val="en-US"/>
  <c:chart>
    <c:plotArea>
      <c:layout/>
      <c:lineChart>
        <c:grouping val="standard"/>
        <c:ser>
          <c:idx val="0"/>
          <c:order val="0"/>
          <c:tx>
            <c:strRef>
              <c:f>label 0</c:f>
              <c:strCache>
                <c:ptCount val="1"/>
                <c:pt idx="0">
                  <c:v>Коэффициент рождаемости</c:v>
                </c:pt>
              </c:strCache>
            </c:strRef>
          </c:tx>
          <c:spPr>
            <a:solidFill>
              <a:srgbClr val="70ad47"/>
            </a:solidFill>
            <a:ln w="28440">
              <a:solidFill>
                <a:srgbClr val="70ad47"/>
              </a:solidFill>
              <a:round/>
            </a:ln>
          </c:spPr>
          <c:marker>
            <c:symbol val="circle"/>
            <c:size val="5"/>
            <c:spPr>
              <a:solidFill>
                <a:srgbClr val="ee4000"/>
              </a:solidFill>
            </c:spPr>
          </c:marker>
          <c:dLbls>
            <c:dLbl>
              <c:idx val="1"/>
              <c:dLblPos val="r"/>
              <c:showLegendKey val="0"/>
              <c:showVal val="1"/>
              <c:showCatName val="0"/>
              <c:showSerName val="0"/>
              <c:showPercent val="0"/>
            </c:dLbl>
            <c:dLblPos val="b"/>
            <c:showLegendKey val="0"/>
            <c:showVal val="1"/>
            <c:showCatName val="0"/>
            <c:showSerName val="0"/>
            <c:showPercent val="0"/>
          </c:dLbls>
          <c:cat>
            <c:strRef>
              <c:f>categories</c:f>
              <c:strCache>
                <c:ptCount val="4"/>
                <c:pt idx="0">
                  <c:v>2015 год</c:v>
                </c:pt>
                <c:pt idx="1">
                  <c:v>2016 год</c:v>
                </c:pt>
                <c:pt idx="2">
                  <c:v>2017 год</c:v>
                </c:pt>
                <c:pt idx="3">
                  <c:v>2018 год</c:v>
                </c:pt>
              </c:strCache>
            </c:strRef>
          </c:cat>
          <c:val>
            <c:numRef>
              <c:f>0</c:f>
              <c:numCache>
                <c:formatCode>General</c:formatCode>
                <c:ptCount val="4"/>
                <c:pt idx="0">
                  <c:v>14.7</c:v>
                </c:pt>
                <c:pt idx="1">
                  <c:v>15.1</c:v>
                </c:pt>
                <c:pt idx="2">
                  <c:v>11.5</c:v>
                </c:pt>
                <c:pt idx="3">
                  <c:v>10.8</c:v>
                </c:pt>
              </c:numCache>
            </c:numRef>
          </c:val>
          <c:smooth val="0"/>
        </c:ser>
        <c:ser>
          <c:idx val="1"/>
          <c:order val="1"/>
          <c:tx>
            <c:strRef>
              <c:f>label 1</c:f>
              <c:strCache>
                <c:ptCount val="1"/>
                <c:pt idx="0">
                  <c:v>Коэффициент смертности</c:v>
                </c:pt>
              </c:strCache>
            </c:strRef>
          </c:tx>
          <c:spPr>
            <a:solidFill>
              <a:srgbClr val="5b9bd5"/>
            </a:solidFill>
            <a:ln w="28440">
              <a:solidFill>
                <a:srgbClr val="5b9bd5"/>
              </a:solidFill>
              <a:round/>
            </a:ln>
          </c:spPr>
          <c:marker>
            <c:symbol val="circle"/>
            <c:size val="5"/>
            <c:spPr>
              <a:solidFill>
                <a:srgbClr val="ee4000"/>
              </a:solidFill>
            </c:spPr>
          </c:marker>
          <c:dLbls>
            <c:dLblPos val="b"/>
            <c:showLegendKey val="0"/>
            <c:showVal val="1"/>
            <c:showCatName val="0"/>
            <c:showSerName val="0"/>
            <c:showPercent val="0"/>
          </c:dLbls>
          <c:cat>
            <c:strRef>
              <c:f>categories</c:f>
              <c:strCache>
                <c:ptCount val="4"/>
                <c:pt idx="0">
                  <c:v>2015 год</c:v>
                </c:pt>
                <c:pt idx="1">
                  <c:v>2016 год</c:v>
                </c:pt>
                <c:pt idx="2">
                  <c:v>2017 год</c:v>
                </c:pt>
                <c:pt idx="3">
                  <c:v>2018 год</c:v>
                </c:pt>
              </c:strCache>
            </c:strRef>
          </c:cat>
          <c:val>
            <c:numRef>
              <c:f>1</c:f>
              <c:numCache>
                <c:formatCode>General</c:formatCode>
                <c:ptCount val="4"/>
                <c:pt idx="0">
                  <c:v>13</c:v>
                </c:pt>
                <c:pt idx="1">
                  <c:v>14.2</c:v>
                </c:pt>
                <c:pt idx="2">
                  <c:v>14.1</c:v>
                </c:pt>
                <c:pt idx="3">
                  <c:v>13.2</c:v>
                </c:pt>
              </c:numCache>
            </c:numRef>
          </c:val>
          <c:smooth val="0"/>
        </c:ser>
        <c:hiLowLines>
          <c:spPr>
            <a:ln>
              <a:noFill/>
            </a:ln>
          </c:spPr>
        </c:hiLowLines>
        <c:upDownBars>
          <c:gapWidth val="150"/>
          <c:upBars/>
          <c:downBars/>
        </c:upDownBars>
        <c:marker val="1"/>
        <c:axId val="22698993"/>
        <c:axId val="32748902"/>
      </c:lineChart>
      <c:catAx>
        <c:axId val="22698993"/>
        <c:scaling>
          <c:orientation val="minMax"/>
        </c:scaling>
        <c:delete val="0"/>
        <c:axPos val="b"/>
        <c:majorTickMark val="none"/>
        <c:minorTickMark val="none"/>
        <c:tickLblPos val="nextTo"/>
        <c:spPr>
          <a:ln w="9360">
            <a:solidFill>
              <a:srgbClr val="d9d9d9"/>
            </a:solidFill>
            <a:round/>
          </a:ln>
        </c:spPr>
        <c:crossAx val="32748902"/>
        <c:crosses val="autoZero"/>
        <c:auto val="1"/>
        <c:lblAlgn val="ctr"/>
        <c:lblOffset val="100"/>
      </c:catAx>
      <c:valAx>
        <c:axId val="32748902"/>
        <c:scaling>
          <c:orientation val="minMax"/>
          <c:max val="18"/>
          <c:min val="9"/>
        </c:scaling>
        <c:delete val="0"/>
        <c:axPos val="l"/>
        <c:majorGridlines>
          <c:spPr>
            <a:ln w="9360">
              <a:solidFill>
                <a:srgbClr val="d9d9d9"/>
              </a:solidFill>
              <a:round/>
            </a:ln>
          </c:spPr>
        </c:majorGridlines>
        <c:majorTickMark val="none"/>
        <c:minorTickMark val="none"/>
        <c:tickLblPos val="nextTo"/>
        <c:spPr>
          <a:ln w="6480">
            <a:noFill/>
          </a:ln>
        </c:spPr>
        <c:crossAx val="22698993"/>
        <c:crosses val="autoZero"/>
      </c:valAx>
      <c:spPr>
        <a:noFill/>
        <a:ln>
          <a:noFill/>
        </a:ln>
      </c:spPr>
    </c:plotArea>
    <c:legend>
      <c:legendPos val="b"/>
      <c:overlay val="0"/>
      <c:spPr>
        <a:noFill/>
        <a:ln>
          <a:noFill/>
        </a:ln>
      </c:spPr>
    </c:legend>
    <c:plotVisOnly val="1"/>
  </c:chart>
  <c:spPr>
    <a:solidFill>
      <a:srgbClr val="ffffff"/>
    </a:solidFill>
    <a:ln w="9360">
      <a:solidFill>
        <a:srgbClr val="d9d9d9"/>
      </a:solidFill>
      <a:round/>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en-US"/>
  <c:chart>
    <c:view3D>
      <c:rotX val="15"/>
      <c:rotY val="20"/>
      <c:rAngAx val="1"/>
      <c:perspective val="30"/>
    </c:view3D>
    <c:floor>
      <c:spPr>
        <a:noFill/>
        <a:ln w="6480">
          <a:noFill/>
        </a:ln>
      </c:spPr>
    </c:floor>
    <c:backWall>
      <c:spPr>
        <a:noFill/>
        <a:ln w="6480">
          <a:noFill/>
        </a:ln>
      </c:spPr>
    </c:backWall>
    <c:plotArea>
      <c:layout/>
      <c:bar3DChart>
        <c:barDir val="col"/>
        <c:grouping val="standard"/>
        <c:ser>
          <c:idx val="0"/>
          <c:order val="0"/>
          <c:tx>
            <c:strRef>
              <c:f>label 0</c:f>
              <c:strCache>
                <c:ptCount val="1"/>
                <c:pt idx="0">
                  <c:v>Россия</c:v>
                </c:pt>
              </c:strCache>
            </c:strRef>
          </c:tx>
          <c:spPr>
            <a:ln>
              <a:noFill/>
            </a:ln>
          </c:spPr>
          <c:dLbls>
            <c:showLegendKey val="0"/>
            <c:showVal val="0"/>
            <c:showCatName val="0"/>
            <c:showSerName val="0"/>
            <c:showPercent val="0"/>
          </c:dLbls>
          <c:cat>
            <c:strRef>
              <c:f>categories</c:f>
              <c:strCache>
                <c:ptCount val="4"/>
                <c:pt idx="0">
                  <c:v>2015</c:v>
                </c:pt>
                <c:pt idx="1">
                  <c:v>2016</c:v>
                </c:pt>
                <c:pt idx="2">
                  <c:v>2017</c:v>
                </c:pt>
                <c:pt idx="3">
                  <c:v>2018</c:v>
                </c:pt>
              </c:strCache>
            </c:strRef>
          </c:cat>
          <c:val>
            <c:numRef>
              <c:f>0</c:f>
              <c:numCache>
                <c:formatCode>General</c:formatCode>
                <c:ptCount val="4"/>
                <c:pt idx="0">
                  <c:v>13.3</c:v>
                </c:pt>
                <c:pt idx="1">
                  <c:v>12.9</c:v>
                </c:pt>
                <c:pt idx="2">
                  <c:v>11.5</c:v>
                </c:pt>
                <c:pt idx="3">
                  <c:v>10.9</c:v>
                </c:pt>
              </c:numCache>
            </c:numRef>
          </c:val>
        </c:ser>
        <c:ser>
          <c:idx val="1"/>
          <c:order val="1"/>
          <c:tx>
            <c:strRef>
              <c:f>label 1</c:f>
              <c:strCache>
                <c:ptCount val="1"/>
                <c:pt idx="0">
                  <c:v>Ставропольский край</c:v>
                </c:pt>
              </c:strCache>
            </c:strRef>
          </c:tx>
          <c:spPr>
            <a:ln>
              <a:noFill/>
            </a:ln>
          </c:spPr>
          <c:dLbls>
            <c:showLegendKey val="0"/>
            <c:showVal val="0"/>
            <c:showCatName val="0"/>
            <c:showSerName val="0"/>
            <c:showPercent val="0"/>
          </c:dLbls>
          <c:cat>
            <c:strRef>
              <c:f>categories</c:f>
              <c:strCache>
                <c:ptCount val="4"/>
                <c:pt idx="0">
                  <c:v>2015</c:v>
                </c:pt>
                <c:pt idx="1">
                  <c:v>2016</c:v>
                </c:pt>
                <c:pt idx="2">
                  <c:v>2017</c:v>
                </c:pt>
                <c:pt idx="3">
                  <c:v>2018</c:v>
                </c:pt>
              </c:strCache>
            </c:strRef>
          </c:cat>
          <c:val>
            <c:numRef>
              <c:f>1</c:f>
              <c:numCache>
                <c:formatCode>General</c:formatCode>
                <c:ptCount val="4"/>
                <c:pt idx="0">
                  <c:v>13</c:v>
                </c:pt>
                <c:pt idx="1">
                  <c:v>13</c:v>
                </c:pt>
                <c:pt idx="2">
                  <c:v>11.5</c:v>
                </c:pt>
                <c:pt idx="3">
                  <c:v>10.5</c:v>
                </c:pt>
              </c:numCache>
            </c:numRef>
          </c:val>
        </c:ser>
        <c:ser>
          <c:idx val="2"/>
          <c:order val="2"/>
          <c:tx>
            <c:strRef>
              <c:f>label 2</c:f>
              <c:strCache>
                <c:ptCount val="1"/>
                <c:pt idx="0">
                  <c:v>Железноводск</c:v>
                </c:pt>
              </c:strCache>
            </c:strRef>
          </c:tx>
          <c:spPr>
            <a:ln>
              <a:noFill/>
            </a:ln>
          </c:spPr>
          <c:dLbls>
            <c:showLegendKey val="0"/>
            <c:showVal val="0"/>
            <c:showCatName val="0"/>
            <c:showSerName val="0"/>
            <c:showPercent val="0"/>
          </c:dLbls>
          <c:cat>
            <c:strRef>
              <c:f>categories</c:f>
              <c:strCache>
                <c:ptCount val="4"/>
                <c:pt idx="0">
                  <c:v>2015</c:v>
                </c:pt>
                <c:pt idx="1">
                  <c:v>2016</c:v>
                </c:pt>
                <c:pt idx="2">
                  <c:v>2017</c:v>
                </c:pt>
                <c:pt idx="3">
                  <c:v>2018</c:v>
                </c:pt>
              </c:strCache>
            </c:strRef>
          </c:cat>
          <c:val>
            <c:numRef>
              <c:f>2</c:f>
              <c:numCache>
                <c:formatCode>General</c:formatCode>
                <c:ptCount val="4"/>
                <c:pt idx="0">
                  <c:v>14.7</c:v>
                </c:pt>
                <c:pt idx="1">
                  <c:v>15.1</c:v>
                </c:pt>
                <c:pt idx="2">
                  <c:v>11.5</c:v>
                </c:pt>
                <c:pt idx="3">
                  <c:v>10.8</c:v>
                </c:pt>
              </c:numCache>
            </c:numRef>
          </c:val>
        </c:ser>
        <c:gapWidth val="150"/>
        <c:shape val="box"/>
        <c:axId val="75614480"/>
        <c:axId val="66126548"/>
        <c:axId val="76508248"/>
      </c:bar3DChart>
      <c:catAx>
        <c:axId val="75614480"/>
        <c:scaling>
          <c:orientation val="minMax"/>
        </c:scaling>
        <c:delete val="0"/>
        <c:axPos val="b"/>
        <c:majorTickMark val="none"/>
        <c:minorTickMark val="none"/>
        <c:tickLblPos val="nextTo"/>
        <c:spPr>
          <a:ln w="12600">
            <a:solidFill>
              <a:srgbClr val="d9d9d9"/>
            </a:solidFill>
            <a:round/>
          </a:ln>
        </c:spPr>
        <c:crossAx val="66126548"/>
        <c:crosses val="autoZero"/>
        <c:auto val="1"/>
        <c:lblAlgn val="ctr"/>
        <c:lblOffset val="100"/>
      </c:catAx>
      <c:valAx>
        <c:axId val="66126548"/>
        <c:scaling>
          <c:orientation val="minMax"/>
        </c:scaling>
        <c:delete val="0"/>
        <c:axPos val="l"/>
        <c:majorGridlines>
          <c:spPr>
            <a:ln w="9360">
              <a:solidFill>
                <a:srgbClr val="d9d9d9"/>
              </a:solidFill>
              <a:round/>
            </a:ln>
          </c:spPr>
        </c:majorGridlines>
        <c:majorTickMark val="none"/>
        <c:minorTickMark val="none"/>
        <c:tickLblPos val="nextTo"/>
        <c:spPr>
          <a:ln w="6480">
            <a:noFill/>
          </a:ln>
        </c:spPr>
        <c:crossAx val="75614480"/>
        <c:crosses val="autoZero"/>
      </c:valAx>
      <c:catAx>
        <c:axId val="76508248"/>
        <c:scaling>
          <c:orientation val="minMax"/>
        </c:scaling>
        <c:delete val="0"/>
        <c:axPos val="b"/>
        <c:majorTickMark val="none"/>
        <c:minorTickMark val="none"/>
        <c:tickLblPos val="nextTo"/>
        <c:spPr>
          <a:ln w="12600">
            <a:solidFill>
              <a:srgbClr val="d9d9d9"/>
            </a:solidFill>
            <a:round/>
          </a:ln>
        </c:spPr>
        <c:crossAx val="66126548"/>
        <c:crosses val="autoZero"/>
        <c:auto val="1"/>
        <c:lblAlgn val="ctr"/>
        <c:lblOffset val="100"/>
      </c:catAx>
      <c:spPr>
        <a:noFill/>
        <a:ln w="6480">
          <a:noFill/>
        </a:ln>
      </c:spPr>
    </c:plotArea>
    <c:legend>
      <c:legendPos val="b"/>
      <c:overlay val="0"/>
      <c:spPr>
        <a:noFill/>
        <a:ln>
          <a:noFill/>
        </a:ln>
      </c:spPr>
    </c:legend>
    <c:plotVisOnly val="1"/>
  </c:chart>
  <c:spPr>
    <a:solidFill>
      <a:srgbClr val="ffffff"/>
    </a:solidFill>
    <a:ln w="9360">
      <a:solidFill>
        <a:srgbClr val="d9d9d9"/>
      </a:solidFill>
      <a:round/>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en-US"/>
  <c:chart>
    <c:view3D>
      <c:rotX val="15"/>
      <c:rotY val="20"/>
      <c:rAngAx val="1"/>
      <c:perspective val="30"/>
    </c:view3D>
    <c:floor>
      <c:spPr>
        <a:noFill/>
        <a:ln w="6480">
          <a:noFill/>
        </a:ln>
      </c:spPr>
    </c:floor>
    <c:backWall>
      <c:spPr>
        <a:noFill/>
        <a:ln w="6480">
          <a:noFill/>
        </a:ln>
      </c:spPr>
    </c:backWall>
    <c:plotArea>
      <c:layout/>
      <c:bar3DChart>
        <c:barDir val="col"/>
        <c:grouping val="standard"/>
        <c:ser>
          <c:idx val="0"/>
          <c:order val="0"/>
          <c:tx>
            <c:strRef>
              <c:f>label 0</c:f>
              <c:strCache>
                <c:ptCount val="1"/>
                <c:pt idx="0">
                  <c:v>Россия</c:v>
                </c:pt>
              </c:strCache>
            </c:strRef>
          </c:tx>
          <c:spPr>
            <a:ln>
              <a:noFill/>
            </a:ln>
          </c:spPr>
          <c:dLbls>
            <c:showLegendKey val="0"/>
            <c:showVal val="0"/>
            <c:showCatName val="0"/>
            <c:showSerName val="0"/>
            <c:showPercent val="0"/>
          </c:dLbls>
          <c:cat>
            <c:strRef>
              <c:f>categories</c:f>
              <c:strCache>
                <c:ptCount val="4"/>
                <c:pt idx="0">
                  <c:v>2015</c:v>
                </c:pt>
                <c:pt idx="1">
                  <c:v>2016</c:v>
                </c:pt>
                <c:pt idx="2">
                  <c:v>2017</c:v>
                </c:pt>
                <c:pt idx="3">
                  <c:v>2018</c:v>
                </c:pt>
              </c:strCache>
            </c:strRef>
          </c:cat>
          <c:val>
            <c:numRef>
              <c:f>0</c:f>
              <c:numCache>
                <c:formatCode>General</c:formatCode>
                <c:ptCount val="4"/>
                <c:pt idx="0">
                  <c:v>13.1</c:v>
                </c:pt>
                <c:pt idx="1">
                  <c:v>12.9</c:v>
                </c:pt>
                <c:pt idx="2">
                  <c:v>12.4</c:v>
                </c:pt>
                <c:pt idx="3">
                  <c:v>12.4</c:v>
                </c:pt>
              </c:numCache>
            </c:numRef>
          </c:val>
        </c:ser>
        <c:ser>
          <c:idx val="1"/>
          <c:order val="1"/>
          <c:tx>
            <c:strRef>
              <c:f>label 1</c:f>
              <c:strCache>
                <c:ptCount val="1"/>
                <c:pt idx="0">
                  <c:v>Ставропольский край</c:v>
                </c:pt>
              </c:strCache>
            </c:strRef>
          </c:tx>
          <c:spPr>
            <a:ln>
              <a:noFill/>
            </a:ln>
          </c:spPr>
          <c:dLbls>
            <c:showLegendKey val="0"/>
            <c:showVal val="0"/>
            <c:showCatName val="0"/>
            <c:showSerName val="0"/>
            <c:showPercent val="0"/>
          </c:dLbls>
          <c:cat>
            <c:strRef>
              <c:f>categories</c:f>
              <c:strCache>
                <c:ptCount val="4"/>
                <c:pt idx="0">
                  <c:v>2015</c:v>
                </c:pt>
                <c:pt idx="1">
                  <c:v>2016</c:v>
                </c:pt>
                <c:pt idx="2">
                  <c:v>2017</c:v>
                </c:pt>
                <c:pt idx="3">
                  <c:v>2018</c:v>
                </c:pt>
              </c:strCache>
            </c:strRef>
          </c:cat>
          <c:val>
            <c:numRef>
              <c:f>1</c:f>
              <c:numCache>
                <c:formatCode>General</c:formatCode>
                <c:ptCount val="4"/>
                <c:pt idx="0">
                  <c:v>11.6</c:v>
                </c:pt>
                <c:pt idx="1">
                  <c:v>11.7</c:v>
                </c:pt>
                <c:pt idx="2">
                  <c:v>11.2</c:v>
                </c:pt>
                <c:pt idx="3">
                  <c:v>11.5</c:v>
                </c:pt>
              </c:numCache>
            </c:numRef>
          </c:val>
        </c:ser>
        <c:ser>
          <c:idx val="2"/>
          <c:order val="2"/>
          <c:tx>
            <c:strRef>
              <c:f>label 2</c:f>
              <c:strCache>
                <c:ptCount val="1"/>
                <c:pt idx="0">
                  <c:v>Железноводск</c:v>
                </c:pt>
              </c:strCache>
            </c:strRef>
          </c:tx>
          <c:spPr>
            <a:ln>
              <a:noFill/>
            </a:ln>
          </c:spPr>
          <c:dLbls>
            <c:showLegendKey val="0"/>
            <c:showVal val="0"/>
            <c:showCatName val="0"/>
            <c:showSerName val="0"/>
            <c:showPercent val="0"/>
          </c:dLbls>
          <c:cat>
            <c:strRef>
              <c:f>categories</c:f>
              <c:strCache>
                <c:ptCount val="4"/>
                <c:pt idx="0">
                  <c:v>2015</c:v>
                </c:pt>
                <c:pt idx="1">
                  <c:v>2016</c:v>
                </c:pt>
                <c:pt idx="2">
                  <c:v>2017</c:v>
                </c:pt>
                <c:pt idx="3">
                  <c:v>2018</c:v>
                </c:pt>
              </c:strCache>
            </c:strRef>
          </c:cat>
          <c:val>
            <c:numRef>
              <c:f>2</c:f>
              <c:numCache>
                <c:formatCode>General</c:formatCode>
                <c:ptCount val="4"/>
                <c:pt idx="0">
                  <c:v>13</c:v>
                </c:pt>
                <c:pt idx="1">
                  <c:v>14.2</c:v>
                </c:pt>
                <c:pt idx="2">
                  <c:v>14.1</c:v>
                </c:pt>
                <c:pt idx="3">
                  <c:v>13.2</c:v>
                </c:pt>
              </c:numCache>
            </c:numRef>
          </c:val>
        </c:ser>
        <c:gapWidth val="150"/>
        <c:shape val="box"/>
        <c:axId val="37137299"/>
        <c:axId val="70839970"/>
        <c:axId val="88134906"/>
      </c:bar3DChart>
      <c:catAx>
        <c:axId val="37137299"/>
        <c:scaling>
          <c:orientation val="minMax"/>
        </c:scaling>
        <c:delete val="0"/>
        <c:axPos val="b"/>
        <c:majorTickMark val="none"/>
        <c:minorTickMark val="none"/>
        <c:tickLblPos val="nextTo"/>
        <c:spPr>
          <a:ln w="12600">
            <a:solidFill>
              <a:srgbClr val="d9d9d9"/>
            </a:solidFill>
            <a:round/>
          </a:ln>
        </c:spPr>
        <c:crossAx val="70839970"/>
        <c:crosses val="autoZero"/>
        <c:auto val="1"/>
        <c:lblAlgn val="ctr"/>
        <c:lblOffset val="100"/>
      </c:catAx>
      <c:valAx>
        <c:axId val="70839970"/>
        <c:scaling>
          <c:orientation val="minMax"/>
        </c:scaling>
        <c:delete val="0"/>
        <c:axPos val="l"/>
        <c:majorGridlines>
          <c:spPr>
            <a:ln w="9360">
              <a:solidFill>
                <a:srgbClr val="d9d9d9"/>
              </a:solidFill>
              <a:round/>
            </a:ln>
          </c:spPr>
        </c:majorGridlines>
        <c:majorTickMark val="none"/>
        <c:minorTickMark val="none"/>
        <c:tickLblPos val="nextTo"/>
        <c:spPr>
          <a:ln w="6480">
            <a:noFill/>
          </a:ln>
        </c:spPr>
        <c:crossAx val="37137299"/>
        <c:crosses val="autoZero"/>
      </c:valAx>
      <c:catAx>
        <c:axId val="88134906"/>
        <c:scaling>
          <c:orientation val="minMax"/>
        </c:scaling>
        <c:delete val="0"/>
        <c:axPos val="b"/>
        <c:majorTickMark val="none"/>
        <c:minorTickMark val="none"/>
        <c:tickLblPos val="nextTo"/>
        <c:spPr>
          <a:ln w="12600">
            <a:solidFill>
              <a:srgbClr val="d9d9d9"/>
            </a:solidFill>
            <a:round/>
          </a:ln>
        </c:spPr>
        <c:crossAx val="70839970"/>
        <c:crosses val="autoZero"/>
        <c:auto val="1"/>
        <c:lblAlgn val="ctr"/>
        <c:lblOffset val="100"/>
      </c:catAx>
      <c:spPr>
        <a:noFill/>
        <a:ln w="6480">
          <a:noFill/>
        </a:ln>
      </c:spPr>
    </c:plotArea>
    <c:legend>
      <c:legendPos val="b"/>
      <c:overlay val="0"/>
      <c:spPr>
        <a:noFill/>
        <a:ln>
          <a:noFill/>
        </a:ln>
      </c:spPr>
    </c:legend>
    <c:plotVisOnly val="1"/>
  </c:chart>
  <c:spPr>
    <a:solidFill>
      <a:srgbClr val="ffffff"/>
    </a:solidFill>
    <a:ln w="9360">
      <a:solidFill>
        <a:srgbClr val="d9d9d9"/>
      </a:solidFill>
      <a:round/>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en-US"/>
  <c:chart>
    <c:plotArea>
      <c:layout/>
      <c:barChart>
        <c:barDir val="bar"/>
        <c:grouping val="clustered"/>
        <c:ser>
          <c:idx val="0"/>
          <c:order val="0"/>
          <c:tx>
            <c:strRef>
              <c:f>label 0</c:f>
              <c:strCache>
                <c:ptCount val="1"/>
                <c:pt idx="0">
                  <c:v>Женщины</c:v>
                </c:pt>
              </c:strCache>
            </c:strRef>
          </c:tx>
          <c:spPr>
            <a:ln>
              <a:noFill/>
            </a:ln>
          </c:spPr>
          <c:dLbls>
            <c:dLblPos val="ctr"/>
            <c:showLegendKey val="0"/>
            <c:showVal val="1"/>
            <c:showCatName val="0"/>
            <c:showSerName val="0"/>
            <c:showPercent val="0"/>
          </c:dLbls>
          <c:cat>
            <c:strRef>
              <c:f>categories</c:f>
              <c:strCache>
                <c:ptCount val="15"/>
                <c:pt idx="0">
                  <c:v>от 0 до 2</c:v>
                </c:pt>
                <c:pt idx="1">
                  <c:v>от 3 до 7</c:v>
                </c:pt>
                <c:pt idx="2">
                  <c:v>от 8 до 13</c:v>
                </c:pt>
                <c:pt idx="3">
                  <c:v>от 14 до 19</c:v>
                </c:pt>
                <c:pt idx="4">
                  <c:v>от 20 до 24</c:v>
                </c:pt>
                <c:pt idx="5">
                  <c:v>от 25 до 29</c:v>
                </c:pt>
                <c:pt idx="6">
                  <c:v>от 30 до 34</c:v>
                </c:pt>
                <c:pt idx="7">
                  <c:v>от 35 до 39</c:v>
                </c:pt>
                <c:pt idx="8">
                  <c:v>от 40 до 44</c:v>
                </c:pt>
                <c:pt idx="9">
                  <c:v>от 45 до 49</c:v>
                </c:pt>
                <c:pt idx="10">
                  <c:v>от 50 до 54</c:v>
                </c:pt>
                <c:pt idx="11">
                  <c:v>от 55 до 59</c:v>
                </c:pt>
                <c:pt idx="12">
                  <c:v>от 60 до 64</c:v>
                </c:pt>
                <c:pt idx="13">
                  <c:v>от 65 до 69</c:v>
                </c:pt>
                <c:pt idx="14">
                  <c:v>70 и старше</c:v>
                </c:pt>
              </c:strCache>
            </c:strRef>
          </c:cat>
          <c:val>
            <c:numRef>
              <c:f>0</c:f>
              <c:numCache>
                <c:formatCode>General</c:formatCode>
                <c:ptCount val="15"/>
                <c:pt idx="0">
                  <c:v>1088</c:v>
                </c:pt>
                <c:pt idx="1">
                  <c:v>1380</c:v>
                </c:pt>
                <c:pt idx="2">
                  <c:v>1737</c:v>
                </c:pt>
                <c:pt idx="3">
                  <c:v>1526</c:v>
                </c:pt>
                <c:pt idx="4">
                  <c:v>1282</c:v>
                </c:pt>
                <c:pt idx="5">
                  <c:v>2060</c:v>
                </c:pt>
                <c:pt idx="6">
                  <c:v>2414</c:v>
                </c:pt>
                <c:pt idx="7">
                  <c:v>2199</c:v>
                </c:pt>
                <c:pt idx="8">
                  <c:v>2065</c:v>
                </c:pt>
                <c:pt idx="9">
                  <c:v>1906</c:v>
                </c:pt>
                <c:pt idx="10">
                  <c:v>1743</c:v>
                </c:pt>
                <c:pt idx="11">
                  <c:v>2224</c:v>
                </c:pt>
                <c:pt idx="12">
                  <c:v>2057</c:v>
                </c:pt>
                <c:pt idx="13">
                  <c:v>1894</c:v>
                </c:pt>
                <c:pt idx="14">
                  <c:v>3159</c:v>
                </c:pt>
              </c:numCache>
            </c:numRef>
          </c:val>
        </c:ser>
        <c:ser>
          <c:idx val="1"/>
          <c:order val="1"/>
          <c:tx>
            <c:strRef>
              <c:f>label 1</c:f>
              <c:strCache>
                <c:ptCount val="1"/>
                <c:pt idx="0">
                  <c:v>Мужчины</c:v>
                </c:pt>
              </c:strCache>
            </c:strRef>
          </c:tx>
          <c:spPr>
            <a:ln>
              <a:noFill/>
            </a:ln>
          </c:spPr>
          <c:dLbls>
            <c:dLblPos val="ctr"/>
            <c:showLegendKey val="0"/>
            <c:showVal val="1"/>
            <c:showCatName val="0"/>
            <c:showSerName val="0"/>
            <c:showPercent val="0"/>
          </c:dLbls>
          <c:cat>
            <c:strRef>
              <c:f>categories</c:f>
              <c:strCache>
                <c:ptCount val="15"/>
                <c:pt idx="0">
                  <c:v>от 0 до 2</c:v>
                </c:pt>
                <c:pt idx="1">
                  <c:v>от 3 до 7</c:v>
                </c:pt>
                <c:pt idx="2">
                  <c:v>от 8 до 13</c:v>
                </c:pt>
                <c:pt idx="3">
                  <c:v>от 14 до 19</c:v>
                </c:pt>
                <c:pt idx="4">
                  <c:v>от 20 до 24</c:v>
                </c:pt>
                <c:pt idx="5">
                  <c:v>от 25 до 29</c:v>
                </c:pt>
                <c:pt idx="6">
                  <c:v>от 30 до 34</c:v>
                </c:pt>
                <c:pt idx="7">
                  <c:v>от 35 до 39</c:v>
                </c:pt>
                <c:pt idx="8">
                  <c:v>от 40 до 44</c:v>
                </c:pt>
                <c:pt idx="9">
                  <c:v>от 45 до 49</c:v>
                </c:pt>
                <c:pt idx="10">
                  <c:v>от 50 до 54</c:v>
                </c:pt>
                <c:pt idx="11">
                  <c:v>от 55 до 59</c:v>
                </c:pt>
                <c:pt idx="12">
                  <c:v>от 60 до 64</c:v>
                </c:pt>
                <c:pt idx="13">
                  <c:v>от 65 до 69</c:v>
                </c:pt>
                <c:pt idx="14">
                  <c:v>70 и старше</c:v>
                </c:pt>
              </c:strCache>
            </c:strRef>
          </c:cat>
          <c:val>
            <c:numRef>
              <c:f>1</c:f>
              <c:numCache>
                <c:formatCode>General</c:formatCode>
                <c:ptCount val="15"/>
                <c:pt idx="0">
                  <c:v>1176</c:v>
                </c:pt>
                <c:pt idx="1">
                  <c:v>1544</c:v>
                </c:pt>
                <c:pt idx="2">
                  <c:v>1813</c:v>
                </c:pt>
                <c:pt idx="3">
                  <c:v>1447</c:v>
                </c:pt>
                <c:pt idx="4">
                  <c:v>1157</c:v>
                </c:pt>
                <c:pt idx="5">
                  <c:v>1925</c:v>
                </c:pt>
                <c:pt idx="6">
                  <c:v>2146</c:v>
                </c:pt>
                <c:pt idx="7">
                  <c:v>1960</c:v>
                </c:pt>
                <c:pt idx="8">
                  <c:v>1877</c:v>
                </c:pt>
                <c:pt idx="9">
                  <c:v>1725</c:v>
                </c:pt>
                <c:pt idx="10">
                  <c:v>1351</c:v>
                </c:pt>
                <c:pt idx="11">
                  <c:v>1637</c:v>
                </c:pt>
                <c:pt idx="12">
                  <c:v>1367</c:v>
                </c:pt>
                <c:pt idx="13">
                  <c:v>1143</c:v>
                </c:pt>
                <c:pt idx="14">
                  <c:v>1412</c:v>
                </c:pt>
              </c:numCache>
            </c:numRef>
          </c:val>
        </c:ser>
        <c:gapWidth val="115"/>
        <c:overlap val="-20"/>
        <c:axId val="67716529"/>
        <c:axId val="58905556"/>
      </c:barChart>
      <c:catAx>
        <c:axId val="67716529"/>
        <c:scaling>
          <c:orientation val="minMax"/>
        </c:scaling>
        <c:delete val="0"/>
        <c:axPos val="b"/>
        <c:majorTickMark val="none"/>
        <c:minorTickMark val="none"/>
        <c:tickLblPos val="nextTo"/>
        <c:spPr>
          <a:ln w="12600">
            <a:solidFill>
              <a:srgbClr val="d9d9d9"/>
            </a:solidFill>
            <a:round/>
          </a:ln>
        </c:spPr>
        <c:crossAx val="58905556"/>
        <c:crosses val="autoZero"/>
        <c:auto val="1"/>
        <c:lblAlgn val="ctr"/>
        <c:lblOffset val="100"/>
      </c:catAx>
      <c:valAx>
        <c:axId val="58905556"/>
        <c:scaling>
          <c:orientation val="minMax"/>
        </c:scaling>
        <c:delete val="0"/>
        <c:axPos val="l"/>
        <c:majorGridlines>
          <c:spPr>
            <a:ln w="9360">
              <a:solidFill>
                <a:srgbClr val="d9d9d9"/>
              </a:solidFill>
              <a:round/>
            </a:ln>
          </c:spPr>
        </c:majorGridlines>
        <c:majorTickMark val="none"/>
        <c:minorTickMark val="none"/>
        <c:tickLblPos val="nextTo"/>
        <c:spPr>
          <a:ln w="6480">
            <a:noFill/>
          </a:ln>
        </c:spPr>
        <c:crossAx val="67716529"/>
        <c:crosses val="autoZero"/>
      </c:valAx>
      <c:spPr>
        <a:noFill/>
        <a:ln>
          <a:noFill/>
        </a:ln>
      </c:spPr>
    </c:plotArea>
    <c:legend>
      <c:legendPos val="b"/>
      <c:overlay val="0"/>
      <c:spPr>
        <a:noFill/>
        <a:ln>
          <a:noFill/>
        </a:ln>
      </c:spPr>
    </c:legend>
    <c:plotVisOnly val="1"/>
  </c:chart>
  <c:spPr>
    <a:solidFill>
      <a:srgbClr val="ffffff"/>
    </a:solidFill>
    <a:ln w="9360">
      <a:solidFill>
        <a:srgbClr val="d9d9d9"/>
      </a:solidFill>
      <a:round/>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en-US"/>
  <c:chart>
    <c:plotArea>
      <c:layout/>
      <c:lineChart>
        <c:grouping val="standard"/>
        <c:ser>
          <c:idx val="0"/>
          <c:order val="0"/>
          <c:tx>
            <c:strRef>
              <c:f>label 0</c:f>
              <c:strCache>
                <c:ptCount val="1"/>
                <c:pt idx="0">
                  <c:v>Коэффициент брачности</c:v>
                </c:pt>
              </c:strCache>
            </c:strRef>
          </c:tx>
          <c:spPr>
            <a:solidFill>
              <a:srgbClr val="70ad47"/>
            </a:solidFill>
            <a:ln w="28440">
              <a:solidFill>
                <a:srgbClr val="70ad47"/>
              </a:solidFill>
              <a:round/>
            </a:ln>
          </c:spPr>
          <c:marker>
            <c:symbol val="circle"/>
            <c:size val="5"/>
            <c:spPr>
              <a:solidFill>
                <a:srgbClr val="ee4000"/>
              </a:solidFill>
            </c:spPr>
          </c:marker>
          <c:dLbls>
            <c:dLblPos val="r"/>
            <c:showLegendKey val="0"/>
            <c:showVal val="0"/>
            <c:showCatName val="0"/>
            <c:showSerName val="0"/>
            <c:showPercent val="0"/>
          </c:dLbls>
          <c:cat>
            <c:strRef>
              <c:f>categories</c:f>
              <c:strCache>
                <c:ptCount val="5"/>
                <c:pt idx="0">
                  <c:v>2014</c:v>
                </c:pt>
                <c:pt idx="1">
                  <c:v>2015</c:v>
                </c:pt>
                <c:pt idx="2">
                  <c:v>2016</c:v>
                </c:pt>
                <c:pt idx="3">
                  <c:v>2017</c:v>
                </c:pt>
                <c:pt idx="4">
                  <c:v>2018</c:v>
                </c:pt>
              </c:strCache>
            </c:strRef>
          </c:cat>
          <c:val>
            <c:numRef>
              <c:f>0</c:f>
              <c:numCache>
                <c:formatCode>General</c:formatCode>
                <c:ptCount val="5"/>
                <c:pt idx="0">
                  <c:v>6.22390891840607</c:v>
                </c:pt>
                <c:pt idx="1">
                  <c:v>6.76136363636364</c:v>
                </c:pt>
                <c:pt idx="2">
                  <c:v>5.40796963946869</c:v>
                </c:pt>
                <c:pt idx="3">
                  <c:v>5.75238095238095</c:v>
                </c:pt>
                <c:pt idx="4">
                  <c:v>5.16129032258065</c:v>
                </c:pt>
              </c:numCache>
            </c:numRef>
          </c:val>
          <c:smooth val="0"/>
        </c:ser>
        <c:ser>
          <c:idx val="1"/>
          <c:order val="1"/>
          <c:tx>
            <c:strRef>
              <c:f>label 1</c:f>
              <c:strCache>
                <c:ptCount val="1"/>
                <c:pt idx="0">
                  <c:v>Коэффициент разводимости</c:v>
                </c:pt>
              </c:strCache>
            </c:strRef>
          </c:tx>
          <c:spPr>
            <a:solidFill>
              <a:srgbClr val="5b9bd5"/>
            </a:solidFill>
            <a:ln w="28440">
              <a:solidFill>
                <a:srgbClr val="5b9bd5"/>
              </a:solidFill>
              <a:round/>
            </a:ln>
          </c:spPr>
          <c:marker>
            <c:symbol val="circle"/>
            <c:size val="5"/>
            <c:spPr>
              <a:solidFill>
                <a:srgbClr val="ee4000"/>
              </a:solidFill>
            </c:spPr>
          </c:marker>
          <c:dLbls>
            <c:dLblPos val="r"/>
            <c:showLegendKey val="0"/>
            <c:showVal val="0"/>
            <c:showCatName val="0"/>
            <c:showSerName val="0"/>
            <c:showPercent val="0"/>
          </c:dLbls>
          <c:cat>
            <c:strRef>
              <c:f>categories</c:f>
              <c:strCache>
                <c:ptCount val="5"/>
                <c:pt idx="0">
                  <c:v>2014</c:v>
                </c:pt>
                <c:pt idx="1">
                  <c:v>2015</c:v>
                </c:pt>
                <c:pt idx="2">
                  <c:v>2016</c:v>
                </c:pt>
                <c:pt idx="3">
                  <c:v>2017</c:v>
                </c:pt>
                <c:pt idx="4">
                  <c:v>2018</c:v>
                </c:pt>
              </c:strCache>
            </c:strRef>
          </c:cat>
          <c:val>
            <c:numRef>
              <c:f>1</c:f>
              <c:numCache>
                <c:formatCode>General</c:formatCode>
                <c:ptCount val="5"/>
                <c:pt idx="0">
                  <c:v>4.00379506641366</c:v>
                </c:pt>
                <c:pt idx="1">
                  <c:v>3.93939393939394</c:v>
                </c:pt>
                <c:pt idx="2">
                  <c:v>3.77609108159393</c:v>
                </c:pt>
                <c:pt idx="3">
                  <c:v>3.31428571428571</c:v>
                </c:pt>
                <c:pt idx="4">
                  <c:v>3.37760910815939</c:v>
                </c:pt>
              </c:numCache>
            </c:numRef>
          </c:val>
          <c:smooth val="0"/>
        </c:ser>
        <c:ser>
          <c:idx val="2"/>
          <c:order val="2"/>
          <c:tx>
            <c:strRef>
              <c:f>label 2</c:f>
              <c:strCache>
                <c:ptCount val="1"/>
                <c:pt idx="0">
                  <c:v>Индекс разводимости</c:v>
                </c:pt>
              </c:strCache>
            </c:strRef>
          </c:tx>
          <c:spPr>
            <a:solidFill>
              <a:srgbClr val="ffc000"/>
            </a:solidFill>
            <a:ln w="28440">
              <a:solidFill>
                <a:srgbClr val="ffc000"/>
              </a:solidFill>
              <a:round/>
            </a:ln>
          </c:spPr>
          <c:marker>
            <c:symbol val="circle"/>
            <c:size val="5"/>
            <c:spPr>
              <a:solidFill>
                <a:srgbClr val="ee4000"/>
              </a:solidFill>
            </c:spPr>
          </c:marker>
          <c:dLbls>
            <c:dLblPos val="r"/>
            <c:showLegendKey val="0"/>
            <c:showVal val="0"/>
            <c:showCatName val="0"/>
            <c:showSerName val="0"/>
            <c:showPercent val="0"/>
          </c:dLbls>
          <c:cat>
            <c:strRef>
              <c:f>categories</c:f>
              <c:strCache>
                <c:ptCount val="5"/>
                <c:pt idx="0">
                  <c:v>2014</c:v>
                </c:pt>
                <c:pt idx="1">
                  <c:v>2015</c:v>
                </c:pt>
                <c:pt idx="2">
                  <c:v>2016</c:v>
                </c:pt>
                <c:pt idx="3">
                  <c:v>2017</c:v>
                </c:pt>
                <c:pt idx="4">
                  <c:v>2018</c:v>
                </c:pt>
              </c:strCache>
            </c:strRef>
          </c:cat>
          <c:val>
            <c:numRef>
              <c:f>2</c:f>
              <c:numCache>
                <c:formatCode>General</c:formatCode>
                <c:ptCount val="5"/>
                <c:pt idx="0">
                  <c:v>0.64329268292683</c:v>
                </c:pt>
                <c:pt idx="1">
                  <c:v>0.582633053221289</c:v>
                </c:pt>
                <c:pt idx="2">
                  <c:v>0.698245614035088</c:v>
                </c:pt>
                <c:pt idx="3">
                  <c:v>0.576158940397351</c:v>
                </c:pt>
                <c:pt idx="4">
                  <c:v>0.654411764705883</c:v>
                </c:pt>
              </c:numCache>
            </c:numRef>
          </c:val>
          <c:smooth val="0"/>
        </c:ser>
        <c:hiLowLines>
          <c:spPr>
            <a:ln>
              <a:noFill/>
            </a:ln>
          </c:spPr>
        </c:hiLowLines>
        <c:upDownBars>
          <c:gapWidth val="150"/>
          <c:upBars/>
          <c:downBars/>
        </c:upDownBars>
        <c:marker val="1"/>
        <c:axId val="72184299"/>
        <c:axId val="43585635"/>
      </c:lineChart>
      <c:catAx>
        <c:axId val="72184299"/>
        <c:scaling>
          <c:orientation val="minMax"/>
        </c:scaling>
        <c:delete val="0"/>
        <c:axPos val="b"/>
        <c:majorTickMark val="none"/>
        <c:minorTickMark val="none"/>
        <c:tickLblPos val="nextTo"/>
        <c:spPr>
          <a:ln w="9360">
            <a:solidFill>
              <a:srgbClr val="d9d9d9"/>
            </a:solidFill>
            <a:round/>
          </a:ln>
        </c:spPr>
        <c:crossAx val="43585635"/>
        <c:crosses val="autoZero"/>
        <c:auto val="1"/>
        <c:lblAlgn val="ctr"/>
        <c:lblOffset val="100"/>
      </c:catAx>
      <c:valAx>
        <c:axId val="43585635"/>
        <c:scaling>
          <c:orientation val="minMax"/>
        </c:scaling>
        <c:delete val="0"/>
        <c:axPos val="l"/>
        <c:majorGridlines>
          <c:spPr>
            <a:ln w="9360">
              <a:solidFill>
                <a:srgbClr val="d9d9d9"/>
              </a:solidFill>
              <a:round/>
            </a:ln>
          </c:spPr>
        </c:majorGridlines>
        <c:majorTickMark val="none"/>
        <c:minorTickMark val="none"/>
        <c:tickLblPos val="nextTo"/>
        <c:spPr>
          <a:ln w="6480">
            <a:noFill/>
          </a:ln>
        </c:spPr>
        <c:crossAx val="72184299"/>
        <c:crosses val="autoZero"/>
      </c:valAx>
      <c:spPr>
        <a:noFill/>
        <a:ln>
          <a:noFill/>
        </a:ln>
      </c:spPr>
    </c:plotArea>
    <c:legend>
      <c:legendPos val="b"/>
      <c:overlay val="0"/>
      <c:spPr>
        <a:noFill/>
        <a:ln>
          <a:noFill/>
        </a:ln>
      </c:spPr>
    </c:legend>
    <c:plotVisOnly val="1"/>
  </c:chart>
  <c:spPr>
    <a:solidFill>
      <a:srgbClr val="ffffff"/>
    </a:solidFill>
    <a:ln w="9360">
      <a:solidFill>
        <a:srgbClr val="d9d9d9"/>
      </a:solidFill>
      <a:round/>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clustered"/>
        <c:ser>
          <c:idx val="0"/>
          <c:order val="0"/>
          <c:tx>
            <c:strRef>
              <c:f>label 0</c:f>
              <c:strCache>
                <c:ptCount val="1"/>
                <c:pt idx="0">
                  <c:v>Прибыло</c:v>
                </c:pt>
              </c:strCache>
            </c:strRef>
          </c:tx>
          <c:spPr>
            <a:ln>
              <a:noFill/>
            </a:ln>
          </c:spPr>
          <c:dLbls>
            <c:dLblPos val="ctr"/>
            <c:showLegendKey val="0"/>
            <c:showVal val="1"/>
            <c:showCatName val="0"/>
            <c:showSerName val="0"/>
            <c:showPercent val="0"/>
          </c:dLbls>
          <c:cat>
            <c:strRef>
              <c:f>categories</c:f>
              <c:strCache>
                <c:ptCount val="4"/>
                <c:pt idx="0">
                  <c:v>2015</c:v>
                </c:pt>
                <c:pt idx="1">
                  <c:v>2016</c:v>
                </c:pt>
                <c:pt idx="2">
                  <c:v>2017</c:v>
                </c:pt>
                <c:pt idx="3">
                  <c:v>2018</c:v>
                </c:pt>
              </c:strCache>
            </c:strRef>
          </c:cat>
          <c:val>
            <c:numRef>
              <c:f>0</c:f>
              <c:numCache>
                <c:formatCode>General</c:formatCode>
                <c:ptCount val="4"/>
                <c:pt idx="0">
                  <c:v>1405</c:v>
                </c:pt>
                <c:pt idx="1">
                  <c:v>1301</c:v>
                </c:pt>
                <c:pt idx="2">
                  <c:v>1010</c:v>
                </c:pt>
                <c:pt idx="3">
                  <c:v>1755</c:v>
                </c:pt>
              </c:numCache>
            </c:numRef>
          </c:val>
        </c:ser>
        <c:ser>
          <c:idx val="1"/>
          <c:order val="1"/>
          <c:tx>
            <c:strRef>
              <c:f>label 1</c:f>
              <c:strCache>
                <c:ptCount val="1"/>
                <c:pt idx="0">
                  <c:v>Выбыло</c:v>
                </c:pt>
              </c:strCache>
            </c:strRef>
          </c:tx>
          <c:spPr>
            <a:ln>
              <a:noFill/>
            </a:ln>
          </c:spPr>
          <c:dLbls>
            <c:dLblPos val="ctr"/>
            <c:showLegendKey val="0"/>
            <c:showVal val="1"/>
            <c:showCatName val="0"/>
            <c:showSerName val="0"/>
            <c:showPercent val="0"/>
          </c:dLbls>
          <c:cat>
            <c:strRef>
              <c:f>categories</c:f>
              <c:strCache>
                <c:ptCount val="4"/>
                <c:pt idx="0">
                  <c:v>2015</c:v>
                </c:pt>
                <c:pt idx="1">
                  <c:v>2016</c:v>
                </c:pt>
                <c:pt idx="2">
                  <c:v>2017</c:v>
                </c:pt>
                <c:pt idx="3">
                  <c:v>2018</c:v>
                </c:pt>
              </c:strCache>
            </c:strRef>
          </c:cat>
          <c:val>
            <c:numRef>
              <c:f>1</c:f>
              <c:numCache>
                <c:formatCode>General</c:formatCode>
                <c:ptCount val="4"/>
                <c:pt idx="0">
                  <c:v>1564</c:v>
                </c:pt>
                <c:pt idx="1">
                  <c:v>1446</c:v>
                </c:pt>
                <c:pt idx="2">
                  <c:v>1209</c:v>
                </c:pt>
                <c:pt idx="3">
                  <c:v>1339</c:v>
                </c:pt>
              </c:numCache>
            </c:numRef>
          </c:val>
        </c:ser>
        <c:ser>
          <c:idx val="2"/>
          <c:order val="2"/>
          <c:tx>
            <c:strRef>
              <c:f>label 2</c:f>
              <c:strCache>
                <c:ptCount val="1"/>
                <c:pt idx="0">
                  <c:v>Сальдо миграции</c:v>
                </c:pt>
              </c:strCache>
            </c:strRef>
          </c:tx>
          <c:spPr>
            <a:ln>
              <a:noFill/>
            </a:ln>
          </c:spPr>
          <c:dLbls>
            <c:dLblPos val="ctr"/>
            <c:showLegendKey val="0"/>
            <c:showVal val="1"/>
            <c:showCatName val="0"/>
            <c:showSerName val="0"/>
            <c:showPercent val="0"/>
          </c:dLbls>
          <c:cat>
            <c:strRef>
              <c:f>categories</c:f>
              <c:strCache>
                <c:ptCount val="4"/>
                <c:pt idx="0">
                  <c:v>2015</c:v>
                </c:pt>
                <c:pt idx="1">
                  <c:v>2016</c:v>
                </c:pt>
                <c:pt idx="2">
                  <c:v>2017</c:v>
                </c:pt>
                <c:pt idx="3">
                  <c:v>2018</c:v>
                </c:pt>
              </c:strCache>
            </c:strRef>
          </c:cat>
          <c:val>
            <c:numRef>
              <c:f>2</c:f>
              <c:numCache>
                <c:formatCode>General</c:formatCode>
                <c:ptCount val="4"/>
                <c:pt idx="0">
                  <c:v>-159</c:v>
                </c:pt>
                <c:pt idx="1">
                  <c:v>-145</c:v>
                </c:pt>
                <c:pt idx="2">
                  <c:v>-199</c:v>
                </c:pt>
                <c:pt idx="3">
                  <c:v>416</c:v>
                </c:pt>
              </c:numCache>
            </c:numRef>
          </c:val>
        </c:ser>
        <c:gapWidth val="100"/>
        <c:overlap val="-24"/>
        <c:axId val="25791527"/>
        <c:axId val="60217001"/>
      </c:barChart>
      <c:catAx>
        <c:axId val="25791527"/>
        <c:scaling>
          <c:orientation val="minMax"/>
        </c:scaling>
        <c:delete val="0"/>
        <c:axPos val="b"/>
        <c:majorTickMark val="none"/>
        <c:minorTickMark val="none"/>
        <c:tickLblPos val="nextTo"/>
        <c:spPr>
          <a:ln w="12600">
            <a:solidFill>
              <a:srgbClr val="d9d9d9"/>
            </a:solidFill>
            <a:round/>
          </a:ln>
        </c:spPr>
        <c:crossAx val="60217001"/>
        <c:crosses val="autoZero"/>
        <c:auto val="1"/>
        <c:lblAlgn val="ctr"/>
        <c:lblOffset val="100"/>
      </c:catAx>
      <c:valAx>
        <c:axId val="60217001"/>
        <c:scaling>
          <c:orientation val="minMax"/>
        </c:scaling>
        <c:delete val="0"/>
        <c:axPos val="l"/>
        <c:majorGridlines>
          <c:spPr>
            <a:ln w="9360">
              <a:solidFill>
                <a:srgbClr val="d9d9d9"/>
              </a:solidFill>
              <a:round/>
            </a:ln>
          </c:spPr>
        </c:majorGridlines>
        <c:majorTickMark val="none"/>
        <c:minorTickMark val="none"/>
        <c:tickLblPos val="nextTo"/>
        <c:spPr>
          <a:ln w="6480">
            <a:noFill/>
          </a:ln>
        </c:spPr>
        <c:crossAx val="25791527"/>
        <c:crosses val="autoZero"/>
      </c:valAx>
      <c:spPr>
        <a:noFill/>
        <a:ln>
          <a:noFill/>
        </a:ln>
      </c:spPr>
    </c:plotArea>
    <c:legend>
      <c:legendPos val="b"/>
      <c:overlay val="0"/>
      <c:spPr>
        <a:noFill/>
        <a:ln>
          <a:noFill/>
        </a:ln>
      </c:spPr>
    </c:legend>
    <c:plotVisOnly val="1"/>
  </c:chart>
  <c:spPr>
    <a:solidFill>
      <a:srgbClr val="ffffff"/>
    </a:solidFill>
    <a:ln w="9360">
      <a:solidFill>
        <a:srgbClr val="d9d9d9"/>
      </a:solidFill>
      <a:round/>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lang val="en-US"/>
  <c:chart>
    <c:view3D>
      <c:rotX val="30"/>
      <c:rotY val="194"/>
      <c:rAngAx val="0"/>
      <c:perspective val="30"/>
    </c:view3D>
    <c:floor>
      <c:spPr>
        <a:solidFill>
          <a:srgbClr val="d9d9d9"/>
        </a:solidFill>
        <a:ln>
          <a:noFill/>
        </a:ln>
      </c:spPr>
    </c:floor>
    <c:backWall>
      <c:spPr>
        <a:solidFill>
          <a:srgbClr val="d9d9d9"/>
        </a:solidFill>
        <a:ln>
          <a:noFill/>
        </a:ln>
      </c:spPr>
    </c:backWall>
    <c:plotArea>
      <c:layout/>
      <c:pie3DChart>
        <c:varyColors val="1"/>
        <c:ser>
          <c:idx val="0"/>
          <c:order val="0"/>
          <c:tx>
            <c:strRef>
              <c:f>label 0</c:f>
              <c:strCache>
                <c:ptCount val="1"/>
                <c:pt idx="0">
                  <c:v>Численность</c:v>
                </c:pt>
              </c:strCache>
            </c:strRef>
          </c:tx>
          <c:spPr>
            <a:solidFill>
              <a:srgbClr val="4472c4"/>
            </a:solidFill>
            <a:ln>
              <a:noFill/>
            </a:ln>
          </c:spPr>
          <c:explosion val="0"/>
          <c:dPt>
            <c:idx val="0"/>
            <c:spPr>
              <a:ln>
                <a:noFill/>
              </a:ln>
            </c:spPr>
          </c:dPt>
          <c:dPt>
            <c:idx val="1"/>
            <c:spPr>
              <a:ln>
                <a:noFill/>
              </a:ln>
            </c:spPr>
          </c:dPt>
          <c:dPt>
            <c:idx val="2"/>
            <c:spPr>
              <a:ln>
                <a:noFill/>
              </a:ln>
            </c:spPr>
          </c:dPt>
          <c:dPt>
            <c:idx val="3"/>
            <c:spPr>
              <a:ln>
                <a:noFill/>
              </a:ln>
            </c:spPr>
          </c:dPt>
          <c:dPt>
            <c:idx val="4"/>
            <c:spPr>
              <a:ln>
                <a:noFill/>
              </a:ln>
            </c:spPr>
          </c:dPt>
          <c:dLbls>
            <c:dLbl>
              <c:idx val="0"/>
              <c:dLblPos val="bestFit"/>
              <c:showLegendKey val="0"/>
              <c:showVal val="0"/>
              <c:showCatName val="1"/>
              <c:showSerName val="0"/>
              <c:showPercent val="1"/>
            </c:dLbl>
            <c:dLbl>
              <c:idx val="1"/>
              <c:dLblPos val="bestFit"/>
              <c:showLegendKey val="0"/>
              <c:showVal val="0"/>
              <c:showCatName val="1"/>
              <c:showSerName val="0"/>
              <c:showPercent val="1"/>
            </c:dLbl>
            <c:dLbl>
              <c:idx val="2"/>
              <c:dLblPos val="bestFit"/>
              <c:showLegendKey val="0"/>
              <c:showVal val="0"/>
              <c:showCatName val="1"/>
              <c:showSerName val="0"/>
              <c:showPercent val="1"/>
            </c:dLbl>
            <c:dLbl>
              <c:idx val="3"/>
              <c:dLblPos val="bestFit"/>
              <c:showLegendKey val="0"/>
              <c:showVal val="0"/>
              <c:showCatName val="1"/>
              <c:showSerName val="0"/>
              <c:showPercent val="1"/>
            </c:dLbl>
            <c:dLbl>
              <c:idx val="4"/>
              <c:dLblPos val="bestFit"/>
              <c:showLegendKey val="0"/>
              <c:showVal val="0"/>
              <c:showCatName val="1"/>
              <c:showSerName val="0"/>
              <c:showPercent val="1"/>
            </c:dLbl>
            <c:dLblPos val="bestFit"/>
            <c:showLegendKey val="0"/>
            <c:showVal val="0"/>
            <c:showCatName val="1"/>
            <c:showSerName val="0"/>
            <c:showPercent val="1"/>
          </c:dLbls>
          <c:cat>
            <c:strRef>
              <c:f>categories</c:f>
              <c:strCache>
                <c:ptCount val="5"/>
                <c:pt idx="0">
                  <c:v>Русские</c:v>
                </c:pt>
                <c:pt idx="1">
                  <c:v>Армяне</c:v>
                </c:pt>
                <c:pt idx="2">
                  <c:v>Греки</c:v>
                </c:pt>
                <c:pt idx="3">
                  <c:v>Украинцы</c:v>
                </c:pt>
                <c:pt idx="4">
                  <c:v>Другие</c:v>
                </c:pt>
              </c:strCache>
            </c:strRef>
          </c:cat>
          <c:val>
            <c:numRef>
              <c:f>0</c:f>
              <c:numCache>
                <c:formatCode>General</c:formatCode>
                <c:ptCount val="5"/>
                <c:pt idx="0">
                  <c:v>43584</c:v>
                </c:pt>
                <c:pt idx="1">
                  <c:v>3211</c:v>
                </c:pt>
                <c:pt idx="2">
                  <c:v>1508</c:v>
                </c:pt>
                <c:pt idx="3">
                  <c:v>754</c:v>
                </c:pt>
                <c:pt idx="4">
                  <c:v>3774</c:v>
                </c:pt>
              </c:numCache>
            </c:numRef>
          </c:val>
        </c:ser>
      </c:pie3DChart>
      <c:spPr>
        <a:solidFill>
          <a:srgbClr val="d9d9d9"/>
        </a:solidFill>
        <a:ln>
          <a:noFill/>
        </a:ln>
      </c:spPr>
    </c:plotArea>
    <c:legend>
      <c:legendPos val="b"/>
      <c:overlay val="0"/>
      <c:spPr>
        <a:noFill/>
        <a:ln>
          <a:noFill/>
        </a:ln>
      </c:spPr>
    </c:legend>
    <c:plotVisOnly val="1"/>
  </c:chart>
  <c:spPr>
    <a:solidFill>
      <a:srgbClr val="ffffff"/>
    </a:solidFill>
    <a:ln w="9360">
      <a:solidFill>
        <a:srgbClr val="d9d9d9"/>
      </a:solidFill>
      <a:round/>
    </a:ln>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clustered"/>
        <c:ser>
          <c:idx val="0"/>
          <c:order val="0"/>
          <c:tx>
            <c:strRef>
              <c:f>label 0</c:f>
              <c:strCache>
                <c:ptCount val="1"/>
                <c:pt idx="0">
                  <c:v>Столбец1</c:v>
                </c:pt>
              </c:strCache>
            </c:strRef>
          </c:tx>
          <c:spPr>
            <a:ln>
              <a:noFill/>
            </a:ln>
          </c:spPr>
          <c:dLbls>
            <c:dLblPos val="ctr"/>
            <c:showLegendKey val="0"/>
            <c:showVal val="1"/>
            <c:showCatName val="0"/>
            <c:showSerName val="0"/>
            <c:showPercent val="0"/>
          </c:dLbls>
          <c:cat>
            <c:strRef>
              <c:f>categories</c:f>
              <c:strCache>
                <c:ptCount val="9"/>
                <c:pt idx="0">
                  <c:v>2010</c:v>
                </c:pt>
                <c:pt idx="1">
                  <c:v>2011</c:v>
                </c:pt>
                <c:pt idx="2">
                  <c:v>2012</c:v>
                </c:pt>
                <c:pt idx="3">
                  <c:v>2013</c:v>
                </c:pt>
                <c:pt idx="4">
                  <c:v>2014</c:v>
                </c:pt>
                <c:pt idx="5">
                  <c:v>2015</c:v>
                </c:pt>
                <c:pt idx="6">
                  <c:v>2016</c:v>
                </c:pt>
                <c:pt idx="7">
                  <c:v>2017</c:v>
                </c:pt>
                <c:pt idx="8">
                  <c:v>2018</c:v>
                </c:pt>
              </c:strCache>
            </c:strRef>
          </c:cat>
          <c:val>
            <c:numRef>
              <c:f>0</c:f>
              <c:numCache>
                <c:formatCode>General</c:formatCode>
                <c:ptCount val="9"/>
                <c:pt idx="0">
                  <c:v>0.7</c:v>
                </c:pt>
                <c:pt idx="1">
                  <c:v>0.5</c:v>
                </c:pt>
                <c:pt idx="2">
                  <c:v>0.4</c:v>
                </c:pt>
                <c:pt idx="3">
                  <c:v>0.4</c:v>
                </c:pt>
                <c:pt idx="4">
                  <c:v>0.4</c:v>
                </c:pt>
                <c:pt idx="5">
                  <c:v>0.6</c:v>
                </c:pt>
                <c:pt idx="6">
                  <c:v>0.6</c:v>
                </c:pt>
                <c:pt idx="7">
                  <c:v>0.5</c:v>
                </c:pt>
                <c:pt idx="8">
                  <c:v>0.3</c:v>
                </c:pt>
              </c:numCache>
            </c:numRef>
          </c:val>
        </c:ser>
        <c:gapWidth val="100"/>
        <c:overlap val="-24"/>
        <c:axId val="44975632"/>
        <c:axId val="61004753"/>
      </c:barChart>
      <c:catAx>
        <c:axId val="44975632"/>
        <c:scaling>
          <c:orientation val="minMax"/>
        </c:scaling>
        <c:delete val="0"/>
        <c:axPos val="b"/>
        <c:majorTickMark val="none"/>
        <c:minorTickMark val="none"/>
        <c:tickLblPos val="nextTo"/>
        <c:spPr>
          <a:ln w="12600">
            <a:solidFill>
              <a:srgbClr val="d9d9d9"/>
            </a:solidFill>
            <a:round/>
          </a:ln>
        </c:spPr>
        <c:crossAx val="61004753"/>
        <c:crosses val="autoZero"/>
        <c:auto val="1"/>
        <c:lblAlgn val="ctr"/>
        <c:lblOffset val="100"/>
      </c:catAx>
      <c:valAx>
        <c:axId val="61004753"/>
        <c:scaling>
          <c:orientation val="minMax"/>
        </c:scaling>
        <c:delete val="0"/>
        <c:axPos val="l"/>
        <c:majorGridlines>
          <c:spPr>
            <a:ln w="9360">
              <a:solidFill>
                <a:srgbClr val="d9d9d9"/>
              </a:solidFill>
              <a:round/>
            </a:ln>
          </c:spPr>
        </c:majorGridlines>
        <c:majorTickMark val="none"/>
        <c:minorTickMark val="none"/>
        <c:tickLblPos val="nextTo"/>
        <c:spPr>
          <a:ln w="6480">
            <a:noFill/>
          </a:ln>
        </c:spPr>
        <c:crossAx val="44975632"/>
        <c:crosses val="autoZero"/>
      </c:valAx>
      <c:spPr>
        <a:noFill/>
        <a:ln>
          <a:noFill/>
        </a:ln>
      </c:spPr>
    </c:plotArea>
    <c:plotVisOnly val="1"/>
  </c:chart>
  <c:spPr>
    <a:solidFill>
      <a:srgbClr val="ffffff"/>
    </a:solidFill>
    <a:ln w="9360">
      <a:solidFill>
        <a:srgbClr val="d9d9d9"/>
      </a:solidFill>
      <a:round/>
    </a:ln>
  </c:spPr>
</c:chartSpace>
</file>

<file path=word/charts/chart29.xml><?xml version="1.0" encoding="utf-8"?>
<c:chartSpace xmlns:c="http://schemas.openxmlformats.org/drawingml/2006/chart" xmlns:a="http://schemas.openxmlformats.org/drawingml/2006/main" xmlns:r="http://schemas.openxmlformats.org/officeDocument/2006/relationships">
  <c:lang val="en-US"/>
  <c:chart>
    <c:plotArea>
      <c:layout/>
      <c:lineChart>
        <c:grouping val="standard"/>
        <c:ser>
          <c:idx val="0"/>
          <c:order val="0"/>
          <c:tx>
            <c:strRef>
              <c:f>label 0</c:f>
              <c:strCache>
                <c:ptCount val="1"/>
                <c:pt idx="0">
                  <c:v>Среднемесячная начисленная заработная плата работающих</c:v>
                </c:pt>
              </c:strCache>
            </c:strRef>
          </c:tx>
          <c:spPr>
            <a:solidFill>
              <a:srgbClr val="70ad47"/>
            </a:solidFill>
            <a:ln w="34920">
              <a:solidFill>
                <a:srgbClr val="70ad47"/>
              </a:solidFill>
              <a:round/>
            </a:ln>
          </c:spPr>
          <c:dLbls>
            <c:dLblPos val="t"/>
            <c:showLegendKey val="0"/>
            <c:showVal val="1"/>
            <c:showCatName val="0"/>
            <c:showSerName val="0"/>
            <c:showPercent val="0"/>
          </c:dLbls>
          <c:cat>
            <c:strRef>
              <c:f>categories</c:f>
              <c:strCache>
                <c:ptCount val="5"/>
                <c:pt idx="0">
                  <c:v>2014</c:v>
                </c:pt>
                <c:pt idx="1">
                  <c:v>2015</c:v>
                </c:pt>
                <c:pt idx="2">
                  <c:v>2016</c:v>
                </c:pt>
                <c:pt idx="3">
                  <c:v>2017</c:v>
                </c:pt>
                <c:pt idx="4">
                  <c:v>2018</c:v>
                </c:pt>
              </c:strCache>
            </c:strRef>
          </c:cat>
          <c:val>
            <c:numRef>
              <c:f>0</c:f>
              <c:numCache>
                <c:formatCode>General</c:formatCode>
                <c:ptCount val="5"/>
                <c:pt idx="0">
                  <c:v>23619</c:v>
                </c:pt>
                <c:pt idx="1">
                  <c:v>23735.8</c:v>
                </c:pt>
                <c:pt idx="2">
                  <c:v>24901</c:v>
                </c:pt>
                <c:pt idx="3">
                  <c:v>26411.95</c:v>
                </c:pt>
                <c:pt idx="4">
                  <c:v>28925.2</c:v>
                </c:pt>
              </c:numCache>
            </c:numRef>
          </c:val>
          <c:smooth val="0"/>
        </c:ser>
        <c:ser>
          <c:idx val="1"/>
          <c:order val="1"/>
          <c:tx>
            <c:strRef>
              <c:f>label 1</c:f>
              <c:strCache>
                <c:ptCount val="1"/>
                <c:pt idx="0">
                  <c:v>Средний размер назначенной месячной пенсии</c:v>
                </c:pt>
              </c:strCache>
            </c:strRef>
          </c:tx>
          <c:spPr>
            <a:solidFill>
              <a:srgbClr val="5b9bd5"/>
            </a:solidFill>
            <a:ln w="34920">
              <a:solidFill>
                <a:srgbClr val="5b9bd5"/>
              </a:solidFill>
              <a:round/>
            </a:ln>
          </c:spPr>
          <c:dLbls>
            <c:dLblPos val="t"/>
            <c:showLegendKey val="0"/>
            <c:showVal val="1"/>
            <c:showCatName val="0"/>
            <c:showSerName val="0"/>
            <c:showPercent val="0"/>
          </c:dLbls>
          <c:cat>
            <c:strRef>
              <c:f>categories</c:f>
              <c:strCache>
                <c:ptCount val="5"/>
                <c:pt idx="0">
                  <c:v>2014</c:v>
                </c:pt>
                <c:pt idx="1">
                  <c:v>2015</c:v>
                </c:pt>
                <c:pt idx="2">
                  <c:v>2016</c:v>
                </c:pt>
                <c:pt idx="3">
                  <c:v>2017</c:v>
                </c:pt>
                <c:pt idx="4">
                  <c:v>2018</c:v>
                </c:pt>
              </c:strCache>
            </c:strRef>
          </c:cat>
          <c:val>
            <c:numRef>
              <c:f>1</c:f>
              <c:numCache>
                <c:formatCode>General</c:formatCode>
                <c:ptCount val="5"/>
                <c:pt idx="0">
                  <c:v>10279.2</c:v>
                </c:pt>
                <c:pt idx="1">
                  <c:v>11388</c:v>
                </c:pt>
                <c:pt idx="2">
                  <c:v>11925.1</c:v>
                </c:pt>
                <c:pt idx="3">
                  <c:v>12535.5</c:v>
                </c:pt>
                <c:pt idx="4">
                  <c:v>13220.7</c:v>
                </c:pt>
              </c:numCache>
            </c:numRef>
          </c:val>
          <c:smooth val="0"/>
        </c:ser>
        <c:hiLowLines>
          <c:spPr>
            <a:ln>
              <a:noFill/>
            </a:ln>
          </c:spPr>
        </c:hiLowLines>
        <c:upDownBars>
          <c:gapWidth val="150"/>
          <c:upBars/>
          <c:downBars/>
        </c:upDownBars>
        <c:marker val="0"/>
        <c:axId val="46038595"/>
        <c:axId val="19276387"/>
      </c:lineChart>
      <c:catAx>
        <c:axId val="46038595"/>
        <c:scaling>
          <c:orientation val="minMax"/>
        </c:scaling>
        <c:delete val="0"/>
        <c:axPos val="b"/>
        <c:majorTickMark val="none"/>
        <c:minorTickMark val="none"/>
        <c:tickLblPos val="nextTo"/>
        <c:spPr>
          <a:ln w="12600">
            <a:solidFill>
              <a:srgbClr val="d9d9d9"/>
            </a:solidFill>
            <a:round/>
          </a:ln>
        </c:spPr>
        <c:crossAx val="19276387"/>
        <c:crosses val="autoZero"/>
        <c:auto val="1"/>
        <c:lblAlgn val="ctr"/>
        <c:lblOffset val="100"/>
      </c:catAx>
      <c:valAx>
        <c:axId val="19276387"/>
        <c:scaling>
          <c:orientation val="minMax"/>
          <c:max val="31000"/>
          <c:min val="5000"/>
        </c:scaling>
        <c:delete val="0"/>
        <c:axPos val="l"/>
        <c:majorGridlines>
          <c:spPr>
            <a:ln w="9360">
              <a:solidFill>
                <a:srgbClr val="d9d9d9"/>
              </a:solidFill>
              <a:round/>
            </a:ln>
          </c:spPr>
        </c:majorGridlines>
        <c:majorTickMark val="none"/>
        <c:minorTickMark val="none"/>
        <c:tickLblPos val="nextTo"/>
        <c:spPr>
          <a:ln w="6480">
            <a:noFill/>
          </a:ln>
        </c:spPr>
        <c:crossAx val="46038595"/>
        <c:crosses val="autoZero"/>
      </c:valAx>
      <c:spPr>
        <a:noFill/>
        <a:ln>
          <a:noFill/>
        </a:ln>
      </c:spPr>
    </c:plotArea>
    <c:legend>
      <c:legendPos val="b"/>
      <c:overlay val="0"/>
      <c:spPr>
        <a:noFill/>
        <a:ln>
          <a:noFill/>
        </a:ln>
      </c:spPr>
    </c:legend>
    <c:plotVisOnly val="1"/>
  </c:chart>
  <c:spPr>
    <a:solidFill>
      <a:srgbClr val="ffffff"/>
    </a:solidFill>
    <a:ln w="9360">
      <a:solidFill>
        <a:srgbClr val="d9d9d9"/>
      </a:solidFill>
      <a:round/>
    </a:ln>
  </c:sp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clustered"/>
        <c:ser>
          <c:idx val="0"/>
          <c:order val="0"/>
          <c:tx>
            <c:strRef>
              <c:f>label 0</c:f>
              <c:strCache>
                <c:ptCount val="1"/>
                <c:pt idx="0">
                  <c:v>Численность учащихся</c:v>
                </c:pt>
              </c:strCache>
            </c:strRef>
          </c:tx>
          <c:spPr>
            <a:ln>
              <a:noFill/>
            </a:ln>
          </c:spPr>
          <c:dLbls>
            <c:dLblPos val="ctr"/>
            <c:showLegendKey val="0"/>
            <c:showVal val="0"/>
            <c:showCatName val="0"/>
            <c:showSerName val="0"/>
            <c:showPercent val="0"/>
          </c:dLbls>
          <c:cat>
            <c:strRef>
              <c:f>categories</c:f>
              <c:strCache>
                <c:ptCount val="5"/>
                <c:pt idx="0">
                  <c:v>2014</c:v>
                </c:pt>
                <c:pt idx="1">
                  <c:v>2015</c:v>
                </c:pt>
                <c:pt idx="2">
                  <c:v>2016</c:v>
                </c:pt>
                <c:pt idx="3">
                  <c:v>2017</c:v>
                </c:pt>
                <c:pt idx="4">
                  <c:v>2018</c:v>
                </c:pt>
              </c:strCache>
            </c:strRef>
          </c:cat>
          <c:val>
            <c:numRef>
              <c:f>0</c:f>
              <c:numCache>
                <c:formatCode>General</c:formatCode>
                <c:ptCount val="5"/>
                <c:pt idx="0">
                  <c:v>4585</c:v>
                </c:pt>
                <c:pt idx="1">
                  <c:v>4634</c:v>
                </c:pt>
                <c:pt idx="2">
                  <c:v>4749</c:v>
                </c:pt>
                <c:pt idx="3">
                  <c:v>4857</c:v>
                </c:pt>
                <c:pt idx="4">
                  <c:v>4978</c:v>
                </c:pt>
              </c:numCache>
            </c:numRef>
          </c:val>
        </c:ser>
        <c:gapWidth val="100"/>
        <c:overlap val="-24"/>
        <c:axId val="56819847"/>
        <c:axId val="15539634"/>
      </c:barChart>
      <c:catAx>
        <c:axId val="56819847"/>
        <c:scaling>
          <c:orientation val="minMax"/>
        </c:scaling>
        <c:delete val="0"/>
        <c:axPos val="b"/>
        <c:majorTickMark val="none"/>
        <c:minorTickMark val="none"/>
        <c:tickLblPos val="nextTo"/>
        <c:spPr>
          <a:ln w="12600">
            <a:solidFill>
              <a:srgbClr val="d9d9d9"/>
            </a:solidFill>
            <a:round/>
          </a:ln>
        </c:spPr>
        <c:crossAx val="15539634"/>
        <c:crosses val="autoZero"/>
        <c:auto val="1"/>
        <c:lblAlgn val="ctr"/>
        <c:lblOffset val="100"/>
      </c:catAx>
      <c:valAx>
        <c:axId val="15539634"/>
        <c:scaling>
          <c:orientation val="minMax"/>
        </c:scaling>
        <c:delete val="0"/>
        <c:axPos val="l"/>
        <c:majorGridlines>
          <c:spPr>
            <a:ln w="9360">
              <a:solidFill>
                <a:srgbClr val="d9d9d9"/>
              </a:solidFill>
              <a:round/>
            </a:ln>
          </c:spPr>
        </c:majorGridlines>
        <c:majorTickMark val="none"/>
        <c:minorTickMark val="none"/>
        <c:tickLblPos val="nextTo"/>
        <c:spPr>
          <a:ln w="6480">
            <a:noFill/>
          </a:ln>
        </c:spPr>
        <c:crossAx val="56819847"/>
        <c:crosses val="autoZero"/>
      </c:valAx>
      <c:spPr>
        <a:noFill/>
        <a:ln>
          <a:noFill/>
        </a:ln>
      </c:spPr>
    </c:plotArea>
    <c:legend>
      <c:legendPos val="b"/>
      <c:overlay val="0"/>
      <c:spPr>
        <a:noFill/>
        <a:ln>
          <a:noFill/>
        </a:ln>
      </c:spPr>
    </c:legend>
    <c:plotVisOnly val="1"/>
  </c:chart>
  <c:spPr>
    <a:solidFill>
      <a:srgbClr val="ffffff"/>
    </a:solidFill>
    <a:ln w="9360">
      <a:solidFill>
        <a:srgbClr val="d9d9d9"/>
      </a:solidFill>
      <a:round/>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3ADB9-988E-49B3-AA4D-617F86412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Application>LibreOffice/4.4.7.2$Linux_x86 LibreOffice_project/40m0$Build-2</Application>
  <Paragraphs>2310</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2019-12-10T14:28:00Z</dcterms:created>
  <dc:creator>Исаак Джанов</dc:creator>
  <dc:language>ru-RU</dc:language>
  <cp:lastPrinted>2019-11-25T11:12:00Z</cp:lastPrinted>
  <dcterms:modified xsi:type="dcterms:W3CDTF">2019-12-16T09:28:49Z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