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14:paraId="2D9D1B6B" w14:textId="77777777"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14:paraId="2D9D1B6C" w14:textId="77777777" w:rsidR="00EE0423" w:rsidRDefault="00EE0423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10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1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89A31D8">
                <wp:simplePos x="0" y="0"/>
                <wp:positionH relativeFrom="column">
                  <wp:posOffset>2183130</wp:posOffset>
                </wp:positionH>
                <wp:positionV relativeFrom="paragraph">
                  <wp:posOffset>27940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8" id="_x0000_s1030" type="#_x0000_t202" style="position:absolute;margin-left:171.9pt;margin-top:2.2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0FF8F6AB" w:rsidR="003D3FE0" w:rsidRDefault="005840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  <w:proofErr w:type="spellEnd"/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абонентский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мультисервисный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В наименовании оборудования возможно указание стандарта сжатия видеосигнала MPEG4 и режима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Multipie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proofErr w:type="spellStart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2D9D1B8B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A" id="_x0000_s1036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2D9D1B8D">
                <wp:simplePos x="0" y="0"/>
                <wp:positionH relativeFrom="column">
                  <wp:posOffset>5529712</wp:posOffset>
                </wp:positionH>
                <wp:positionV relativeFrom="paragraph">
                  <wp:posOffset>3155315</wp:posOffset>
                </wp:positionV>
                <wp:extent cx="3882390" cy="2047164"/>
                <wp:effectExtent l="0" t="0" r="22860" b="10795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04716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C" id="_x0000_s1037" style="position:absolute;margin-left:435.4pt;margin-top:248.45pt;width:305.7pt;height:1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201;618775,0;3263615,0;3882390,341201;3882390,1705963;3263615,2047164;618775,2047164;0,1705963;0,341201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D10D89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B3EB5CD8D62CF10B342846311CE7BA322B096A865263F705D3259B07FCC1E318E08F1B676FECB80E91A780FBE8BBE01M2mC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Admin</cp:lastModifiedBy>
  <cp:revision>2</cp:revision>
  <cp:lastPrinted>2019-02-13T08:34:00Z</cp:lastPrinted>
  <dcterms:created xsi:type="dcterms:W3CDTF">2019-04-12T10:38:00Z</dcterms:created>
  <dcterms:modified xsi:type="dcterms:W3CDTF">2019-04-12T10:38:00Z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