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728" w:h="1310" w:hRule="exact" w:wrap="none" w:vAnchor="page" w:hAnchor="page" w:x="2245" w:y="14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Артемовский городской округ Территориальный орган местного самоуправления села Мироново с подведомственной территорией населенных пунктов: деревня Бучино, деревня Родники, деревня Луговая, село Липино</w:t>
      </w:r>
    </w:p>
    <w:p>
      <w:pPr>
        <w:pStyle w:val="Style3"/>
        <w:framePr w:w="7728" w:h="277" w:hRule="exact" w:wrap="none" w:vAnchor="page" w:hAnchor="page" w:x="2245" w:y="307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rStyle w:val="CharStyle5"/>
          <w:b/>
          <w:bCs/>
        </w:rPr>
        <w:t>РАСПОРЯЖЕНИЕ</w:t>
      </w:r>
    </w:p>
    <w:p>
      <w:pPr>
        <w:pStyle w:val="Style6"/>
        <w:framePr w:wrap="none" w:vAnchor="page" w:hAnchor="page" w:x="987" w:y="4053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8798" w:firstLine="0"/>
      </w:pPr>
      <w:r>
        <w:rPr>
          <w:lang w:val="ru-RU"/>
          <w:w w:val="100"/>
          <w:color w:val="000000"/>
          <w:position w:val="0"/>
        </w:rPr>
        <w:t>27</w:t>
      </w:r>
      <w:r>
        <w:rPr>
          <w:rStyle w:val="CharStyle8"/>
          <w:lang w:val="ru-RU"/>
        </w:rPr>
        <w:t>.</w:t>
      </w:r>
      <w:r>
        <w:rPr>
          <w:lang w:val="ru-RU"/>
          <w:w w:val="100"/>
          <w:color w:val="000000"/>
          <w:position w:val="0"/>
        </w:rPr>
        <w:t>04.2016</w:t>
      </w:r>
    </w:p>
    <w:p>
      <w:pPr>
        <w:pStyle w:val="Style9"/>
        <w:framePr w:wrap="none" w:vAnchor="page" w:hAnchor="page" w:x="8197" w:y="407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№22</w:t>
      </w:r>
    </w:p>
    <w:p>
      <w:pPr>
        <w:pStyle w:val="Style11"/>
        <w:framePr w:w="9926" w:h="8751" w:hRule="exact" w:wrap="none" w:vAnchor="page" w:hAnchor="page" w:x="987" w:y="461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Об исполнении постановления главы Артемовского городского округа от 06.04.2016 № 19-ПГ «Об утверждении Положения об участии органов местного самоуправления Артемовского городского округа в профилактике терроризма и экстремизма, а также минимизации и (или) ликвидации последствии проявлений терроризма и экстремизма в границах Артемовского городского округа».</w:t>
      </w:r>
    </w:p>
    <w:p>
      <w:pPr>
        <w:pStyle w:val="Style13"/>
        <w:framePr w:w="9926" w:h="8751" w:hRule="exact" w:wrap="none" w:vAnchor="page" w:hAnchor="page" w:x="987" w:y="4619"/>
        <w:widowControl w:val="0"/>
        <w:keepNext w:val="0"/>
        <w:keepLines w:val="0"/>
        <w:shd w:val="clear" w:color="auto" w:fill="auto"/>
        <w:bidi w:val="0"/>
        <w:spacing w:before="0" w:after="236"/>
        <w:ind w:left="20" w:right="20" w:firstLine="0"/>
      </w:pPr>
      <w:r>
        <w:rPr>
          <w:rStyle w:val="CharStyle15"/>
        </w:rPr>
        <w:t xml:space="preserve">В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соответствии с федеральными законами от </w:t>
      </w:r>
      <w:r>
        <w:rPr>
          <w:rStyle w:val="CharStyle15"/>
        </w:rPr>
        <w:t xml:space="preserve">25.07.2002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№ 114-ФЗ « О противодействии экстремисткой деятельности», от </w:t>
      </w:r>
      <w:r>
        <w:rPr>
          <w:rStyle w:val="CharStyle15"/>
        </w:rPr>
        <w:t xml:space="preserve">06.10.2003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№ 131-ФЭ «Об общих принципах организации местного самоуправления в Российской Федерации», от </w:t>
      </w:r>
      <w:r>
        <w:rPr>
          <w:rStyle w:val="CharStyle15"/>
        </w:rPr>
        <w:t xml:space="preserve">06.03.2006 № 35-Ф3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«О противодействии терроризму», руководствуясь статьей 28 Устава Артемовского городского округа. Для исполнения постановления главы Артемовского городского округа от </w:t>
      </w:r>
      <w:r>
        <w:rPr>
          <w:rStyle w:val="CharStyle15"/>
        </w:rPr>
        <w:t xml:space="preserve">06.04.2016 </w:t>
      </w:r>
      <w:r>
        <w:rPr>
          <w:lang w:val="ru-RU"/>
          <w:sz w:val="24"/>
          <w:szCs w:val="24"/>
          <w:w w:val="100"/>
          <w:color w:val="000000"/>
          <w:position w:val="0"/>
        </w:rPr>
        <w:t>№ 19-ПГ «Об утверждении Положения об участии органов местного самоуправления Артемовского городского округа в профилактике терроризма и экстремизма, а также минимизации и (или) ликвидации последствий проявлений терроризма и экстремизма в границах Артемовского городского округа».</w:t>
      </w:r>
    </w:p>
    <w:p>
      <w:pPr>
        <w:pStyle w:val="Style13"/>
        <w:numPr>
          <w:ilvl w:val="0"/>
          <w:numId w:val="1"/>
        </w:numPr>
        <w:framePr w:w="9926" w:h="8751" w:hRule="exact" w:wrap="none" w:vAnchor="page" w:hAnchor="page" w:x="987" w:y="4619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720" w:right="20"/>
      </w:pPr>
      <w:r>
        <w:rPr>
          <w:lang w:val="ru-RU"/>
          <w:sz w:val="24"/>
          <w:szCs w:val="24"/>
          <w:w w:val="100"/>
          <w:color w:val="000000"/>
          <w:position w:val="0"/>
        </w:rPr>
        <w:t>Назначить специалиста II категории Территориального органа местного самоуправления села Мироново ответственным за организацию работы и своевременность предоставления отчетных документов по участию в профилактике терроризма и экстремизма, а также минимизации и (или) ликвидации последствий проявлений терроризма и экстремизма в границах Артемовского городского округа.</w:t>
      </w:r>
    </w:p>
    <w:p>
      <w:pPr>
        <w:pStyle w:val="Style13"/>
        <w:numPr>
          <w:ilvl w:val="0"/>
          <w:numId w:val="1"/>
        </w:numPr>
        <w:framePr w:w="9926" w:h="8751" w:hRule="exact" w:wrap="none" w:vAnchor="page" w:hAnchor="page" w:x="987" w:y="4619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2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Специалисту II категории Территориального органа местного самоуправления села Мироново в своей деятельности руководствоваться Положением об участии органов местного самоуправления Артемовского городского округа в профилактике терроризма и экстремизма, а также минимизации и </w:t>
      </w:r>
      <w:r>
        <w:rPr>
          <w:rStyle w:val="CharStyle16"/>
        </w:rPr>
        <w:t xml:space="preserve">(или) </w:t>
      </w:r>
      <w:r>
        <w:rPr>
          <w:lang w:val="ru-RU"/>
          <w:sz w:val="24"/>
          <w:szCs w:val="24"/>
          <w:w w:val="100"/>
          <w:color w:val="000000"/>
          <w:position w:val="0"/>
        </w:rPr>
        <w:t>ликвидации последствий проявлений терроризма и экстремизма в границах</w:t>
      </w:r>
    </w:p>
    <w:p>
      <w:pPr>
        <w:framePr w:wrap="none" w:vAnchor="page" w:hAnchor="page" w:x="997" w:y="1329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86pt;height:124pt;">
            <v:imagedata r:id="rId5" r:href="rId6"/>
          </v:shape>
        </w:pict>
      </w:r>
    </w:p>
    <w:p>
      <w:pPr>
        <w:pStyle w:val="Style17"/>
        <w:framePr w:wrap="none" w:vAnchor="page" w:hAnchor="page" w:x="6646" w:y="136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(жения оставляю за собой.</w:t>
      </w:r>
    </w:p>
    <w:p>
      <w:pPr>
        <w:pStyle w:val="Style13"/>
        <w:framePr w:wrap="none" w:vAnchor="page" w:hAnchor="page" w:x="8590" w:y="144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В.В. Серебренников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5">
    <w:name w:val="Основной текст (2) + Интервал 3 pt"/>
    <w:basedOn w:val="CharStyle4"/>
    <w:rPr>
      <w:lang w:val="ru-RU"/>
      <w:w w:val="100"/>
      <w:spacing w:val="66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  <w:spacing w:val="9"/>
    </w:rPr>
  </w:style>
  <w:style w:type="character" w:customStyle="1" w:styleId="CharStyle8">
    <w:name w:val="Основной текст (3) + Verdana,8 pt,Интервал 0 pt"/>
    <w:basedOn w:val="CharStyle7"/>
    <w:rPr>
      <w:lang w:val="1024"/>
      <w:sz w:val="16"/>
      <w:szCs w:val="16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14">
    <w:name w:val="Основной текст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15">
    <w:name w:val="Основной текст + 10,5 pt,Полужирный,Интервал 0 pt"/>
    <w:basedOn w:val="CharStyle14"/>
    <w:rPr>
      <w:lang w:val="ru-RU"/>
      <w:b/>
      <w:bCs/>
      <w:sz w:val="21"/>
      <w:szCs w:val="21"/>
      <w:w w:val="100"/>
      <w:spacing w:val="6"/>
      <w:color w:val="000000"/>
      <w:position w:val="0"/>
    </w:rPr>
  </w:style>
  <w:style w:type="character" w:customStyle="1" w:styleId="CharStyle16">
    <w:name w:val="Основной текст + Интервал 1 pt"/>
    <w:basedOn w:val="CharStyle14"/>
    <w:rPr>
      <w:lang w:val="ru-RU"/>
      <w:sz w:val="24"/>
      <w:szCs w:val="24"/>
      <w:w w:val="100"/>
      <w:spacing w:val="32"/>
      <w:color w:val="000000"/>
      <w:position w:val="0"/>
    </w:rPr>
  </w:style>
  <w:style w:type="character" w:customStyle="1" w:styleId="CharStyle18">
    <w:name w:val="Подпись к картинк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312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rebuchet MS" w:eastAsia="Trebuchet MS" w:hAnsi="Trebuchet MS" w:cs="Trebuchet MS"/>
      <w:spacing w:val="9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before="360" w:line="307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jc w:val="both"/>
      <w:spacing w:after="240" w:line="307" w:lineRule="exact"/>
      <w:ind w:hanging="3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